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15FAC" w14:textId="77777777" w:rsidR="00B47D21" w:rsidRPr="002C310E" w:rsidRDefault="00F04DCF" w:rsidP="00915089">
      <w:pPr>
        <w:spacing w:after="0" w:line="240" w:lineRule="auto"/>
        <w:jc w:val="center"/>
        <w:rPr>
          <w:rFonts w:cstheme="minorHAnsi"/>
          <w:b/>
          <w:sz w:val="28"/>
          <w:szCs w:val="28"/>
        </w:rPr>
      </w:pPr>
      <w:r w:rsidRPr="002C310E">
        <w:rPr>
          <w:rFonts w:cstheme="minorHAnsi"/>
          <w:noProof/>
          <w:lang w:eastAsia="cs-CZ"/>
        </w:rPr>
        <w:drawing>
          <wp:anchor distT="0" distB="0" distL="114300" distR="114300" simplePos="0" relativeHeight="251658240" behindDoc="0" locked="0" layoutInCell="1" allowOverlap="1" wp14:anchorId="72F8FF95" wp14:editId="5571F708">
            <wp:simplePos x="0" y="0"/>
            <wp:positionH relativeFrom="margin">
              <wp:align>center</wp:align>
            </wp:positionH>
            <wp:positionV relativeFrom="paragraph">
              <wp:posOffset>0</wp:posOffset>
            </wp:positionV>
            <wp:extent cx="764949" cy="540000"/>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1268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4949" cy="540000"/>
                    </a:xfrm>
                    <a:prstGeom prst="rect">
                      <a:avLst/>
                    </a:prstGeom>
                    <a:noFill/>
                  </pic:spPr>
                </pic:pic>
              </a:graphicData>
            </a:graphic>
            <wp14:sizeRelH relativeFrom="margin">
              <wp14:pctWidth>0</wp14:pctWidth>
            </wp14:sizeRelH>
            <wp14:sizeRelV relativeFrom="margin">
              <wp14:pctHeight>0</wp14:pctHeight>
            </wp14:sizeRelV>
          </wp:anchor>
        </w:drawing>
      </w:r>
    </w:p>
    <w:p w14:paraId="74D02E8F" w14:textId="77777777" w:rsidR="00B47D21" w:rsidRPr="002C310E" w:rsidRDefault="00B47D21" w:rsidP="00915089">
      <w:pPr>
        <w:spacing w:after="0" w:line="240" w:lineRule="auto"/>
        <w:jc w:val="center"/>
        <w:rPr>
          <w:rFonts w:cstheme="minorHAnsi"/>
          <w:b/>
          <w:sz w:val="28"/>
          <w:szCs w:val="28"/>
        </w:rPr>
      </w:pPr>
    </w:p>
    <w:p w14:paraId="7197256C" w14:textId="77777777" w:rsidR="00B47D21" w:rsidRPr="002C310E" w:rsidRDefault="00B47D21" w:rsidP="00915089">
      <w:pPr>
        <w:spacing w:after="0" w:line="240" w:lineRule="auto"/>
        <w:jc w:val="center"/>
        <w:rPr>
          <w:rFonts w:cstheme="minorHAnsi"/>
          <w:b/>
          <w:sz w:val="28"/>
          <w:szCs w:val="28"/>
        </w:rPr>
      </w:pPr>
    </w:p>
    <w:p w14:paraId="4E839BA4" w14:textId="77777777" w:rsidR="00B47D21" w:rsidRPr="002C310E" w:rsidRDefault="00F04DCF" w:rsidP="00915089">
      <w:pPr>
        <w:spacing w:after="0" w:line="240" w:lineRule="auto"/>
        <w:jc w:val="center"/>
        <w:rPr>
          <w:rFonts w:cstheme="minorHAnsi"/>
          <w:b/>
          <w:sz w:val="32"/>
          <w:szCs w:val="32"/>
        </w:rPr>
      </w:pPr>
      <w:bookmarkStart w:id="0" w:name="_GoBack"/>
      <w:r w:rsidRPr="002C310E">
        <w:rPr>
          <w:rFonts w:cstheme="minorHAnsi"/>
          <w:b/>
          <w:sz w:val="28"/>
          <w:szCs w:val="28"/>
        </w:rPr>
        <w:t>Kontrolní závěr z kontrolní akce</w:t>
      </w:r>
    </w:p>
    <w:p w14:paraId="29F6C2B6" w14:textId="77777777" w:rsidR="00B47D21" w:rsidRPr="002C310E" w:rsidRDefault="00B47D21" w:rsidP="00915089">
      <w:pPr>
        <w:spacing w:after="0" w:line="240" w:lineRule="auto"/>
        <w:jc w:val="center"/>
        <w:rPr>
          <w:rFonts w:cstheme="minorHAnsi"/>
        </w:rPr>
      </w:pPr>
    </w:p>
    <w:p w14:paraId="7A989BAD" w14:textId="77777777" w:rsidR="00B47D21" w:rsidRPr="002C310E" w:rsidRDefault="00F04DCF" w:rsidP="00915089">
      <w:pPr>
        <w:spacing w:after="0" w:line="240" w:lineRule="auto"/>
        <w:jc w:val="center"/>
        <w:rPr>
          <w:rFonts w:cstheme="minorHAnsi"/>
          <w:b/>
          <w:sz w:val="28"/>
          <w:szCs w:val="28"/>
        </w:rPr>
      </w:pPr>
      <w:r w:rsidRPr="002C310E">
        <w:rPr>
          <w:rFonts w:cstheme="minorHAnsi"/>
          <w:b/>
          <w:sz w:val="28"/>
          <w:szCs w:val="28"/>
        </w:rPr>
        <w:t>20/10</w:t>
      </w:r>
    </w:p>
    <w:p w14:paraId="4B993AB3" w14:textId="77777777" w:rsidR="00B47D21" w:rsidRPr="002C310E" w:rsidRDefault="00B47D21" w:rsidP="00915089">
      <w:pPr>
        <w:spacing w:after="0" w:line="240" w:lineRule="auto"/>
        <w:jc w:val="center"/>
        <w:rPr>
          <w:rFonts w:cstheme="minorHAnsi"/>
        </w:rPr>
      </w:pPr>
    </w:p>
    <w:p w14:paraId="506DD2CC" w14:textId="77777777" w:rsidR="00B47D21" w:rsidRPr="002C310E" w:rsidRDefault="00F04DCF" w:rsidP="00915089">
      <w:pPr>
        <w:spacing w:after="0" w:line="240" w:lineRule="auto"/>
        <w:jc w:val="center"/>
        <w:rPr>
          <w:rFonts w:cstheme="minorHAnsi"/>
          <w:b/>
          <w:sz w:val="28"/>
          <w:szCs w:val="28"/>
        </w:rPr>
      </w:pPr>
      <w:r w:rsidRPr="002C310E">
        <w:rPr>
          <w:rFonts w:cstheme="minorHAnsi"/>
          <w:b/>
          <w:sz w:val="28"/>
          <w:szCs w:val="28"/>
        </w:rPr>
        <w:t>Peněžní prostředky státu vynakládané na plnění vybraných cílů migrační politiky České republiky</w:t>
      </w:r>
      <w:bookmarkEnd w:id="0"/>
    </w:p>
    <w:p w14:paraId="203CB9EC" w14:textId="77777777" w:rsidR="00B47D21" w:rsidRPr="002C310E" w:rsidRDefault="00B47D21" w:rsidP="00915089">
      <w:pPr>
        <w:spacing w:after="0" w:line="240" w:lineRule="auto"/>
        <w:jc w:val="both"/>
        <w:rPr>
          <w:rFonts w:cstheme="minorHAnsi"/>
          <w:sz w:val="24"/>
          <w:szCs w:val="24"/>
        </w:rPr>
      </w:pPr>
    </w:p>
    <w:p w14:paraId="54B55618" w14:textId="77777777" w:rsidR="00B47D21" w:rsidRPr="002C310E" w:rsidRDefault="00B47D21" w:rsidP="00915089">
      <w:pPr>
        <w:spacing w:after="0" w:line="240" w:lineRule="auto"/>
        <w:jc w:val="both"/>
        <w:rPr>
          <w:rFonts w:cstheme="minorHAnsi"/>
          <w:sz w:val="24"/>
          <w:szCs w:val="24"/>
        </w:rPr>
      </w:pPr>
    </w:p>
    <w:p w14:paraId="4BB4BBDF" w14:textId="77777777" w:rsidR="00B47D21" w:rsidRPr="002C310E" w:rsidRDefault="00F04DCF" w:rsidP="00915089">
      <w:pPr>
        <w:spacing w:after="0" w:line="240" w:lineRule="auto"/>
        <w:jc w:val="both"/>
        <w:rPr>
          <w:rFonts w:cstheme="minorHAnsi"/>
          <w:sz w:val="24"/>
          <w:szCs w:val="24"/>
        </w:rPr>
      </w:pPr>
      <w:r w:rsidRPr="002C310E">
        <w:rPr>
          <w:rFonts w:cstheme="minorHAnsi"/>
          <w:sz w:val="24"/>
          <w:szCs w:val="24"/>
        </w:rPr>
        <w:t>Kontrolní akce byla zařazena do plánu kontrolní činnosti Nejvyššího kontrolního úřadu (dále také „NKÚ“) na rok 20</w:t>
      </w:r>
      <w:r w:rsidR="006C7772" w:rsidRPr="002C310E">
        <w:rPr>
          <w:rFonts w:cstheme="minorHAnsi"/>
          <w:sz w:val="24"/>
          <w:szCs w:val="24"/>
        </w:rPr>
        <w:t>20</w:t>
      </w:r>
      <w:r w:rsidRPr="002C310E">
        <w:rPr>
          <w:rFonts w:cstheme="minorHAnsi"/>
          <w:sz w:val="24"/>
          <w:szCs w:val="24"/>
        </w:rPr>
        <w:t xml:space="preserve"> pod číslem </w:t>
      </w:r>
      <w:r w:rsidR="006C7772" w:rsidRPr="002C310E">
        <w:rPr>
          <w:rFonts w:cstheme="minorHAnsi"/>
          <w:sz w:val="24"/>
          <w:szCs w:val="24"/>
        </w:rPr>
        <w:t>20</w:t>
      </w:r>
      <w:r w:rsidRPr="002C310E">
        <w:rPr>
          <w:rFonts w:cstheme="minorHAnsi"/>
          <w:sz w:val="24"/>
          <w:szCs w:val="24"/>
        </w:rPr>
        <w:t>/1</w:t>
      </w:r>
      <w:r w:rsidR="006C7772" w:rsidRPr="002C310E">
        <w:rPr>
          <w:rFonts w:cstheme="minorHAnsi"/>
          <w:sz w:val="24"/>
          <w:szCs w:val="24"/>
        </w:rPr>
        <w:t>0</w:t>
      </w:r>
      <w:r w:rsidRPr="002C310E">
        <w:rPr>
          <w:rFonts w:cstheme="minorHAnsi"/>
          <w:sz w:val="24"/>
          <w:szCs w:val="24"/>
        </w:rPr>
        <w:t>. Kontrolní akci řídil a kontrolní závěr vypracoval člen NKÚ Ing. Jan Kinšt.</w:t>
      </w:r>
    </w:p>
    <w:p w14:paraId="6F983C17" w14:textId="77777777" w:rsidR="00B47D21" w:rsidRPr="002C310E" w:rsidRDefault="00B47D21" w:rsidP="00915089">
      <w:pPr>
        <w:spacing w:after="0" w:line="240" w:lineRule="auto"/>
        <w:jc w:val="both"/>
        <w:rPr>
          <w:rFonts w:cstheme="minorHAnsi"/>
          <w:b/>
          <w:sz w:val="24"/>
          <w:szCs w:val="24"/>
        </w:rPr>
      </w:pPr>
    </w:p>
    <w:p w14:paraId="3E4635A4" w14:textId="77777777" w:rsidR="00B47D21" w:rsidRPr="002C310E" w:rsidRDefault="00F04DCF" w:rsidP="00915089">
      <w:pPr>
        <w:spacing w:after="0" w:line="240" w:lineRule="auto"/>
        <w:jc w:val="both"/>
        <w:rPr>
          <w:rFonts w:cstheme="minorHAnsi"/>
          <w:sz w:val="24"/>
          <w:szCs w:val="24"/>
        </w:rPr>
      </w:pPr>
      <w:r w:rsidRPr="002C310E">
        <w:rPr>
          <w:rFonts w:cstheme="minorHAnsi"/>
          <w:sz w:val="24"/>
          <w:szCs w:val="24"/>
        </w:rPr>
        <w:t xml:space="preserve">Cílem kontroly bylo </w:t>
      </w:r>
      <w:r w:rsidR="00810E1B" w:rsidRPr="002C310E">
        <w:rPr>
          <w:rFonts w:cstheme="minorHAnsi"/>
          <w:sz w:val="24"/>
          <w:szCs w:val="24"/>
        </w:rPr>
        <w:t>prověřit, zda Ministerstvo vnitra vynaložilo peněžní prostředky státu na plnění vybraných cílů migrační politiky České republiky hospodárně a efektivně a zda realizace aktivit a projektů přispěla k plnění stanovených cílů</w:t>
      </w:r>
      <w:r w:rsidRPr="002C310E">
        <w:rPr>
          <w:rFonts w:cstheme="minorHAnsi"/>
          <w:sz w:val="24"/>
          <w:szCs w:val="24"/>
        </w:rPr>
        <w:t>.</w:t>
      </w:r>
    </w:p>
    <w:p w14:paraId="2684B503" w14:textId="77777777" w:rsidR="00B47D21" w:rsidRPr="002C310E" w:rsidRDefault="00B47D21" w:rsidP="00915089">
      <w:pPr>
        <w:spacing w:after="0" w:line="240" w:lineRule="auto"/>
        <w:jc w:val="both"/>
        <w:rPr>
          <w:rFonts w:cstheme="minorHAnsi"/>
          <w:sz w:val="24"/>
          <w:szCs w:val="24"/>
        </w:rPr>
      </w:pPr>
    </w:p>
    <w:p w14:paraId="4C210529" w14:textId="77777777" w:rsidR="00B47D21" w:rsidRPr="002C310E" w:rsidRDefault="00F04DCF" w:rsidP="00915089">
      <w:pPr>
        <w:spacing w:after="120" w:line="240" w:lineRule="auto"/>
        <w:jc w:val="both"/>
        <w:rPr>
          <w:rFonts w:cstheme="minorHAnsi"/>
          <w:b/>
          <w:sz w:val="24"/>
          <w:szCs w:val="24"/>
        </w:rPr>
      </w:pPr>
      <w:r w:rsidRPr="002C310E">
        <w:rPr>
          <w:rFonts w:cstheme="minorHAnsi"/>
          <w:b/>
          <w:sz w:val="24"/>
          <w:szCs w:val="24"/>
        </w:rPr>
        <w:t>Kontrolované osoby:</w:t>
      </w:r>
    </w:p>
    <w:p w14:paraId="29CFE444" w14:textId="77777777" w:rsidR="00B107AE" w:rsidRPr="002C310E" w:rsidRDefault="00F04DCF" w:rsidP="00915089">
      <w:pPr>
        <w:spacing w:after="0" w:line="240" w:lineRule="auto"/>
        <w:jc w:val="both"/>
        <w:rPr>
          <w:rFonts w:cstheme="minorHAnsi"/>
          <w:sz w:val="24"/>
          <w:szCs w:val="24"/>
        </w:rPr>
      </w:pPr>
      <w:r w:rsidRPr="002C310E">
        <w:rPr>
          <w:rFonts w:cstheme="minorHAnsi"/>
          <w:sz w:val="24"/>
          <w:szCs w:val="24"/>
        </w:rPr>
        <w:t>Ministerstvo vnitra</w:t>
      </w:r>
      <w:r w:rsidR="00D62651" w:rsidRPr="002C310E">
        <w:rPr>
          <w:rFonts w:cstheme="minorHAnsi"/>
          <w:sz w:val="24"/>
          <w:szCs w:val="24"/>
        </w:rPr>
        <w:t xml:space="preserve"> (dále také „MV“)</w:t>
      </w:r>
      <w:r w:rsidRPr="002C310E">
        <w:rPr>
          <w:rFonts w:cstheme="minorHAnsi"/>
          <w:sz w:val="24"/>
          <w:szCs w:val="24"/>
        </w:rPr>
        <w:t>;</w:t>
      </w:r>
    </w:p>
    <w:p w14:paraId="2774CD89" w14:textId="77777777" w:rsidR="006C7772" w:rsidRPr="002C310E" w:rsidRDefault="00F04DCF" w:rsidP="00915089">
      <w:pPr>
        <w:spacing w:after="0" w:line="240" w:lineRule="auto"/>
        <w:jc w:val="both"/>
        <w:rPr>
          <w:rFonts w:cstheme="minorHAnsi"/>
          <w:sz w:val="24"/>
          <w:szCs w:val="24"/>
        </w:rPr>
      </w:pPr>
      <w:r w:rsidRPr="002C310E">
        <w:rPr>
          <w:rFonts w:cstheme="minorHAnsi"/>
          <w:sz w:val="24"/>
          <w:szCs w:val="24"/>
        </w:rPr>
        <w:t>Správa uprchlických zařízení Ministerstva vnitra</w:t>
      </w:r>
      <w:r w:rsidR="00DD7950">
        <w:rPr>
          <w:rFonts w:cstheme="minorHAnsi"/>
          <w:sz w:val="24"/>
          <w:szCs w:val="24"/>
        </w:rPr>
        <w:t>, Praha</w:t>
      </w:r>
      <w:r w:rsidRPr="002C310E">
        <w:rPr>
          <w:rFonts w:cstheme="minorHAnsi"/>
          <w:sz w:val="24"/>
          <w:szCs w:val="24"/>
        </w:rPr>
        <w:t xml:space="preserve"> (dále také „SUZ MV“);</w:t>
      </w:r>
    </w:p>
    <w:p w14:paraId="46FDC986" w14:textId="3D71AC05" w:rsidR="00B47D21" w:rsidRPr="002C310E" w:rsidRDefault="00F04DCF" w:rsidP="00915089">
      <w:pPr>
        <w:spacing w:after="0" w:line="240" w:lineRule="auto"/>
        <w:jc w:val="both"/>
        <w:rPr>
          <w:rFonts w:cstheme="minorHAnsi"/>
          <w:sz w:val="24"/>
          <w:szCs w:val="24"/>
        </w:rPr>
      </w:pPr>
      <w:r w:rsidRPr="002C310E">
        <w:rPr>
          <w:rFonts w:cstheme="minorHAnsi"/>
          <w:sz w:val="24"/>
          <w:szCs w:val="24"/>
        </w:rPr>
        <w:t xml:space="preserve">vybraní příjemci podpory: </w:t>
      </w:r>
      <w:r w:rsidR="006C7772" w:rsidRPr="002C310E">
        <w:rPr>
          <w:rFonts w:cstheme="minorHAnsi"/>
          <w:sz w:val="24"/>
          <w:szCs w:val="24"/>
        </w:rPr>
        <w:t>Generální ředitelství cel</w:t>
      </w:r>
      <w:r w:rsidR="00810E1B" w:rsidRPr="002C310E">
        <w:rPr>
          <w:rFonts w:cstheme="minorHAnsi"/>
          <w:sz w:val="24"/>
          <w:szCs w:val="24"/>
        </w:rPr>
        <w:t>, Praha</w:t>
      </w:r>
      <w:r w:rsidR="006777C3" w:rsidRPr="002C310E">
        <w:rPr>
          <w:rFonts w:cstheme="minorHAnsi"/>
          <w:sz w:val="24"/>
          <w:szCs w:val="24"/>
        </w:rPr>
        <w:t>;</w:t>
      </w:r>
      <w:r w:rsidRPr="002C310E">
        <w:rPr>
          <w:rFonts w:cstheme="minorHAnsi"/>
          <w:sz w:val="24"/>
          <w:szCs w:val="24"/>
        </w:rPr>
        <w:t xml:space="preserve"> </w:t>
      </w:r>
      <w:r w:rsidR="00810E1B" w:rsidRPr="002C310E">
        <w:rPr>
          <w:rFonts w:cstheme="minorHAnsi"/>
          <w:sz w:val="24"/>
          <w:szCs w:val="24"/>
        </w:rPr>
        <w:t xml:space="preserve">Integrační centrum Praha </w:t>
      </w:r>
      <w:r w:rsidR="006C7772" w:rsidRPr="002C310E">
        <w:rPr>
          <w:rFonts w:cstheme="minorHAnsi"/>
          <w:sz w:val="24"/>
          <w:szCs w:val="24"/>
        </w:rPr>
        <w:t>o.p.s.</w:t>
      </w:r>
      <w:r w:rsidR="00810E1B" w:rsidRPr="002C310E">
        <w:rPr>
          <w:rFonts w:cstheme="minorHAnsi"/>
          <w:sz w:val="24"/>
          <w:szCs w:val="24"/>
        </w:rPr>
        <w:t xml:space="preserve">; META, o.p.s. </w:t>
      </w:r>
      <w:r w:rsidR="0070683D">
        <w:rPr>
          <w:rFonts w:cstheme="minorHAnsi"/>
          <w:sz w:val="24"/>
          <w:szCs w:val="24"/>
        </w:rPr>
        <w:t>–</w:t>
      </w:r>
      <w:r w:rsidR="00810E1B" w:rsidRPr="002C310E">
        <w:rPr>
          <w:rFonts w:cstheme="minorHAnsi"/>
          <w:sz w:val="24"/>
          <w:szCs w:val="24"/>
        </w:rPr>
        <w:t xml:space="preserve"> Společnost pro příležitosti mladých migrantů, Praha; Organizace pro pomoc uprchlíkům, z.s., Praha; Poradna pro integraci, z. ú., Praha.</w:t>
      </w:r>
    </w:p>
    <w:p w14:paraId="112901D5" w14:textId="77777777" w:rsidR="00B47D21" w:rsidRPr="002C310E" w:rsidRDefault="00B47D21" w:rsidP="00915089">
      <w:pPr>
        <w:spacing w:after="0" w:line="240" w:lineRule="auto"/>
        <w:jc w:val="both"/>
        <w:rPr>
          <w:rFonts w:cstheme="minorHAnsi"/>
          <w:sz w:val="24"/>
          <w:szCs w:val="24"/>
        </w:rPr>
      </w:pPr>
    </w:p>
    <w:p w14:paraId="6D380E49" w14:textId="77777777" w:rsidR="00B47D21" w:rsidRPr="002C310E" w:rsidRDefault="00B47D21" w:rsidP="00915089">
      <w:pPr>
        <w:spacing w:after="0" w:line="240" w:lineRule="auto"/>
        <w:jc w:val="both"/>
        <w:rPr>
          <w:rFonts w:cstheme="minorHAnsi"/>
          <w:sz w:val="24"/>
          <w:szCs w:val="24"/>
        </w:rPr>
      </w:pPr>
    </w:p>
    <w:p w14:paraId="1A88F26B" w14:textId="77777777" w:rsidR="00B47D21" w:rsidRPr="002C310E" w:rsidRDefault="00F04DCF" w:rsidP="00915089">
      <w:pPr>
        <w:spacing w:after="0" w:line="240" w:lineRule="auto"/>
        <w:jc w:val="both"/>
        <w:rPr>
          <w:rFonts w:cstheme="minorHAnsi"/>
          <w:sz w:val="24"/>
          <w:szCs w:val="24"/>
        </w:rPr>
      </w:pPr>
      <w:r w:rsidRPr="002C310E">
        <w:rPr>
          <w:rFonts w:cstheme="minorHAnsi"/>
          <w:sz w:val="24"/>
          <w:szCs w:val="24"/>
        </w:rPr>
        <w:t xml:space="preserve">Kontrolováno bylo období </w:t>
      </w:r>
      <w:r w:rsidR="00DE5EC6" w:rsidRPr="002C310E">
        <w:rPr>
          <w:rFonts w:cstheme="minorHAnsi"/>
          <w:sz w:val="24"/>
          <w:szCs w:val="24"/>
        </w:rPr>
        <w:t xml:space="preserve">od roku </w:t>
      </w:r>
      <w:r w:rsidRPr="002C310E">
        <w:rPr>
          <w:rFonts w:cstheme="minorHAnsi"/>
          <w:sz w:val="24"/>
          <w:szCs w:val="24"/>
        </w:rPr>
        <w:t>201</w:t>
      </w:r>
      <w:r w:rsidR="006C7772" w:rsidRPr="002C310E">
        <w:rPr>
          <w:rFonts w:cstheme="minorHAnsi"/>
          <w:sz w:val="24"/>
          <w:szCs w:val="24"/>
        </w:rPr>
        <w:t>7</w:t>
      </w:r>
      <w:r w:rsidR="00DE5EC6" w:rsidRPr="002C310E">
        <w:rPr>
          <w:rFonts w:cstheme="minorHAnsi"/>
          <w:sz w:val="24"/>
          <w:szCs w:val="24"/>
        </w:rPr>
        <w:t xml:space="preserve"> do roku </w:t>
      </w:r>
      <w:r w:rsidRPr="002C310E">
        <w:rPr>
          <w:rFonts w:cstheme="minorHAnsi"/>
          <w:sz w:val="24"/>
          <w:szCs w:val="24"/>
        </w:rPr>
        <w:t>201</w:t>
      </w:r>
      <w:r w:rsidR="006C7772" w:rsidRPr="002C310E">
        <w:rPr>
          <w:rFonts w:cstheme="minorHAnsi"/>
          <w:sz w:val="24"/>
          <w:szCs w:val="24"/>
        </w:rPr>
        <w:t>9</w:t>
      </w:r>
      <w:r w:rsidRPr="002C310E">
        <w:rPr>
          <w:rFonts w:cstheme="minorHAnsi"/>
          <w:sz w:val="24"/>
          <w:szCs w:val="24"/>
        </w:rPr>
        <w:t>, v případě věcných souvislostí i období předcházející a následující.</w:t>
      </w:r>
    </w:p>
    <w:p w14:paraId="12C8BBEE" w14:textId="77777777" w:rsidR="00B47D21" w:rsidRPr="002C310E" w:rsidRDefault="00B47D21" w:rsidP="00915089">
      <w:pPr>
        <w:spacing w:after="0" w:line="240" w:lineRule="auto"/>
        <w:jc w:val="both"/>
        <w:rPr>
          <w:rFonts w:cstheme="minorHAnsi"/>
          <w:sz w:val="24"/>
          <w:szCs w:val="24"/>
        </w:rPr>
      </w:pPr>
    </w:p>
    <w:p w14:paraId="39DE50C2" w14:textId="77777777" w:rsidR="00B47D21" w:rsidRPr="002C310E" w:rsidRDefault="00F04DCF" w:rsidP="00915089">
      <w:pPr>
        <w:spacing w:after="0" w:line="240" w:lineRule="auto"/>
        <w:jc w:val="both"/>
        <w:rPr>
          <w:rFonts w:cstheme="minorHAnsi"/>
          <w:sz w:val="24"/>
          <w:szCs w:val="24"/>
        </w:rPr>
      </w:pPr>
      <w:r w:rsidRPr="002C310E">
        <w:rPr>
          <w:rFonts w:cstheme="minorHAnsi"/>
          <w:sz w:val="24"/>
          <w:szCs w:val="24"/>
        </w:rPr>
        <w:t xml:space="preserve">Kontrola byla prováděna u kontrolovaných osob v době od května do </w:t>
      </w:r>
      <w:r w:rsidR="006C7772" w:rsidRPr="002C310E">
        <w:rPr>
          <w:rFonts w:cstheme="minorHAnsi"/>
          <w:sz w:val="24"/>
          <w:szCs w:val="24"/>
        </w:rPr>
        <w:t>prosince</w:t>
      </w:r>
      <w:r w:rsidRPr="002C310E">
        <w:rPr>
          <w:rFonts w:cstheme="minorHAnsi"/>
          <w:sz w:val="24"/>
          <w:szCs w:val="24"/>
        </w:rPr>
        <w:t xml:space="preserve"> 20</w:t>
      </w:r>
      <w:r w:rsidR="006C7772" w:rsidRPr="002C310E">
        <w:rPr>
          <w:rFonts w:cstheme="minorHAnsi"/>
          <w:sz w:val="24"/>
          <w:szCs w:val="24"/>
        </w:rPr>
        <w:t>20</w:t>
      </w:r>
      <w:r w:rsidRPr="002C310E">
        <w:rPr>
          <w:rFonts w:cstheme="minorHAnsi"/>
          <w:sz w:val="24"/>
          <w:szCs w:val="24"/>
        </w:rPr>
        <w:t>.</w:t>
      </w:r>
    </w:p>
    <w:p w14:paraId="20CCFE44" w14:textId="77777777" w:rsidR="00B47D21" w:rsidRPr="002C310E" w:rsidRDefault="00B47D21" w:rsidP="00915089">
      <w:pPr>
        <w:spacing w:after="0" w:line="240" w:lineRule="auto"/>
        <w:jc w:val="both"/>
        <w:rPr>
          <w:rFonts w:cstheme="minorHAnsi"/>
          <w:sz w:val="24"/>
          <w:szCs w:val="24"/>
        </w:rPr>
      </w:pPr>
    </w:p>
    <w:p w14:paraId="73433DBB" w14:textId="77777777" w:rsidR="00B47D21" w:rsidRPr="002C310E" w:rsidRDefault="00B47D21" w:rsidP="00915089">
      <w:pPr>
        <w:spacing w:after="0" w:line="240" w:lineRule="auto"/>
        <w:jc w:val="both"/>
        <w:rPr>
          <w:rFonts w:cstheme="minorHAnsi"/>
          <w:sz w:val="24"/>
          <w:szCs w:val="24"/>
        </w:rPr>
      </w:pPr>
    </w:p>
    <w:p w14:paraId="75A436A0" w14:textId="64F542C2" w:rsidR="00B47D21" w:rsidRPr="002C310E" w:rsidRDefault="00F04DCF" w:rsidP="00915089">
      <w:pPr>
        <w:spacing w:line="240" w:lineRule="auto"/>
        <w:jc w:val="both"/>
        <w:rPr>
          <w:rFonts w:cstheme="minorHAnsi"/>
          <w:sz w:val="24"/>
          <w:szCs w:val="24"/>
        </w:rPr>
      </w:pPr>
      <w:r w:rsidRPr="002C310E">
        <w:rPr>
          <w:rFonts w:cstheme="minorHAnsi"/>
          <w:b/>
          <w:bCs/>
          <w:i/>
          <w:iCs/>
          <w:spacing w:val="60"/>
          <w:sz w:val="24"/>
          <w:szCs w:val="24"/>
        </w:rPr>
        <w:t>Kolegium</w:t>
      </w:r>
      <w:r w:rsidRPr="002C310E">
        <w:rPr>
          <w:rFonts w:cstheme="minorHAnsi"/>
          <w:b/>
          <w:bCs/>
          <w:i/>
          <w:iCs/>
          <w:sz w:val="24"/>
          <w:szCs w:val="24"/>
        </w:rPr>
        <w:t xml:space="preserve">   </w:t>
      </w:r>
      <w:r w:rsidRPr="002C310E">
        <w:rPr>
          <w:rFonts w:cstheme="minorHAnsi"/>
          <w:b/>
          <w:bCs/>
          <w:i/>
          <w:iCs/>
          <w:spacing w:val="60"/>
          <w:sz w:val="24"/>
          <w:szCs w:val="24"/>
        </w:rPr>
        <w:t>NKÚ</w:t>
      </w:r>
      <w:r w:rsidRPr="002C310E">
        <w:rPr>
          <w:rFonts w:cstheme="minorHAnsi"/>
          <w:sz w:val="24"/>
          <w:szCs w:val="24"/>
        </w:rPr>
        <w:t xml:space="preserve">   na svém </w:t>
      </w:r>
      <w:r w:rsidR="00166C7B">
        <w:rPr>
          <w:rFonts w:cstheme="minorHAnsi"/>
          <w:sz w:val="24"/>
          <w:szCs w:val="24"/>
        </w:rPr>
        <w:t>VII</w:t>
      </w:r>
      <w:r w:rsidRPr="002C310E">
        <w:rPr>
          <w:rFonts w:cstheme="minorHAnsi"/>
          <w:sz w:val="24"/>
          <w:szCs w:val="24"/>
        </w:rPr>
        <w:t xml:space="preserve">. jednání, které se konalo dne </w:t>
      </w:r>
      <w:r w:rsidR="00166C7B">
        <w:rPr>
          <w:rFonts w:cstheme="minorHAnsi"/>
          <w:sz w:val="24"/>
          <w:szCs w:val="24"/>
        </w:rPr>
        <w:t>19. dubna</w:t>
      </w:r>
      <w:r w:rsidR="00E20741" w:rsidRPr="002C310E">
        <w:rPr>
          <w:rFonts w:cstheme="minorHAnsi"/>
          <w:sz w:val="24"/>
          <w:szCs w:val="24"/>
        </w:rPr>
        <w:t xml:space="preserve"> 202</w:t>
      </w:r>
      <w:r w:rsidR="006C7772" w:rsidRPr="002C310E">
        <w:rPr>
          <w:rFonts w:cstheme="minorHAnsi"/>
          <w:sz w:val="24"/>
          <w:szCs w:val="24"/>
        </w:rPr>
        <w:t>1</w:t>
      </w:r>
      <w:r w:rsidRPr="002C310E">
        <w:rPr>
          <w:rFonts w:cstheme="minorHAnsi"/>
          <w:sz w:val="24"/>
          <w:szCs w:val="24"/>
        </w:rPr>
        <w:t>,</w:t>
      </w:r>
    </w:p>
    <w:p w14:paraId="37D09688" w14:textId="0A5FB684" w:rsidR="00E20741" w:rsidRPr="002C310E" w:rsidRDefault="00F04DCF" w:rsidP="00915089">
      <w:pPr>
        <w:spacing w:line="240" w:lineRule="auto"/>
        <w:jc w:val="both"/>
        <w:rPr>
          <w:rFonts w:cstheme="minorHAnsi"/>
          <w:sz w:val="24"/>
          <w:szCs w:val="24"/>
        </w:rPr>
      </w:pPr>
      <w:r w:rsidRPr="002C310E">
        <w:rPr>
          <w:rFonts w:cstheme="minorHAnsi"/>
          <w:b/>
          <w:bCs/>
          <w:i/>
          <w:iCs/>
          <w:spacing w:val="60"/>
          <w:sz w:val="24"/>
          <w:szCs w:val="24"/>
        </w:rPr>
        <w:t>schválilo</w:t>
      </w:r>
      <w:r w:rsidRPr="002C310E">
        <w:rPr>
          <w:rFonts w:cstheme="minorHAnsi"/>
          <w:sz w:val="24"/>
          <w:szCs w:val="24"/>
        </w:rPr>
        <w:t xml:space="preserve">   </w:t>
      </w:r>
      <w:r w:rsidR="00117634">
        <w:rPr>
          <w:rFonts w:cstheme="minorHAnsi"/>
          <w:sz w:val="24"/>
          <w:szCs w:val="24"/>
        </w:rPr>
        <w:t>usnesením č. 8</w:t>
      </w:r>
      <w:r w:rsidR="00166C7B">
        <w:rPr>
          <w:rFonts w:cstheme="minorHAnsi"/>
          <w:sz w:val="24"/>
          <w:szCs w:val="24"/>
        </w:rPr>
        <w:t>/VII</w:t>
      </w:r>
      <w:r w:rsidRPr="002C310E">
        <w:rPr>
          <w:rFonts w:cstheme="minorHAnsi"/>
          <w:sz w:val="24"/>
          <w:szCs w:val="24"/>
        </w:rPr>
        <w:t>/202</w:t>
      </w:r>
      <w:r w:rsidR="006C7772" w:rsidRPr="002C310E">
        <w:rPr>
          <w:rFonts w:cstheme="minorHAnsi"/>
          <w:sz w:val="24"/>
          <w:szCs w:val="24"/>
        </w:rPr>
        <w:t>1</w:t>
      </w:r>
    </w:p>
    <w:p w14:paraId="582BA35D" w14:textId="77777777" w:rsidR="00B47D21" w:rsidRPr="002C310E" w:rsidRDefault="00F04DCF" w:rsidP="00915089">
      <w:pPr>
        <w:spacing w:line="240" w:lineRule="auto"/>
        <w:jc w:val="both"/>
        <w:rPr>
          <w:rFonts w:cstheme="minorHAnsi"/>
          <w:sz w:val="24"/>
          <w:szCs w:val="24"/>
        </w:rPr>
      </w:pPr>
      <w:r w:rsidRPr="002C310E">
        <w:rPr>
          <w:rFonts w:cstheme="minorHAnsi"/>
          <w:b/>
          <w:bCs/>
          <w:i/>
          <w:iCs/>
          <w:spacing w:val="60"/>
          <w:sz w:val="24"/>
          <w:szCs w:val="24"/>
        </w:rPr>
        <w:t>kontrolní</w:t>
      </w:r>
      <w:r w:rsidRPr="002C310E">
        <w:rPr>
          <w:rFonts w:cstheme="minorHAnsi"/>
          <w:b/>
          <w:bCs/>
          <w:i/>
          <w:iCs/>
          <w:sz w:val="24"/>
          <w:szCs w:val="24"/>
        </w:rPr>
        <w:t xml:space="preserve">   </w:t>
      </w:r>
      <w:r w:rsidRPr="002C310E">
        <w:rPr>
          <w:rFonts w:cstheme="minorHAnsi"/>
          <w:b/>
          <w:bCs/>
          <w:i/>
          <w:iCs/>
          <w:spacing w:val="60"/>
          <w:sz w:val="24"/>
          <w:szCs w:val="24"/>
        </w:rPr>
        <w:t>závěr</w:t>
      </w:r>
      <w:r w:rsidRPr="002C310E">
        <w:rPr>
          <w:rFonts w:cstheme="minorHAnsi"/>
          <w:sz w:val="24"/>
          <w:szCs w:val="24"/>
        </w:rPr>
        <w:t xml:space="preserve">   v tomto znění:</w:t>
      </w:r>
    </w:p>
    <w:p w14:paraId="564D9AE7" w14:textId="26FB617A" w:rsidR="00F07896" w:rsidRDefault="00F07896" w:rsidP="00F07896">
      <w:pPr>
        <w:spacing w:after="120" w:line="240" w:lineRule="auto"/>
        <w:jc w:val="center"/>
        <w:rPr>
          <w:rStyle w:val="A4"/>
          <w:rFonts w:cstheme="minorHAnsi"/>
          <w:color w:val="5B9BD5" w:themeColor="accent1"/>
          <w:sz w:val="48"/>
          <w:szCs w:val="50"/>
        </w:rPr>
      </w:pPr>
    </w:p>
    <w:p w14:paraId="642F7845" w14:textId="77777777" w:rsidR="00F07896" w:rsidRPr="00722F4E" w:rsidRDefault="00F07896" w:rsidP="00722F4E">
      <w:pPr>
        <w:spacing w:after="120" w:line="240" w:lineRule="auto"/>
        <w:jc w:val="center"/>
        <w:rPr>
          <w:rStyle w:val="A4"/>
          <w:rFonts w:cstheme="minorHAnsi"/>
          <w:color w:val="5B9BD5" w:themeColor="accent1"/>
          <w:sz w:val="48"/>
          <w:szCs w:val="50"/>
        </w:rPr>
      </w:pPr>
    </w:p>
    <w:p w14:paraId="6644C7F0" w14:textId="7356CE26" w:rsidR="00F07896" w:rsidRPr="00177B30" w:rsidRDefault="00F07896" w:rsidP="00F07896">
      <w:pPr>
        <w:spacing w:after="120" w:line="240" w:lineRule="auto"/>
        <w:jc w:val="center"/>
        <w:rPr>
          <w:rStyle w:val="A1"/>
          <w:rFonts w:cstheme="minorHAnsi"/>
          <w:color w:val="5B9BD5" w:themeColor="accent1"/>
          <w:sz w:val="48"/>
          <w:szCs w:val="50"/>
        </w:rPr>
      </w:pPr>
      <w:r w:rsidRPr="00177B30">
        <w:rPr>
          <w:rStyle w:val="A4"/>
          <w:rFonts w:cstheme="minorHAnsi"/>
          <w:color w:val="5B9BD5" w:themeColor="accent1"/>
          <w:sz w:val="48"/>
          <w:szCs w:val="50"/>
        </w:rPr>
        <w:lastRenderedPageBreak/>
        <w:t>Migrační politika České republiky</w:t>
      </w:r>
    </w:p>
    <w:tbl>
      <w:tblPr>
        <w:tblStyle w:val="Mkatabulky"/>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2934"/>
        <w:gridCol w:w="3402"/>
      </w:tblGrid>
      <w:tr w:rsidR="00F07896" w14:paraId="0D7C2AFE" w14:textId="77777777" w:rsidTr="00722F4E">
        <w:trPr>
          <w:trHeight w:val="1701"/>
          <w:jc w:val="center"/>
        </w:trPr>
        <w:tc>
          <w:tcPr>
            <w:tcW w:w="3020" w:type="dxa"/>
          </w:tcPr>
          <w:p w14:paraId="77B73640" w14:textId="77777777" w:rsidR="00F07896" w:rsidRPr="00177B30" w:rsidRDefault="00F07896" w:rsidP="00722F4E">
            <w:pPr>
              <w:jc w:val="center"/>
              <w:rPr>
                <w:rStyle w:val="A5"/>
                <w:rFonts w:cstheme="minorHAnsi"/>
                <w:sz w:val="36"/>
              </w:rPr>
            </w:pPr>
            <w:r w:rsidRPr="00177B30">
              <w:rPr>
                <w:rStyle w:val="A5"/>
                <w:rFonts w:cstheme="minorHAnsi"/>
                <w:sz w:val="36"/>
              </w:rPr>
              <w:t>595 881</w:t>
            </w:r>
          </w:p>
          <w:p w14:paraId="4AA91CF3" w14:textId="77777777" w:rsidR="00F07896" w:rsidRPr="002C310E" w:rsidRDefault="00F07896" w:rsidP="00722F4E">
            <w:pPr>
              <w:jc w:val="center"/>
              <w:rPr>
                <w:rStyle w:val="A1"/>
                <w:rFonts w:cstheme="minorHAnsi"/>
                <w:b/>
                <w:color w:val="auto"/>
                <w:sz w:val="20"/>
                <w:szCs w:val="20"/>
              </w:rPr>
            </w:pPr>
            <w:r w:rsidRPr="002C310E">
              <w:rPr>
                <w:rFonts w:cstheme="minorHAnsi"/>
                <w:b/>
                <w:sz w:val="20"/>
                <w:szCs w:val="20"/>
              </w:rPr>
              <w:t xml:space="preserve">Počet cizinců pobývajících </w:t>
            </w:r>
            <w:r>
              <w:rPr>
                <w:rFonts w:cstheme="minorHAnsi"/>
                <w:b/>
                <w:sz w:val="20"/>
                <w:szCs w:val="20"/>
              </w:rPr>
              <w:br/>
            </w:r>
            <w:r w:rsidRPr="002C310E">
              <w:rPr>
                <w:rFonts w:cstheme="minorHAnsi"/>
                <w:b/>
                <w:sz w:val="20"/>
                <w:szCs w:val="20"/>
              </w:rPr>
              <w:t xml:space="preserve">ke konci roku 2019 </w:t>
            </w:r>
            <w:r>
              <w:rPr>
                <w:rFonts w:cstheme="minorHAnsi"/>
                <w:b/>
                <w:sz w:val="20"/>
                <w:szCs w:val="20"/>
              </w:rPr>
              <w:br/>
            </w:r>
            <w:r w:rsidRPr="002C310E">
              <w:rPr>
                <w:rFonts w:cstheme="minorHAnsi"/>
                <w:b/>
                <w:sz w:val="20"/>
                <w:szCs w:val="20"/>
              </w:rPr>
              <w:t>v České republice na základě oprávnění k přechodnému nebo trvalému pobytu</w:t>
            </w:r>
          </w:p>
        </w:tc>
        <w:tc>
          <w:tcPr>
            <w:tcW w:w="2934" w:type="dxa"/>
          </w:tcPr>
          <w:p w14:paraId="54C87F1A" w14:textId="77777777" w:rsidR="00F07896" w:rsidRPr="00177B30" w:rsidRDefault="00F07896" w:rsidP="00722F4E">
            <w:pPr>
              <w:jc w:val="center"/>
              <w:rPr>
                <w:rStyle w:val="A5"/>
                <w:rFonts w:cstheme="minorHAnsi"/>
                <w:sz w:val="36"/>
              </w:rPr>
            </w:pPr>
            <w:r w:rsidRPr="00177B30">
              <w:rPr>
                <w:rStyle w:val="A5"/>
                <w:rFonts w:cstheme="minorHAnsi"/>
                <w:sz w:val="36"/>
              </w:rPr>
              <w:t>2 058</w:t>
            </w:r>
          </w:p>
          <w:p w14:paraId="2AC0E6B5" w14:textId="77777777" w:rsidR="00F07896" w:rsidRPr="002C310E" w:rsidRDefault="00F07896" w:rsidP="00722F4E">
            <w:pPr>
              <w:jc w:val="center"/>
              <w:rPr>
                <w:rStyle w:val="A1"/>
                <w:rFonts w:cstheme="minorHAnsi"/>
                <w:sz w:val="20"/>
                <w:szCs w:val="20"/>
                <w:highlight w:val="yellow"/>
              </w:rPr>
            </w:pPr>
            <w:r w:rsidRPr="002C310E">
              <w:rPr>
                <w:rFonts w:cstheme="minorHAnsi"/>
                <w:b/>
                <w:sz w:val="20"/>
                <w:szCs w:val="20"/>
              </w:rPr>
              <w:t xml:space="preserve">Počet cizinců pobývajících </w:t>
            </w:r>
            <w:r>
              <w:rPr>
                <w:rFonts w:cstheme="minorHAnsi"/>
                <w:b/>
                <w:sz w:val="20"/>
                <w:szCs w:val="20"/>
              </w:rPr>
              <w:br/>
            </w:r>
            <w:r w:rsidRPr="002C310E">
              <w:rPr>
                <w:rFonts w:cstheme="minorHAnsi"/>
                <w:b/>
                <w:sz w:val="20"/>
                <w:szCs w:val="20"/>
              </w:rPr>
              <w:t>ke konci roku 2019 v České republice na základě přiznaného azylu nebo doplňkové ochrany</w:t>
            </w:r>
          </w:p>
        </w:tc>
        <w:tc>
          <w:tcPr>
            <w:tcW w:w="3402" w:type="dxa"/>
          </w:tcPr>
          <w:p w14:paraId="455F7490" w14:textId="77777777" w:rsidR="00F07896" w:rsidRPr="00177B30" w:rsidRDefault="00F07896" w:rsidP="00722F4E">
            <w:pPr>
              <w:jc w:val="center"/>
              <w:rPr>
                <w:rStyle w:val="A5"/>
                <w:rFonts w:cstheme="minorHAnsi"/>
                <w:sz w:val="36"/>
              </w:rPr>
            </w:pPr>
            <w:r w:rsidRPr="00177B30">
              <w:rPr>
                <w:rStyle w:val="A5"/>
                <w:rFonts w:cstheme="minorHAnsi"/>
                <w:sz w:val="36"/>
              </w:rPr>
              <w:t>6 mld. Kč</w:t>
            </w:r>
          </w:p>
          <w:p w14:paraId="7A0784BC" w14:textId="77777777" w:rsidR="00F07896" w:rsidRPr="002C310E" w:rsidRDefault="00F07896" w:rsidP="00722F4E">
            <w:pPr>
              <w:jc w:val="center"/>
              <w:rPr>
                <w:rStyle w:val="A1"/>
                <w:rFonts w:cstheme="minorHAnsi"/>
                <w:sz w:val="20"/>
                <w:szCs w:val="20"/>
                <w:highlight w:val="yellow"/>
              </w:rPr>
            </w:pPr>
            <w:r w:rsidRPr="002C310E">
              <w:rPr>
                <w:rFonts w:cstheme="minorHAnsi"/>
                <w:b/>
                <w:sz w:val="20"/>
                <w:szCs w:val="20"/>
              </w:rPr>
              <w:t>Peněžní prostředky státu vynaložené z rozpočtové kapitoly MV na migrační politiku v letech 2017–2019</w:t>
            </w:r>
          </w:p>
        </w:tc>
      </w:tr>
      <w:tr w:rsidR="00F07896" w14:paraId="180F5809" w14:textId="77777777" w:rsidTr="00722F4E">
        <w:trPr>
          <w:trHeight w:val="1417"/>
          <w:jc w:val="center"/>
        </w:trPr>
        <w:tc>
          <w:tcPr>
            <w:tcW w:w="3020" w:type="dxa"/>
          </w:tcPr>
          <w:p w14:paraId="6F8A0E23" w14:textId="77777777" w:rsidR="00F07896" w:rsidRPr="00177B30" w:rsidRDefault="00F07896" w:rsidP="00722F4E">
            <w:pPr>
              <w:jc w:val="center"/>
              <w:rPr>
                <w:rStyle w:val="A5"/>
                <w:rFonts w:cstheme="minorHAnsi"/>
                <w:sz w:val="36"/>
              </w:rPr>
            </w:pPr>
            <w:r w:rsidRPr="00177B30">
              <w:rPr>
                <w:rStyle w:val="A5"/>
                <w:rFonts w:cstheme="minorHAnsi"/>
                <w:sz w:val="36"/>
              </w:rPr>
              <w:t>899,6 mil. Kč</w:t>
            </w:r>
          </w:p>
          <w:p w14:paraId="1E4D59F1" w14:textId="77777777" w:rsidR="00F07896" w:rsidRPr="002C310E" w:rsidRDefault="00F07896" w:rsidP="00722F4E">
            <w:pPr>
              <w:jc w:val="center"/>
              <w:rPr>
                <w:rStyle w:val="A1"/>
                <w:rFonts w:cstheme="minorHAnsi"/>
                <w:color w:val="auto"/>
                <w:sz w:val="20"/>
                <w:szCs w:val="20"/>
                <w:highlight w:val="yellow"/>
              </w:rPr>
            </w:pPr>
            <w:r w:rsidRPr="002C310E">
              <w:rPr>
                <w:rFonts w:cstheme="minorHAnsi"/>
                <w:b/>
                <w:sz w:val="20"/>
                <w:szCs w:val="20"/>
              </w:rPr>
              <w:t>Peněžní prostředky státu vynaložené na kontrolované programy v letech 2017–2019</w:t>
            </w:r>
          </w:p>
        </w:tc>
        <w:tc>
          <w:tcPr>
            <w:tcW w:w="2934" w:type="dxa"/>
          </w:tcPr>
          <w:p w14:paraId="18802488" w14:textId="77777777" w:rsidR="00F07896" w:rsidRPr="00177B30" w:rsidRDefault="00F07896" w:rsidP="00722F4E">
            <w:pPr>
              <w:jc w:val="center"/>
              <w:rPr>
                <w:rStyle w:val="A5"/>
                <w:rFonts w:cstheme="minorHAnsi"/>
                <w:bCs w:val="0"/>
                <w:sz w:val="36"/>
              </w:rPr>
            </w:pPr>
            <w:r w:rsidRPr="00177B30">
              <w:rPr>
                <w:rStyle w:val="A5"/>
                <w:rFonts w:cstheme="minorHAnsi"/>
                <w:bCs w:val="0"/>
                <w:sz w:val="36"/>
              </w:rPr>
              <w:t>3</w:t>
            </w:r>
            <w:r w:rsidRPr="00177B30">
              <w:rPr>
                <w:rStyle w:val="A5"/>
                <w:rFonts w:cstheme="minorHAnsi"/>
                <w:sz w:val="36"/>
              </w:rPr>
              <w:t>3 + 39</w:t>
            </w:r>
          </w:p>
          <w:p w14:paraId="07062ECE" w14:textId="77777777" w:rsidR="00F07896" w:rsidRPr="002C310E" w:rsidRDefault="00F07896" w:rsidP="00722F4E">
            <w:pPr>
              <w:jc w:val="center"/>
              <w:rPr>
                <w:rStyle w:val="A1"/>
                <w:rFonts w:cstheme="minorHAnsi"/>
                <w:bCs/>
                <w:sz w:val="20"/>
                <w:szCs w:val="20"/>
                <w:highlight w:val="yellow"/>
              </w:rPr>
            </w:pPr>
            <w:r w:rsidRPr="002C310E">
              <w:rPr>
                <w:rFonts w:cstheme="minorHAnsi"/>
                <w:b/>
                <w:sz w:val="20"/>
                <w:szCs w:val="20"/>
              </w:rPr>
              <w:t>NKÚ kontroloval 33 projektů a 39 individuálních integračních plánů</w:t>
            </w:r>
          </w:p>
        </w:tc>
        <w:tc>
          <w:tcPr>
            <w:tcW w:w="3402" w:type="dxa"/>
          </w:tcPr>
          <w:p w14:paraId="133E4D8F" w14:textId="77777777" w:rsidR="00F07896" w:rsidRPr="00177B30" w:rsidRDefault="00F07896" w:rsidP="00722F4E">
            <w:pPr>
              <w:jc w:val="center"/>
              <w:rPr>
                <w:rStyle w:val="A5"/>
                <w:rFonts w:cstheme="minorHAnsi"/>
                <w:sz w:val="36"/>
              </w:rPr>
            </w:pPr>
            <w:r w:rsidRPr="00177B30">
              <w:rPr>
                <w:rStyle w:val="A5"/>
                <w:rFonts w:cstheme="minorHAnsi"/>
                <w:sz w:val="36"/>
              </w:rPr>
              <w:t>556,6 mil. Kč</w:t>
            </w:r>
          </w:p>
          <w:p w14:paraId="58322DAE" w14:textId="77777777" w:rsidR="00F07896" w:rsidRPr="002C310E" w:rsidRDefault="00F07896" w:rsidP="00722F4E">
            <w:pPr>
              <w:jc w:val="center"/>
              <w:rPr>
                <w:rStyle w:val="A1"/>
                <w:rFonts w:cstheme="minorHAnsi"/>
                <w:sz w:val="20"/>
                <w:szCs w:val="20"/>
                <w:highlight w:val="yellow"/>
              </w:rPr>
            </w:pPr>
            <w:r w:rsidRPr="002C310E">
              <w:rPr>
                <w:rFonts w:cstheme="minorHAnsi"/>
                <w:b/>
                <w:sz w:val="20"/>
                <w:szCs w:val="20"/>
              </w:rPr>
              <w:t>Peněžní prostředky státu vynaložené na projekty</w:t>
            </w:r>
            <w:r>
              <w:rPr>
                <w:rFonts w:cstheme="minorHAnsi"/>
                <w:b/>
                <w:sz w:val="20"/>
                <w:szCs w:val="20"/>
              </w:rPr>
              <w:t xml:space="preserve"> a individuální integrační plány</w:t>
            </w:r>
            <w:r w:rsidRPr="002C310E">
              <w:rPr>
                <w:rFonts w:cstheme="minorHAnsi"/>
                <w:b/>
                <w:sz w:val="20"/>
                <w:szCs w:val="20"/>
              </w:rPr>
              <w:t xml:space="preserve"> kontrolované NKÚ</w:t>
            </w:r>
          </w:p>
        </w:tc>
      </w:tr>
    </w:tbl>
    <w:p w14:paraId="1FB1135C" w14:textId="77777777" w:rsidR="00F07896" w:rsidRPr="002C310E" w:rsidRDefault="00F07896" w:rsidP="00F07896">
      <w:pPr>
        <w:pStyle w:val="Normlnweb"/>
        <w:rPr>
          <w:rFonts w:asciiTheme="minorHAnsi" w:eastAsiaTheme="minorHAnsi" w:hAnsiTheme="minorHAnsi" w:cstheme="minorHAnsi"/>
          <w:b/>
          <w:sz w:val="20"/>
          <w:szCs w:val="20"/>
        </w:rPr>
      </w:pPr>
    </w:p>
    <w:p w14:paraId="67406BD7" w14:textId="77777777" w:rsidR="00F07896" w:rsidRPr="00722F4E" w:rsidRDefault="00F07896" w:rsidP="00F07896">
      <w:pPr>
        <w:spacing w:after="0" w:line="240" w:lineRule="auto"/>
        <w:jc w:val="center"/>
        <w:rPr>
          <w:rFonts w:cstheme="minorHAnsi"/>
          <w:szCs w:val="24"/>
        </w:rPr>
      </w:pPr>
      <w:r w:rsidRPr="002C310E">
        <w:rPr>
          <w:rStyle w:val="A5"/>
          <w:rFonts w:cstheme="minorHAnsi"/>
          <w:sz w:val="24"/>
          <w:szCs w:val="24"/>
        </w:rPr>
        <w:t xml:space="preserve">Počet a </w:t>
      </w:r>
      <w:r>
        <w:rPr>
          <w:rStyle w:val="A5"/>
          <w:rFonts w:cstheme="minorHAnsi"/>
          <w:sz w:val="24"/>
          <w:szCs w:val="24"/>
        </w:rPr>
        <w:t>geografický původ</w:t>
      </w:r>
      <w:r w:rsidRPr="002C310E">
        <w:rPr>
          <w:rStyle w:val="A5"/>
          <w:rFonts w:cstheme="minorHAnsi"/>
          <w:sz w:val="24"/>
          <w:szCs w:val="24"/>
        </w:rPr>
        <w:t xml:space="preserve"> cizinců v ČR v </w:t>
      </w:r>
      <w:r>
        <w:rPr>
          <w:rStyle w:val="A5"/>
          <w:rFonts w:cstheme="minorHAnsi"/>
          <w:sz w:val="24"/>
          <w:szCs w:val="24"/>
        </w:rPr>
        <w:t>letech</w:t>
      </w:r>
      <w:r w:rsidRPr="002C310E">
        <w:rPr>
          <w:rStyle w:val="A5"/>
          <w:rFonts w:cstheme="minorHAnsi"/>
          <w:sz w:val="24"/>
          <w:szCs w:val="24"/>
        </w:rPr>
        <w:t xml:space="preserve"> 2015 </w:t>
      </w:r>
      <w:r>
        <w:rPr>
          <w:rStyle w:val="A5"/>
          <w:rFonts w:cstheme="minorHAnsi"/>
          <w:sz w:val="24"/>
          <w:szCs w:val="24"/>
        </w:rPr>
        <w:t>až</w:t>
      </w:r>
      <w:r w:rsidRPr="002C310E">
        <w:rPr>
          <w:rStyle w:val="A5"/>
          <w:rFonts w:cstheme="minorHAnsi"/>
          <w:sz w:val="24"/>
          <w:szCs w:val="24"/>
        </w:rPr>
        <w:t xml:space="preserve"> 2019</w:t>
      </w:r>
    </w:p>
    <w:p w14:paraId="2D75F285" w14:textId="77777777" w:rsidR="00F07896" w:rsidRPr="002C310E" w:rsidRDefault="00F07896" w:rsidP="00F07896">
      <w:pPr>
        <w:spacing w:after="0" w:line="240" w:lineRule="auto"/>
        <w:rPr>
          <w:rFonts w:cstheme="minorHAnsi"/>
          <w:sz w:val="28"/>
          <w:szCs w:val="32"/>
        </w:rPr>
      </w:pPr>
      <w:r>
        <w:rPr>
          <w:noProof/>
          <w:lang w:eastAsia="cs-CZ"/>
        </w:rPr>
        <w:drawing>
          <wp:inline distT="0" distB="0" distL="0" distR="0" wp14:anchorId="1A445660" wp14:editId="4AB270D3">
            <wp:extent cx="5915025" cy="22383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E5A2DF" w14:textId="77777777" w:rsidR="00F07896" w:rsidRPr="002C310E" w:rsidRDefault="00F07896" w:rsidP="00F07896">
      <w:pPr>
        <w:spacing w:after="0" w:line="240" w:lineRule="auto"/>
        <w:rPr>
          <w:rFonts w:cstheme="minorHAnsi"/>
          <w:sz w:val="20"/>
          <w:szCs w:val="20"/>
        </w:rPr>
      </w:pPr>
      <w:r w:rsidRPr="002C310E">
        <w:rPr>
          <w:rFonts w:cstheme="minorHAnsi"/>
          <w:sz w:val="20"/>
          <w:szCs w:val="20"/>
        </w:rPr>
        <w:t>*</w:t>
      </w:r>
      <w:r>
        <w:rPr>
          <w:rFonts w:cstheme="minorHAnsi"/>
          <w:sz w:val="20"/>
          <w:szCs w:val="20"/>
        </w:rPr>
        <w:t>P</w:t>
      </w:r>
      <w:r w:rsidRPr="002C310E">
        <w:rPr>
          <w:rFonts w:cstheme="minorHAnsi"/>
          <w:sz w:val="20"/>
          <w:szCs w:val="20"/>
        </w:rPr>
        <w:t>oměr k celkové populaci ČR (v %)</w:t>
      </w:r>
      <w:r>
        <w:rPr>
          <w:rFonts w:cstheme="minorHAnsi"/>
          <w:sz w:val="20"/>
          <w:szCs w:val="20"/>
        </w:rPr>
        <w:t>.</w:t>
      </w:r>
    </w:p>
    <w:p w14:paraId="24A61496" w14:textId="77777777" w:rsidR="00F07896" w:rsidRPr="00491FCA" w:rsidRDefault="00F07896" w:rsidP="00F07896">
      <w:pPr>
        <w:spacing w:after="0" w:line="240" w:lineRule="auto"/>
        <w:rPr>
          <w:rFonts w:cstheme="minorHAnsi"/>
          <w:sz w:val="20"/>
          <w:szCs w:val="20"/>
        </w:rPr>
      </w:pPr>
      <w:r w:rsidRPr="00491FCA">
        <w:rPr>
          <w:rFonts w:cstheme="minorHAnsi"/>
          <w:b/>
          <w:sz w:val="20"/>
          <w:szCs w:val="20"/>
        </w:rPr>
        <w:t>Zdroj:</w:t>
      </w:r>
      <w:r w:rsidRPr="00491FCA">
        <w:rPr>
          <w:rFonts w:cstheme="minorHAnsi"/>
          <w:sz w:val="20"/>
          <w:szCs w:val="20"/>
        </w:rPr>
        <w:t xml:space="preserve"> </w:t>
      </w:r>
      <w:r>
        <w:rPr>
          <w:rFonts w:cstheme="minorHAnsi"/>
          <w:sz w:val="20"/>
          <w:szCs w:val="20"/>
        </w:rPr>
        <w:t xml:space="preserve">vypracoval </w:t>
      </w:r>
      <w:r w:rsidRPr="00491FCA">
        <w:rPr>
          <w:rFonts w:cstheme="minorHAnsi"/>
          <w:sz w:val="20"/>
          <w:szCs w:val="20"/>
        </w:rPr>
        <w:t>NKÚ</w:t>
      </w:r>
      <w:r>
        <w:rPr>
          <w:rFonts w:cstheme="minorHAnsi"/>
          <w:sz w:val="20"/>
          <w:szCs w:val="20"/>
        </w:rPr>
        <w:t>.</w:t>
      </w:r>
    </w:p>
    <w:p w14:paraId="12709497" w14:textId="77777777" w:rsidR="00F07896" w:rsidRPr="002C310E" w:rsidRDefault="00F07896" w:rsidP="00F07896">
      <w:pPr>
        <w:pStyle w:val="Normlnweb"/>
        <w:rPr>
          <w:rFonts w:asciiTheme="minorHAnsi" w:eastAsiaTheme="minorHAnsi" w:hAnsiTheme="minorHAnsi" w:cstheme="minorHAnsi"/>
          <w:b/>
          <w:sz w:val="20"/>
          <w:szCs w:val="20"/>
        </w:rPr>
      </w:pPr>
    </w:p>
    <w:p w14:paraId="04010D05" w14:textId="77777777" w:rsidR="00F07896" w:rsidRPr="00722F4E" w:rsidRDefault="00F07896" w:rsidP="00F07896">
      <w:pPr>
        <w:spacing w:after="0" w:line="240" w:lineRule="auto"/>
        <w:jc w:val="center"/>
        <w:rPr>
          <w:rFonts w:cstheme="minorHAnsi"/>
          <w:szCs w:val="24"/>
        </w:rPr>
      </w:pPr>
      <w:r w:rsidRPr="002C310E">
        <w:rPr>
          <w:rStyle w:val="A5"/>
          <w:rFonts w:cstheme="minorHAnsi"/>
          <w:sz w:val="24"/>
          <w:szCs w:val="24"/>
        </w:rPr>
        <w:t>Počet zjištěných osob bez</w:t>
      </w:r>
      <w:r>
        <w:rPr>
          <w:rStyle w:val="A5"/>
          <w:rFonts w:cstheme="minorHAnsi"/>
          <w:sz w:val="24"/>
          <w:szCs w:val="24"/>
        </w:rPr>
        <w:t xml:space="preserve"> povoleného</w:t>
      </w:r>
      <w:r w:rsidRPr="002C310E">
        <w:rPr>
          <w:rStyle w:val="A5"/>
          <w:rFonts w:cstheme="minorHAnsi"/>
          <w:sz w:val="24"/>
          <w:szCs w:val="24"/>
        </w:rPr>
        <w:t xml:space="preserve"> pobytu a osob s mezinárodní ochranou v ČR v </w:t>
      </w:r>
      <w:r>
        <w:rPr>
          <w:rStyle w:val="A5"/>
          <w:rFonts w:cstheme="minorHAnsi"/>
          <w:sz w:val="24"/>
          <w:szCs w:val="24"/>
        </w:rPr>
        <w:t>letech</w:t>
      </w:r>
      <w:r w:rsidRPr="002C310E">
        <w:rPr>
          <w:rStyle w:val="A5"/>
          <w:rFonts w:cstheme="minorHAnsi"/>
          <w:sz w:val="24"/>
          <w:szCs w:val="24"/>
        </w:rPr>
        <w:t xml:space="preserve"> 2015 </w:t>
      </w:r>
      <w:r>
        <w:rPr>
          <w:rStyle w:val="A5"/>
          <w:rFonts w:cstheme="minorHAnsi"/>
          <w:sz w:val="24"/>
          <w:szCs w:val="24"/>
        </w:rPr>
        <w:t>až</w:t>
      </w:r>
      <w:r w:rsidRPr="002C310E">
        <w:rPr>
          <w:rStyle w:val="A5"/>
          <w:rFonts w:cstheme="minorHAnsi"/>
          <w:sz w:val="24"/>
          <w:szCs w:val="24"/>
        </w:rPr>
        <w:t xml:space="preserve"> 2019</w:t>
      </w:r>
    </w:p>
    <w:p w14:paraId="375D3A14" w14:textId="77777777" w:rsidR="00F07896" w:rsidRPr="002C310E" w:rsidRDefault="00F07896" w:rsidP="00F07896">
      <w:pPr>
        <w:spacing w:after="0" w:line="240" w:lineRule="auto"/>
        <w:rPr>
          <w:rFonts w:cstheme="minorHAnsi"/>
        </w:rPr>
      </w:pPr>
      <w:r>
        <w:rPr>
          <w:noProof/>
          <w:lang w:eastAsia="cs-CZ"/>
        </w:rPr>
        <w:drawing>
          <wp:inline distT="0" distB="0" distL="0" distR="0" wp14:anchorId="3A9F2139" wp14:editId="2EF35E06">
            <wp:extent cx="5915025" cy="229552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89F320" w14:textId="77777777" w:rsidR="00F07896" w:rsidRPr="002C310E" w:rsidRDefault="00F07896" w:rsidP="00F07896">
      <w:pPr>
        <w:spacing w:after="0" w:line="240" w:lineRule="auto"/>
        <w:ind w:left="567" w:hanging="567"/>
        <w:jc w:val="both"/>
        <w:rPr>
          <w:rFonts w:eastAsia="Times New Roman" w:cstheme="minorHAnsi"/>
          <w:sz w:val="20"/>
          <w:szCs w:val="20"/>
        </w:rPr>
      </w:pPr>
      <w:r w:rsidRPr="00491FCA">
        <w:rPr>
          <w:rFonts w:cstheme="minorHAnsi"/>
          <w:b/>
          <w:sz w:val="20"/>
          <w:szCs w:val="20"/>
        </w:rPr>
        <w:t>Pozn.:</w:t>
      </w:r>
      <w:r w:rsidRPr="002C310E">
        <w:rPr>
          <w:rFonts w:cstheme="minorHAnsi"/>
          <w:sz w:val="20"/>
          <w:szCs w:val="20"/>
        </w:rPr>
        <w:t xml:space="preserve"> Počet osob se statusem azylanta v letech 2016 a 2017 není uveden</w:t>
      </w:r>
      <w:r w:rsidRPr="002C310E">
        <w:rPr>
          <w:rFonts w:eastAsia="Times New Roman" w:cstheme="minorHAnsi"/>
          <w:sz w:val="20"/>
          <w:szCs w:val="20"/>
        </w:rPr>
        <w:t xml:space="preserve"> z důvodu technických problémů informačního systému MV.</w:t>
      </w:r>
    </w:p>
    <w:p w14:paraId="5D40CEA4" w14:textId="60A1A885" w:rsidR="00F07896" w:rsidRDefault="00F07896" w:rsidP="00F07896">
      <w:pPr>
        <w:spacing w:after="0" w:line="240" w:lineRule="auto"/>
        <w:jc w:val="both"/>
        <w:rPr>
          <w:rFonts w:eastAsia="Times New Roman" w:cstheme="minorHAnsi"/>
          <w:sz w:val="20"/>
          <w:szCs w:val="20"/>
        </w:rPr>
      </w:pPr>
      <w:r w:rsidRPr="00491FCA">
        <w:rPr>
          <w:rFonts w:eastAsia="Times New Roman" w:cstheme="minorHAnsi"/>
          <w:b/>
          <w:sz w:val="20"/>
          <w:szCs w:val="20"/>
        </w:rPr>
        <w:t>Zdroj:</w:t>
      </w:r>
      <w:r w:rsidRPr="00491FCA">
        <w:rPr>
          <w:rFonts w:eastAsia="Times New Roman" w:cstheme="minorHAnsi"/>
          <w:sz w:val="20"/>
          <w:szCs w:val="20"/>
        </w:rPr>
        <w:t xml:space="preserve"> </w:t>
      </w:r>
      <w:r>
        <w:rPr>
          <w:rFonts w:eastAsia="Times New Roman" w:cstheme="minorHAnsi"/>
          <w:sz w:val="20"/>
          <w:szCs w:val="20"/>
        </w:rPr>
        <w:t xml:space="preserve">vypracoval </w:t>
      </w:r>
      <w:r w:rsidRPr="00491FCA">
        <w:rPr>
          <w:rFonts w:eastAsia="Times New Roman" w:cstheme="minorHAnsi"/>
          <w:sz w:val="20"/>
          <w:szCs w:val="20"/>
        </w:rPr>
        <w:t>NKÚ</w:t>
      </w:r>
      <w:r>
        <w:rPr>
          <w:rFonts w:eastAsia="Times New Roman" w:cstheme="minorHAnsi"/>
          <w:sz w:val="20"/>
          <w:szCs w:val="20"/>
        </w:rPr>
        <w:t>.</w:t>
      </w:r>
    </w:p>
    <w:p w14:paraId="1D271D53" w14:textId="6D9AC25E" w:rsidR="00B47D21" w:rsidRPr="002C310E" w:rsidRDefault="00B47D21" w:rsidP="00915089">
      <w:pPr>
        <w:spacing w:after="0" w:line="240" w:lineRule="auto"/>
        <w:rPr>
          <w:rFonts w:cstheme="minorHAnsi"/>
          <w:sz w:val="24"/>
          <w:szCs w:val="24"/>
        </w:rPr>
      </w:pPr>
    </w:p>
    <w:p w14:paraId="21496A39" w14:textId="1DDA7C34" w:rsidR="0034720A" w:rsidRPr="002C310E" w:rsidRDefault="00177B30" w:rsidP="00177B30">
      <w:pPr>
        <w:pStyle w:val="Nadpis1"/>
        <w:spacing w:before="0" w:line="240" w:lineRule="auto"/>
        <w:jc w:val="center"/>
        <w:rPr>
          <w:rFonts w:asciiTheme="minorHAnsi" w:hAnsiTheme="minorHAnsi" w:cstheme="minorHAnsi"/>
          <w:b/>
          <w:color w:val="auto"/>
          <w:sz w:val="28"/>
          <w:szCs w:val="28"/>
        </w:rPr>
      </w:pPr>
      <w:r>
        <w:rPr>
          <w:rFonts w:asciiTheme="minorHAnsi" w:hAnsiTheme="minorHAnsi" w:cstheme="minorHAnsi"/>
          <w:b/>
          <w:color w:val="auto"/>
          <w:sz w:val="28"/>
          <w:szCs w:val="28"/>
        </w:rPr>
        <w:t>I</w:t>
      </w:r>
      <w:r w:rsidR="00F04DCF" w:rsidRPr="002C310E">
        <w:rPr>
          <w:rFonts w:asciiTheme="minorHAnsi" w:hAnsiTheme="minorHAnsi" w:cstheme="minorHAnsi"/>
          <w:b/>
          <w:color w:val="auto"/>
          <w:sz w:val="28"/>
          <w:szCs w:val="28"/>
        </w:rPr>
        <w:t>. Shrnutí a vyhodnocení</w:t>
      </w:r>
    </w:p>
    <w:p w14:paraId="187CD71D" w14:textId="77777777" w:rsidR="00431AA9" w:rsidRPr="002C310E" w:rsidRDefault="00431AA9" w:rsidP="00915089">
      <w:pPr>
        <w:pStyle w:val="Odstavecseseznamem"/>
        <w:spacing w:after="0" w:line="240" w:lineRule="auto"/>
        <w:ind w:left="0"/>
        <w:rPr>
          <w:rFonts w:cstheme="minorHAnsi"/>
          <w:sz w:val="24"/>
          <w:szCs w:val="32"/>
        </w:rPr>
      </w:pPr>
    </w:p>
    <w:p w14:paraId="0855352D" w14:textId="38AE1984" w:rsidR="0034720A" w:rsidRPr="002C310E" w:rsidRDefault="00F04DCF" w:rsidP="00CA3D82">
      <w:pPr>
        <w:pStyle w:val="Odstavecseseznamem"/>
        <w:spacing w:after="120" w:line="240" w:lineRule="auto"/>
        <w:ind w:left="0"/>
        <w:contextualSpacing w:val="0"/>
        <w:jc w:val="both"/>
        <w:rPr>
          <w:rFonts w:cstheme="minorHAnsi"/>
          <w:sz w:val="24"/>
          <w:szCs w:val="24"/>
        </w:rPr>
      </w:pPr>
      <w:r w:rsidRPr="002C310E">
        <w:rPr>
          <w:rFonts w:cstheme="minorHAnsi"/>
          <w:b/>
          <w:bCs/>
          <w:sz w:val="24"/>
          <w:szCs w:val="24"/>
        </w:rPr>
        <w:t>1.1</w:t>
      </w:r>
      <w:r w:rsidRPr="002C310E">
        <w:rPr>
          <w:rFonts w:cstheme="minorHAnsi"/>
          <w:sz w:val="24"/>
          <w:szCs w:val="24"/>
        </w:rPr>
        <w:t xml:space="preserve"> NKÚ provedl kontrolu peněžních prostředků státu </w:t>
      </w:r>
      <w:r w:rsidR="00574D62" w:rsidRPr="002C310E">
        <w:rPr>
          <w:rFonts w:cstheme="minorHAnsi"/>
          <w:sz w:val="24"/>
          <w:szCs w:val="24"/>
        </w:rPr>
        <w:t>vynakládaných na plnění vybraných cílů migrační politiky České republiky</w:t>
      </w:r>
      <w:r w:rsidR="00443111" w:rsidRPr="002C310E">
        <w:rPr>
          <w:rFonts w:cstheme="minorHAnsi"/>
          <w:sz w:val="24"/>
          <w:szCs w:val="24"/>
        </w:rPr>
        <w:t xml:space="preserve"> (dále t</w:t>
      </w:r>
      <w:r w:rsidR="0090582A" w:rsidRPr="002C310E">
        <w:rPr>
          <w:rFonts w:cstheme="minorHAnsi"/>
          <w:sz w:val="24"/>
          <w:szCs w:val="24"/>
        </w:rPr>
        <w:t>éž</w:t>
      </w:r>
      <w:r w:rsidR="00443111" w:rsidRPr="002C310E">
        <w:rPr>
          <w:rFonts w:cstheme="minorHAnsi"/>
          <w:sz w:val="24"/>
          <w:szCs w:val="24"/>
        </w:rPr>
        <w:t xml:space="preserve"> „ČR“)</w:t>
      </w:r>
      <w:r w:rsidR="00574D62" w:rsidRPr="002C310E">
        <w:rPr>
          <w:rFonts w:cstheme="minorHAnsi"/>
          <w:sz w:val="24"/>
          <w:szCs w:val="24"/>
        </w:rPr>
        <w:t>.</w:t>
      </w:r>
      <w:r w:rsidR="00B02338" w:rsidRPr="002C310E">
        <w:rPr>
          <w:rFonts w:cstheme="minorHAnsi"/>
          <w:sz w:val="24"/>
          <w:szCs w:val="24"/>
        </w:rPr>
        <w:t xml:space="preserve"> </w:t>
      </w:r>
      <w:r w:rsidR="00AE53C2" w:rsidRPr="002C310E">
        <w:rPr>
          <w:rFonts w:cstheme="minorHAnsi"/>
          <w:sz w:val="24"/>
          <w:szCs w:val="24"/>
        </w:rPr>
        <w:t>P</w:t>
      </w:r>
      <w:r w:rsidR="00C6205B" w:rsidRPr="002C310E">
        <w:rPr>
          <w:rFonts w:cstheme="minorHAnsi"/>
          <w:sz w:val="24"/>
          <w:szCs w:val="24"/>
        </w:rPr>
        <w:t xml:space="preserve">roces začleňování </w:t>
      </w:r>
      <w:r w:rsidR="009475BF" w:rsidRPr="002C310E">
        <w:rPr>
          <w:rFonts w:cstheme="minorHAnsi"/>
          <w:sz w:val="24"/>
          <w:szCs w:val="24"/>
        </w:rPr>
        <w:t>cizinců</w:t>
      </w:r>
      <w:r w:rsidR="00C6205B" w:rsidRPr="002C310E">
        <w:rPr>
          <w:rFonts w:cstheme="minorHAnsi"/>
          <w:sz w:val="24"/>
          <w:szCs w:val="24"/>
        </w:rPr>
        <w:t xml:space="preserve"> do struktur a</w:t>
      </w:r>
      <w:r w:rsidR="009B7D90">
        <w:rPr>
          <w:rFonts w:cstheme="minorHAnsi"/>
          <w:sz w:val="24"/>
          <w:szCs w:val="24"/>
        </w:rPr>
        <w:t> </w:t>
      </w:r>
      <w:r w:rsidR="00C6205B" w:rsidRPr="002C310E">
        <w:rPr>
          <w:rFonts w:cstheme="minorHAnsi"/>
          <w:sz w:val="24"/>
          <w:szCs w:val="24"/>
        </w:rPr>
        <w:t xml:space="preserve">vazeb </w:t>
      </w:r>
      <w:r w:rsidR="000C1B9D" w:rsidRPr="002C310E">
        <w:rPr>
          <w:rFonts w:cstheme="minorHAnsi"/>
          <w:sz w:val="24"/>
          <w:szCs w:val="24"/>
        </w:rPr>
        <w:t xml:space="preserve">české </w:t>
      </w:r>
      <w:r w:rsidR="00C6205B" w:rsidRPr="002C310E">
        <w:rPr>
          <w:rFonts w:cstheme="minorHAnsi"/>
          <w:sz w:val="24"/>
          <w:szCs w:val="24"/>
        </w:rPr>
        <w:t>společnosti</w:t>
      </w:r>
      <w:r w:rsidR="00620518" w:rsidRPr="002C310E">
        <w:rPr>
          <w:rFonts w:cstheme="minorHAnsi"/>
          <w:sz w:val="24"/>
          <w:szCs w:val="24"/>
        </w:rPr>
        <w:t xml:space="preserve"> </w:t>
      </w:r>
      <w:r w:rsidR="000C1B9D" w:rsidRPr="002C310E">
        <w:rPr>
          <w:rFonts w:cstheme="minorHAnsi"/>
          <w:sz w:val="24"/>
          <w:szCs w:val="24"/>
        </w:rPr>
        <w:t>má své společe</w:t>
      </w:r>
      <w:r w:rsidR="001C36FF" w:rsidRPr="002C310E">
        <w:rPr>
          <w:rFonts w:cstheme="minorHAnsi"/>
          <w:sz w:val="24"/>
          <w:szCs w:val="24"/>
        </w:rPr>
        <w:t>nsk</w:t>
      </w:r>
      <w:r w:rsidR="00470DC3" w:rsidRPr="002C310E">
        <w:rPr>
          <w:rFonts w:cstheme="minorHAnsi"/>
          <w:sz w:val="24"/>
          <w:szCs w:val="24"/>
        </w:rPr>
        <w:t>é</w:t>
      </w:r>
      <w:r w:rsidR="006840F4" w:rsidRPr="002C310E">
        <w:rPr>
          <w:rFonts w:cstheme="minorHAnsi"/>
          <w:sz w:val="24"/>
          <w:szCs w:val="24"/>
        </w:rPr>
        <w:t xml:space="preserve">, bezpečnostní </w:t>
      </w:r>
      <w:r w:rsidR="00620518" w:rsidRPr="002C310E">
        <w:rPr>
          <w:rFonts w:cstheme="minorHAnsi"/>
          <w:sz w:val="24"/>
          <w:szCs w:val="24"/>
        </w:rPr>
        <w:t>a</w:t>
      </w:r>
      <w:r w:rsidR="006840F4" w:rsidRPr="002C310E">
        <w:rPr>
          <w:rFonts w:cstheme="minorHAnsi"/>
          <w:sz w:val="24"/>
          <w:szCs w:val="24"/>
        </w:rPr>
        <w:t> </w:t>
      </w:r>
      <w:r w:rsidR="001C36FF" w:rsidRPr="002C310E">
        <w:rPr>
          <w:rFonts w:cstheme="minorHAnsi"/>
          <w:sz w:val="24"/>
          <w:szCs w:val="24"/>
        </w:rPr>
        <w:t>ekonomick</w:t>
      </w:r>
      <w:r w:rsidR="00470DC3" w:rsidRPr="002C310E">
        <w:rPr>
          <w:rFonts w:cstheme="minorHAnsi"/>
          <w:sz w:val="24"/>
          <w:szCs w:val="24"/>
        </w:rPr>
        <w:t>é</w:t>
      </w:r>
      <w:r w:rsidR="001C36FF" w:rsidRPr="002C310E">
        <w:rPr>
          <w:rFonts w:cstheme="minorHAnsi"/>
          <w:sz w:val="24"/>
          <w:szCs w:val="24"/>
        </w:rPr>
        <w:t xml:space="preserve"> dopady</w:t>
      </w:r>
      <w:r w:rsidR="007B13E5" w:rsidRPr="002C310E">
        <w:rPr>
          <w:rFonts w:cstheme="minorHAnsi"/>
          <w:sz w:val="24"/>
          <w:szCs w:val="24"/>
        </w:rPr>
        <w:t xml:space="preserve">. </w:t>
      </w:r>
      <w:r w:rsidR="0023607A" w:rsidRPr="002C310E">
        <w:rPr>
          <w:rFonts w:cstheme="minorHAnsi"/>
          <w:sz w:val="24"/>
          <w:szCs w:val="24"/>
        </w:rPr>
        <w:t>Smyslem přijíma</w:t>
      </w:r>
      <w:r w:rsidR="00620518" w:rsidRPr="002C310E">
        <w:rPr>
          <w:rFonts w:cstheme="minorHAnsi"/>
          <w:sz w:val="24"/>
          <w:szCs w:val="24"/>
        </w:rPr>
        <w:t xml:space="preserve">ných </w:t>
      </w:r>
      <w:r w:rsidR="0023607A" w:rsidRPr="002C310E">
        <w:rPr>
          <w:rFonts w:cstheme="minorHAnsi"/>
          <w:sz w:val="24"/>
          <w:szCs w:val="24"/>
        </w:rPr>
        <w:t>opatření</w:t>
      </w:r>
      <w:r w:rsidR="009526A3" w:rsidRPr="002C310E">
        <w:rPr>
          <w:rFonts w:cstheme="minorHAnsi"/>
          <w:sz w:val="24"/>
          <w:szCs w:val="24"/>
        </w:rPr>
        <w:t xml:space="preserve"> ze strany státu </w:t>
      </w:r>
      <w:r w:rsidR="00620518" w:rsidRPr="002C310E">
        <w:rPr>
          <w:rFonts w:cstheme="minorHAnsi"/>
          <w:sz w:val="24"/>
          <w:szCs w:val="24"/>
        </w:rPr>
        <w:t>je</w:t>
      </w:r>
      <w:r w:rsidR="0023607A" w:rsidRPr="002C310E">
        <w:rPr>
          <w:rFonts w:cstheme="minorHAnsi"/>
          <w:sz w:val="24"/>
          <w:szCs w:val="24"/>
        </w:rPr>
        <w:t> </w:t>
      </w:r>
      <w:r w:rsidR="009526A3" w:rsidRPr="002C310E">
        <w:rPr>
          <w:rFonts w:cstheme="minorHAnsi"/>
          <w:sz w:val="24"/>
          <w:szCs w:val="24"/>
        </w:rPr>
        <w:t xml:space="preserve">proto </w:t>
      </w:r>
      <w:r w:rsidR="0023607A" w:rsidRPr="002C310E">
        <w:rPr>
          <w:rFonts w:cstheme="minorHAnsi"/>
          <w:sz w:val="24"/>
          <w:szCs w:val="24"/>
        </w:rPr>
        <w:t>podpo</w:t>
      </w:r>
      <w:r w:rsidR="00620518" w:rsidRPr="002C310E">
        <w:rPr>
          <w:rFonts w:cstheme="minorHAnsi"/>
          <w:sz w:val="24"/>
          <w:szCs w:val="24"/>
        </w:rPr>
        <w:t>ra</w:t>
      </w:r>
      <w:r w:rsidR="0023607A" w:rsidRPr="002C310E">
        <w:rPr>
          <w:rFonts w:cstheme="minorHAnsi"/>
          <w:sz w:val="24"/>
          <w:szCs w:val="24"/>
        </w:rPr>
        <w:t xml:space="preserve"> </w:t>
      </w:r>
      <w:r w:rsidR="002F05C3" w:rsidRPr="002C310E">
        <w:rPr>
          <w:rFonts w:cstheme="minorHAnsi"/>
          <w:sz w:val="24"/>
          <w:szCs w:val="24"/>
        </w:rPr>
        <w:t>řízen</w:t>
      </w:r>
      <w:r w:rsidR="0023607A" w:rsidRPr="002C310E">
        <w:rPr>
          <w:rFonts w:cstheme="minorHAnsi"/>
          <w:sz w:val="24"/>
          <w:szCs w:val="24"/>
        </w:rPr>
        <w:t>é legá</w:t>
      </w:r>
      <w:r w:rsidR="00443111" w:rsidRPr="002C310E">
        <w:rPr>
          <w:rFonts w:cstheme="minorHAnsi"/>
          <w:sz w:val="24"/>
          <w:szCs w:val="24"/>
        </w:rPr>
        <w:t>lní migrac</w:t>
      </w:r>
      <w:r w:rsidR="0023607A" w:rsidRPr="002C310E">
        <w:rPr>
          <w:rFonts w:cstheme="minorHAnsi"/>
          <w:sz w:val="24"/>
          <w:szCs w:val="24"/>
        </w:rPr>
        <w:t>e</w:t>
      </w:r>
      <w:r w:rsidR="002F05C3" w:rsidRPr="002C310E">
        <w:rPr>
          <w:rFonts w:cstheme="minorHAnsi"/>
          <w:sz w:val="24"/>
          <w:szCs w:val="24"/>
        </w:rPr>
        <w:t xml:space="preserve"> a </w:t>
      </w:r>
      <w:r w:rsidR="00002985" w:rsidRPr="002C310E">
        <w:rPr>
          <w:rFonts w:cstheme="minorHAnsi"/>
          <w:sz w:val="24"/>
          <w:szCs w:val="24"/>
        </w:rPr>
        <w:t xml:space="preserve">současně </w:t>
      </w:r>
      <w:r w:rsidR="0023607A" w:rsidRPr="002C310E">
        <w:rPr>
          <w:rFonts w:cstheme="minorHAnsi"/>
          <w:sz w:val="24"/>
          <w:szCs w:val="24"/>
        </w:rPr>
        <w:t xml:space="preserve">omezení </w:t>
      </w:r>
      <w:r w:rsidR="002F05C3" w:rsidRPr="002C310E">
        <w:rPr>
          <w:rFonts w:cstheme="minorHAnsi"/>
          <w:sz w:val="24"/>
          <w:szCs w:val="24"/>
        </w:rPr>
        <w:t>nelegální migrac</w:t>
      </w:r>
      <w:r w:rsidR="00B8473C" w:rsidRPr="002C310E">
        <w:rPr>
          <w:rFonts w:cstheme="minorHAnsi"/>
          <w:sz w:val="24"/>
          <w:szCs w:val="24"/>
        </w:rPr>
        <w:t>e</w:t>
      </w:r>
      <w:r w:rsidR="002F05C3" w:rsidRPr="002C310E">
        <w:rPr>
          <w:rFonts w:cstheme="minorHAnsi"/>
          <w:sz w:val="24"/>
          <w:szCs w:val="24"/>
        </w:rPr>
        <w:t xml:space="preserve">. </w:t>
      </w:r>
      <w:r w:rsidR="00CF2933" w:rsidRPr="002C310E">
        <w:rPr>
          <w:rFonts w:cstheme="minorHAnsi"/>
          <w:sz w:val="24"/>
          <w:szCs w:val="24"/>
        </w:rPr>
        <w:t xml:space="preserve">MV </w:t>
      </w:r>
      <w:r w:rsidR="007B13E5" w:rsidRPr="002C310E">
        <w:rPr>
          <w:rFonts w:cstheme="minorHAnsi"/>
          <w:sz w:val="24"/>
          <w:szCs w:val="24"/>
        </w:rPr>
        <w:t>ze své rozpočtové kapitoly vynaložilo v letech 2017</w:t>
      </w:r>
      <w:r w:rsidR="00F77676" w:rsidRPr="002C310E">
        <w:rPr>
          <w:rFonts w:cstheme="minorHAnsi"/>
          <w:sz w:val="24"/>
          <w:szCs w:val="24"/>
        </w:rPr>
        <w:t xml:space="preserve"> až </w:t>
      </w:r>
      <w:r w:rsidR="007B13E5" w:rsidRPr="002C310E">
        <w:rPr>
          <w:rFonts w:cstheme="minorHAnsi"/>
          <w:sz w:val="24"/>
          <w:szCs w:val="24"/>
        </w:rPr>
        <w:t xml:space="preserve">2019 </w:t>
      </w:r>
      <w:r w:rsidR="00CF2933" w:rsidRPr="002C310E">
        <w:rPr>
          <w:rFonts w:cstheme="minorHAnsi"/>
          <w:sz w:val="24"/>
          <w:szCs w:val="24"/>
        </w:rPr>
        <w:t>na migrační politiku celkem 6</w:t>
      </w:r>
      <w:r w:rsidR="00222F8D" w:rsidRPr="002C310E">
        <w:rPr>
          <w:rFonts w:cstheme="minorHAnsi"/>
          <w:sz w:val="24"/>
          <w:szCs w:val="24"/>
        </w:rPr>
        <w:t> 050,9</w:t>
      </w:r>
      <w:r w:rsidR="007B13E5" w:rsidRPr="002C310E">
        <w:rPr>
          <w:rFonts w:cstheme="minorHAnsi"/>
          <w:sz w:val="24"/>
          <w:szCs w:val="24"/>
        </w:rPr>
        <w:t xml:space="preserve"> mil.</w:t>
      </w:r>
      <w:r w:rsidR="00CF2933" w:rsidRPr="002C310E">
        <w:rPr>
          <w:rFonts w:cstheme="minorHAnsi"/>
          <w:sz w:val="24"/>
          <w:szCs w:val="24"/>
        </w:rPr>
        <w:t xml:space="preserve"> Kč, z této částky činily prostředky E</w:t>
      </w:r>
      <w:r w:rsidR="005D72D2">
        <w:rPr>
          <w:rFonts w:cstheme="minorHAnsi"/>
          <w:sz w:val="24"/>
          <w:szCs w:val="24"/>
        </w:rPr>
        <w:t>vropské unie (dále též „EU“)</w:t>
      </w:r>
      <w:r>
        <w:rPr>
          <w:rFonts w:cstheme="minorHAnsi"/>
          <w:sz w:val="24"/>
          <w:szCs w:val="24"/>
        </w:rPr>
        <w:t xml:space="preserve"> </w:t>
      </w:r>
      <w:r w:rsidRPr="002C310E">
        <w:rPr>
          <w:rFonts w:cstheme="minorHAnsi"/>
          <w:sz w:val="24"/>
          <w:szCs w:val="24"/>
        </w:rPr>
        <w:t>317,1 mil. Kč</w:t>
      </w:r>
      <w:r w:rsidR="00F97224" w:rsidRPr="002C310E">
        <w:rPr>
          <w:rFonts w:cstheme="minorHAnsi"/>
          <w:sz w:val="24"/>
          <w:szCs w:val="24"/>
        </w:rPr>
        <w:t xml:space="preserve"> (</w:t>
      </w:r>
      <w:r w:rsidR="0090582A" w:rsidRPr="002C310E">
        <w:rPr>
          <w:rFonts w:cstheme="minorHAnsi"/>
          <w:sz w:val="24"/>
          <w:szCs w:val="24"/>
        </w:rPr>
        <w:t xml:space="preserve">viz </w:t>
      </w:r>
      <w:r w:rsidR="00F97224" w:rsidRPr="002C310E">
        <w:rPr>
          <w:rFonts w:cstheme="minorHAnsi"/>
          <w:sz w:val="24"/>
          <w:szCs w:val="24"/>
        </w:rPr>
        <w:t>příloha č. 1</w:t>
      </w:r>
      <w:r w:rsidR="001426EA">
        <w:rPr>
          <w:rFonts w:cstheme="minorHAnsi"/>
          <w:sz w:val="24"/>
          <w:szCs w:val="24"/>
        </w:rPr>
        <w:t xml:space="preserve"> tohoto kontrolního závěru</w:t>
      </w:r>
      <w:r w:rsidR="00F97224" w:rsidRPr="002C310E">
        <w:rPr>
          <w:rFonts w:cstheme="minorHAnsi"/>
          <w:sz w:val="24"/>
          <w:szCs w:val="24"/>
        </w:rPr>
        <w:t>)</w:t>
      </w:r>
      <w:r w:rsidR="00CF2933" w:rsidRPr="002C310E">
        <w:rPr>
          <w:rFonts w:cstheme="minorHAnsi"/>
          <w:sz w:val="24"/>
          <w:szCs w:val="24"/>
        </w:rPr>
        <w:t xml:space="preserve">. </w:t>
      </w:r>
    </w:p>
    <w:p w14:paraId="47E5B752" w14:textId="71040D1C" w:rsidR="0034720A" w:rsidRPr="002C310E" w:rsidRDefault="00F04DCF" w:rsidP="00CA3D82">
      <w:pPr>
        <w:spacing w:after="120" w:line="240" w:lineRule="auto"/>
        <w:jc w:val="both"/>
        <w:rPr>
          <w:rFonts w:cstheme="minorHAnsi"/>
          <w:sz w:val="24"/>
          <w:szCs w:val="24"/>
        </w:rPr>
      </w:pPr>
      <w:r w:rsidRPr="002C310E">
        <w:rPr>
          <w:rFonts w:cstheme="minorHAnsi"/>
          <w:b/>
          <w:sz w:val="24"/>
          <w:szCs w:val="24"/>
        </w:rPr>
        <w:t>1.2</w:t>
      </w:r>
      <w:r w:rsidR="002647D6" w:rsidRPr="002C310E">
        <w:rPr>
          <w:rFonts w:cstheme="minorHAnsi"/>
          <w:b/>
          <w:sz w:val="24"/>
          <w:szCs w:val="24"/>
        </w:rPr>
        <w:t xml:space="preserve"> </w:t>
      </w:r>
      <w:r w:rsidRPr="002C310E">
        <w:rPr>
          <w:rFonts w:cstheme="minorHAnsi"/>
          <w:b/>
          <w:sz w:val="24"/>
          <w:szCs w:val="24"/>
        </w:rPr>
        <w:t xml:space="preserve">Cílem kontroly bylo </w:t>
      </w:r>
      <w:r w:rsidR="009956A6" w:rsidRPr="002C310E">
        <w:rPr>
          <w:rFonts w:cstheme="minorHAnsi"/>
          <w:b/>
          <w:sz w:val="24"/>
          <w:szCs w:val="24"/>
        </w:rPr>
        <w:t>p</w:t>
      </w:r>
      <w:r w:rsidR="00F97224" w:rsidRPr="002C310E">
        <w:rPr>
          <w:rFonts w:cstheme="minorHAnsi"/>
          <w:b/>
          <w:sz w:val="24"/>
          <w:szCs w:val="24"/>
        </w:rPr>
        <w:t>rověřit, zda Ministerstvo vnitra vynaložilo peněžní prostředky státu na plnění vybraných cílů migrační politiky České rep</w:t>
      </w:r>
      <w:r w:rsidR="00AC141D" w:rsidRPr="002C310E">
        <w:rPr>
          <w:rFonts w:cstheme="minorHAnsi"/>
          <w:b/>
          <w:sz w:val="24"/>
          <w:szCs w:val="24"/>
        </w:rPr>
        <w:t>ubliky hospodárně a efektivně a </w:t>
      </w:r>
      <w:r w:rsidR="00F97224" w:rsidRPr="002C310E">
        <w:rPr>
          <w:rFonts w:cstheme="minorHAnsi"/>
          <w:b/>
          <w:sz w:val="24"/>
          <w:szCs w:val="24"/>
        </w:rPr>
        <w:t>zda realizace aktivit a projektů přispěla k plnění stanovených cílů.</w:t>
      </w:r>
      <w:r w:rsidR="00533102">
        <w:rPr>
          <w:rFonts w:cstheme="minorHAnsi"/>
          <w:b/>
          <w:sz w:val="24"/>
          <w:szCs w:val="24"/>
        </w:rPr>
        <w:t xml:space="preserve"> </w:t>
      </w:r>
      <w:r w:rsidR="00533102" w:rsidRPr="002C310E">
        <w:rPr>
          <w:rFonts w:cstheme="minorHAnsi"/>
          <w:sz w:val="24"/>
          <w:szCs w:val="24"/>
        </w:rPr>
        <w:t>Ke kontrole byly vybrány projekty a aktivity ze čtyř programů financovaných jak z peněžních prostředků státního rozpočtu, tak i z fondů E</w:t>
      </w:r>
      <w:r w:rsidR="005D72D2">
        <w:rPr>
          <w:rFonts w:cstheme="minorHAnsi"/>
          <w:sz w:val="24"/>
          <w:szCs w:val="24"/>
        </w:rPr>
        <w:t>U</w:t>
      </w:r>
      <w:r w:rsidR="00533102" w:rsidRPr="002C310E">
        <w:rPr>
          <w:rFonts w:cstheme="minorHAnsi"/>
          <w:sz w:val="24"/>
          <w:szCs w:val="24"/>
        </w:rPr>
        <w:t xml:space="preserve">. Kontrolované projekty a aktivity byly zaměřeny na ochranu hranic EU, podporu azylového systému, začlenění cizinců do společnosti a pomoc státům pod silnými migračními tlaky. </w:t>
      </w:r>
      <w:r w:rsidR="00ED7061" w:rsidRPr="002C310E">
        <w:rPr>
          <w:rFonts w:cstheme="minorHAnsi"/>
          <w:sz w:val="24"/>
          <w:szCs w:val="24"/>
        </w:rPr>
        <w:t>V</w:t>
      </w:r>
      <w:r w:rsidR="00196C30" w:rsidRPr="002C310E">
        <w:rPr>
          <w:rFonts w:cstheme="minorHAnsi"/>
          <w:sz w:val="24"/>
          <w:szCs w:val="24"/>
        </w:rPr>
        <w:t xml:space="preserve">ynaloženo </w:t>
      </w:r>
      <w:r w:rsidR="00ED7061" w:rsidRPr="002C310E">
        <w:rPr>
          <w:rFonts w:cstheme="minorHAnsi"/>
          <w:sz w:val="24"/>
          <w:szCs w:val="24"/>
        </w:rPr>
        <w:t xml:space="preserve">na ně bylo </w:t>
      </w:r>
      <w:r w:rsidR="00196C30" w:rsidRPr="002C310E">
        <w:rPr>
          <w:rFonts w:cstheme="minorHAnsi"/>
          <w:sz w:val="24"/>
          <w:szCs w:val="24"/>
        </w:rPr>
        <w:t xml:space="preserve">celkem </w:t>
      </w:r>
      <w:r w:rsidR="00BA282D" w:rsidRPr="002C310E">
        <w:rPr>
          <w:rFonts w:cstheme="minorHAnsi"/>
          <w:sz w:val="24"/>
          <w:szCs w:val="24"/>
        </w:rPr>
        <w:t>556,</w:t>
      </w:r>
      <w:r w:rsidR="00A270B5">
        <w:rPr>
          <w:rFonts w:cstheme="minorHAnsi"/>
          <w:sz w:val="24"/>
          <w:szCs w:val="24"/>
        </w:rPr>
        <w:t>6</w:t>
      </w:r>
      <w:r w:rsidR="00BA282D" w:rsidRPr="002C310E">
        <w:rPr>
          <w:rFonts w:cstheme="minorHAnsi"/>
          <w:sz w:val="24"/>
          <w:szCs w:val="24"/>
        </w:rPr>
        <w:t xml:space="preserve"> mil</w:t>
      </w:r>
      <w:r w:rsidR="00196C30" w:rsidRPr="002C310E">
        <w:rPr>
          <w:rFonts w:cstheme="minorHAnsi"/>
          <w:sz w:val="24"/>
          <w:szCs w:val="24"/>
        </w:rPr>
        <w:t>. Kč</w:t>
      </w:r>
      <w:r w:rsidR="00CA3D82" w:rsidRPr="002C310E">
        <w:rPr>
          <w:rFonts w:cstheme="minorHAnsi"/>
          <w:sz w:val="24"/>
          <w:szCs w:val="24"/>
        </w:rPr>
        <w:t>.</w:t>
      </w:r>
    </w:p>
    <w:p w14:paraId="52B69290" w14:textId="700F1175" w:rsidR="00387AD4" w:rsidRPr="002C310E" w:rsidRDefault="00F04DCF" w:rsidP="002155B1">
      <w:pPr>
        <w:spacing w:after="120" w:line="240" w:lineRule="auto"/>
        <w:jc w:val="both"/>
        <w:rPr>
          <w:rFonts w:cstheme="minorHAnsi"/>
          <w:sz w:val="24"/>
          <w:szCs w:val="24"/>
        </w:rPr>
      </w:pPr>
      <w:r w:rsidRPr="002C310E">
        <w:rPr>
          <w:rFonts w:cstheme="minorHAnsi"/>
          <w:b/>
          <w:bCs/>
          <w:sz w:val="24"/>
          <w:szCs w:val="24"/>
        </w:rPr>
        <w:t>1.3</w:t>
      </w:r>
      <w:r w:rsidRPr="002C310E">
        <w:rPr>
          <w:rFonts w:cstheme="minorHAnsi"/>
          <w:sz w:val="24"/>
          <w:szCs w:val="24"/>
        </w:rPr>
        <w:t xml:space="preserve"> </w:t>
      </w:r>
      <w:r w:rsidR="006F6BFC" w:rsidRPr="006F6BFC">
        <w:rPr>
          <w:rFonts w:cstheme="minorHAnsi"/>
          <w:b/>
          <w:sz w:val="24"/>
          <w:szCs w:val="24"/>
        </w:rPr>
        <w:t xml:space="preserve">Cíle </w:t>
      </w:r>
      <w:r w:rsidR="006F6BFC">
        <w:rPr>
          <w:rFonts w:cstheme="minorHAnsi"/>
          <w:b/>
          <w:sz w:val="24"/>
          <w:szCs w:val="24"/>
        </w:rPr>
        <w:t xml:space="preserve">uvedené v programových dokumentech </w:t>
      </w:r>
      <w:r w:rsidR="00724FA7">
        <w:rPr>
          <w:rFonts w:cstheme="minorHAnsi"/>
          <w:b/>
          <w:sz w:val="24"/>
          <w:szCs w:val="24"/>
        </w:rPr>
        <w:t xml:space="preserve">kontrolovaných </w:t>
      </w:r>
      <w:r w:rsidR="006F6BFC">
        <w:rPr>
          <w:rFonts w:cstheme="minorHAnsi"/>
          <w:b/>
          <w:sz w:val="24"/>
          <w:szCs w:val="24"/>
        </w:rPr>
        <w:t xml:space="preserve">programů navazují na celkové strategické cíle uvedené v koncepčních dokumentech týkajících se migrační politiky státu. </w:t>
      </w:r>
      <w:r w:rsidRPr="002C310E">
        <w:rPr>
          <w:rFonts w:cstheme="minorHAnsi"/>
          <w:b/>
          <w:sz w:val="24"/>
          <w:szCs w:val="24"/>
        </w:rPr>
        <w:t>Peněžní prostředky státu vynaložené v</w:t>
      </w:r>
      <w:r w:rsidR="006F6BFC">
        <w:rPr>
          <w:rFonts w:cstheme="minorHAnsi"/>
          <w:b/>
          <w:sz w:val="24"/>
          <w:szCs w:val="24"/>
        </w:rPr>
        <w:t xml:space="preserve"> těchto </w:t>
      </w:r>
      <w:r w:rsidRPr="002C310E">
        <w:rPr>
          <w:rFonts w:cstheme="minorHAnsi"/>
          <w:b/>
          <w:sz w:val="24"/>
          <w:szCs w:val="24"/>
        </w:rPr>
        <w:t>programech</w:t>
      </w:r>
      <w:r w:rsidR="006F6BFC">
        <w:rPr>
          <w:rFonts w:cstheme="minorHAnsi"/>
          <w:b/>
          <w:sz w:val="24"/>
          <w:szCs w:val="24"/>
        </w:rPr>
        <w:t xml:space="preserve"> tak</w:t>
      </w:r>
      <w:r w:rsidRPr="002C310E">
        <w:rPr>
          <w:rFonts w:cstheme="minorHAnsi"/>
          <w:b/>
          <w:sz w:val="24"/>
          <w:szCs w:val="24"/>
        </w:rPr>
        <w:t xml:space="preserve"> přispívají k plnění st</w:t>
      </w:r>
      <w:r w:rsidR="006F6BFC">
        <w:rPr>
          <w:rFonts w:cstheme="minorHAnsi"/>
          <w:b/>
          <w:sz w:val="24"/>
          <w:szCs w:val="24"/>
        </w:rPr>
        <w:t>anovených cílů v této oblasti, j</w:t>
      </w:r>
      <w:r w:rsidRPr="002C310E">
        <w:rPr>
          <w:rFonts w:cstheme="minorHAnsi"/>
          <w:b/>
          <w:sz w:val="24"/>
          <w:szCs w:val="24"/>
        </w:rPr>
        <w:t>ejich přínos</w:t>
      </w:r>
      <w:r w:rsidR="006F6BFC">
        <w:rPr>
          <w:rFonts w:cstheme="minorHAnsi"/>
          <w:b/>
          <w:sz w:val="24"/>
          <w:szCs w:val="24"/>
        </w:rPr>
        <w:t xml:space="preserve"> je však obtížně vyhodnotitelný. </w:t>
      </w:r>
      <w:r w:rsidRPr="002C310E">
        <w:rPr>
          <w:rFonts w:cstheme="minorHAnsi"/>
          <w:b/>
          <w:sz w:val="24"/>
          <w:szCs w:val="24"/>
        </w:rPr>
        <w:t xml:space="preserve">MV </w:t>
      </w:r>
      <w:r w:rsidR="006F6BFC">
        <w:rPr>
          <w:rFonts w:cstheme="minorHAnsi"/>
          <w:b/>
          <w:sz w:val="24"/>
          <w:szCs w:val="24"/>
        </w:rPr>
        <w:t xml:space="preserve">totiž </w:t>
      </w:r>
      <w:r w:rsidRPr="002C310E">
        <w:rPr>
          <w:rFonts w:cstheme="minorHAnsi"/>
          <w:b/>
          <w:sz w:val="24"/>
          <w:szCs w:val="24"/>
        </w:rPr>
        <w:t xml:space="preserve">stanovilo cíle </w:t>
      </w:r>
      <w:r w:rsidR="006F6BFC">
        <w:rPr>
          <w:rFonts w:cstheme="minorHAnsi"/>
          <w:b/>
          <w:sz w:val="24"/>
          <w:szCs w:val="24"/>
        </w:rPr>
        <w:t xml:space="preserve">v koncepčních i programových dokumentech </w:t>
      </w:r>
      <w:r w:rsidRPr="002C310E">
        <w:rPr>
          <w:rFonts w:cstheme="minorHAnsi"/>
          <w:b/>
          <w:sz w:val="24"/>
          <w:szCs w:val="24"/>
        </w:rPr>
        <w:t>obecně, bez měřitelných ukazatel</w:t>
      </w:r>
      <w:r w:rsidR="006F6BFC">
        <w:rPr>
          <w:rFonts w:cstheme="minorHAnsi"/>
          <w:b/>
          <w:sz w:val="24"/>
          <w:szCs w:val="24"/>
        </w:rPr>
        <w:t>ů k ověření jejich naplnění</w:t>
      </w:r>
      <w:r w:rsidR="009B7D90">
        <w:rPr>
          <w:rFonts w:cstheme="minorHAnsi"/>
          <w:b/>
          <w:sz w:val="24"/>
          <w:szCs w:val="24"/>
        </w:rPr>
        <w:t>,</w:t>
      </w:r>
      <w:r w:rsidR="006F6BFC">
        <w:rPr>
          <w:rFonts w:cstheme="minorHAnsi"/>
          <w:b/>
          <w:sz w:val="24"/>
          <w:szCs w:val="24"/>
        </w:rPr>
        <w:t xml:space="preserve"> a </w:t>
      </w:r>
      <w:r w:rsidRPr="002C310E">
        <w:rPr>
          <w:rFonts w:cstheme="minorHAnsi"/>
          <w:b/>
          <w:sz w:val="24"/>
          <w:szCs w:val="24"/>
        </w:rPr>
        <w:t xml:space="preserve">nemůže </w:t>
      </w:r>
      <w:r w:rsidR="006F6BFC">
        <w:rPr>
          <w:rFonts w:cstheme="minorHAnsi"/>
          <w:b/>
          <w:sz w:val="24"/>
          <w:szCs w:val="24"/>
        </w:rPr>
        <w:t xml:space="preserve">tak </w:t>
      </w:r>
      <w:r w:rsidRPr="002C310E">
        <w:rPr>
          <w:rFonts w:cstheme="minorHAnsi"/>
          <w:b/>
          <w:sz w:val="24"/>
          <w:szCs w:val="24"/>
        </w:rPr>
        <w:t xml:space="preserve">jako správce rozpočtové kapitoly bez kvantifikovaných ukazatelů plnit povinnost soustavně sledovat a vyhodnocovat </w:t>
      </w:r>
      <w:r w:rsidR="00724FA7">
        <w:rPr>
          <w:rFonts w:cstheme="minorHAnsi"/>
          <w:b/>
          <w:sz w:val="24"/>
          <w:szCs w:val="24"/>
        </w:rPr>
        <w:t xml:space="preserve">hospodárnost, </w:t>
      </w:r>
      <w:r w:rsidRPr="002C310E">
        <w:rPr>
          <w:rFonts w:cstheme="minorHAnsi"/>
          <w:b/>
          <w:sz w:val="24"/>
          <w:szCs w:val="24"/>
        </w:rPr>
        <w:t>efektivnost</w:t>
      </w:r>
      <w:r w:rsidR="00724FA7">
        <w:rPr>
          <w:rFonts w:cstheme="minorHAnsi"/>
          <w:b/>
          <w:sz w:val="24"/>
          <w:szCs w:val="24"/>
        </w:rPr>
        <w:t xml:space="preserve"> a účelnost</w:t>
      </w:r>
      <w:r w:rsidRPr="002C310E">
        <w:rPr>
          <w:rFonts w:cstheme="minorHAnsi"/>
          <w:b/>
          <w:sz w:val="24"/>
          <w:szCs w:val="24"/>
        </w:rPr>
        <w:t xml:space="preserve"> vynakládaných výdajů v této oblasti ve smyslu ustanovení</w:t>
      </w:r>
      <w:r w:rsidR="006F6BFC">
        <w:rPr>
          <w:rFonts w:cstheme="minorHAnsi"/>
          <w:b/>
          <w:sz w:val="24"/>
          <w:szCs w:val="24"/>
        </w:rPr>
        <w:t xml:space="preserve"> rozpočtových pravidel</w:t>
      </w:r>
      <w:r w:rsidR="00E46B4A" w:rsidRPr="002C310E">
        <w:rPr>
          <w:rFonts w:cstheme="minorHAnsi"/>
          <w:b/>
          <w:sz w:val="24"/>
          <w:szCs w:val="24"/>
        </w:rPr>
        <w:t>.</w:t>
      </w:r>
      <w:r>
        <w:rPr>
          <w:rStyle w:val="Znakapoznpodarou"/>
          <w:rFonts w:cstheme="minorHAnsi"/>
          <w:bCs/>
          <w:sz w:val="24"/>
          <w:szCs w:val="24"/>
        </w:rPr>
        <w:footnoteReference w:id="2"/>
      </w:r>
      <w:r w:rsidR="00E46B4A" w:rsidRPr="002C310E">
        <w:rPr>
          <w:rFonts w:cstheme="minorHAnsi"/>
          <w:b/>
          <w:sz w:val="24"/>
          <w:szCs w:val="24"/>
        </w:rPr>
        <w:t xml:space="preserve"> </w:t>
      </w:r>
      <w:r w:rsidRPr="002C310E">
        <w:rPr>
          <w:rFonts w:cstheme="minorHAnsi"/>
          <w:b/>
          <w:sz w:val="24"/>
          <w:szCs w:val="24"/>
        </w:rPr>
        <w:t>V rámci kontroly vybraných projektů zjistil NKÚ nedostatky, které snižují účelnost, efektivnost a hospodárnost vynakládaných peněžních prostř</w:t>
      </w:r>
      <w:r w:rsidR="006F6BFC">
        <w:rPr>
          <w:rFonts w:cstheme="minorHAnsi"/>
          <w:b/>
          <w:sz w:val="24"/>
          <w:szCs w:val="24"/>
        </w:rPr>
        <w:t xml:space="preserve">edků, přičemž </w:t>
      </w:r>
      <w:r w:rsidR="00563559">
        <w:rPr>
          <w:rFonts w:cstheme="minorHAnsi"/>
          <w:b/>
          <w:sz w:val="24"/>
          <w:szCs w:val="24"/>
        </w:rPr>
        <w:t>většinu</w:t>
      </w:r>
      <w:r w:rsidR="006F6BFC">
        <w:rPr>
          <w:rFonts w:cstheme="minorHAnsi"/>
          <w:b/>
          <w:sz w:val="24"/>
          <w:szCs w:val="24"/>
        </w:rPr>
        <w:t xml:space="preserve"> z nich měl</w:t>
      </w:r>
      <w:r w:rsidRPr="002C310E">
        <w:rPr>
          <w:rFonts w:cstheme="minorHAnsi"/>
          <w:b/>
          <w:sz w:val="24"/>
          <w:szCs w:val="24"/>
        </w:rPr>
        <w:t xml:space="preserve">o MV identifikovat již ve fázi hodnocení </w:t>
      </w:r>
      <w:r w:rsidR="006A1715">
        <w:rPr>
          <w:rFonts w:cstheme="minorHAnsi"/>
          <w:b/>
          <w:sz w:val="24"/>
          <w:szCs w:val="24"/>
        </w:rPr>
        <w:t xml:space="preserve">návrhů </w:t>
      </w:r>
      <w:r w:rsidRPr="002C310E">
        <w:rPr>
          <w:rFonts w:cstheme="minorHAnsi"/>
          <w:b/>
          <w:sz w:val="24"/>
          <w:szCs w:val="24"/>
        </w:rPr>
        <w:t>a</w:t>
      </w:r>
      <w:r w:rsidR="009B7D90">
        <w:rPr>
          <w:rFonts w:cstheme="minorHAnsi"/>
          <w:b/>
          <w:sz w:val="24"/>
          <w:szCs w:val="24"/>
        </w:rPr>
        <w:t> </w:t>
      </w:r>
      <w:r w:rsidRPr="002C310E">
        <w:rPr>
          <w:rFonts w:cstheme="minorHAnsi"/>
          <w:b/>
          <w:sz w:val="24"/>
          <w:szCs w:val="24"/>
        </w:rPr>
        <w:t>výběru projektů k podpoře.</w:t>
      </w:r>
    </w:p>
    <w:p w14:paraId="41218CFB" w14:textId="0D1DA108" w:rsidR="002155B1" w:rsidRPr="002C310E" w:rsidRDefault="00F04DCF" w:rsidP="002155B1">
      <w:pPr>
        <w:spacing w:line="240" w:lineRule="auto"/>
        <w:rPr>
          <w:rFonts w:cstheme="minorHAnsi"/>
          <w:sz w:val="24"/>
          <w:szCs w:val="24"/>
        </w:rPr>
      </w:pPr>
      <w:r w:rsidRPr="0015690E">
        <w:rPr>
          <w:rFonts w:cstheme="minorHAnsi"/>
          <w:b/>
          <w:sz w:val="24"/>
          <w:szCs w:val="24"/>
        </w:rPr>
        <w:t>1.4</w:t>
      </w:r>
      <w:r w:rsidRPr="002C310E">
        <w:rPr>
          <w:rFonts w:cstheme="minorHAnsi"/>
          <w:sz w:val="24"/>
          <w:szCs w:val="24"/>
        </w:rPr>
        <w:t xml:space="preserve"> Celkové hodnocení se opírá o následující hlavní zjištění z kontroly:</w:t>
      </w:r>
    </w:p>
    <w:p w14:paraId="3F2A5DE3" w14:textId="48728F09" w:rsidR="002155B1" w:rsidRPr="002C310E" w:rsidRDefault="00F04DCF" w:rsidP="00CA3D82">
      <w:pPr>
        <w:pStyle w:val="Default"/>
        <w:spacing w:after="120"/>
        <w:ind w:left="568" w:hanging="284"/>
        <w:jc w:val="both"/>
        <w:rPr>
          <w:rFonts w:asciiTheme="minorHAnsi" w:hAnsiTheme="minorHAnsi" w:cstheme="minorHAnsi"/>
          <w:color w:val="auto"/>
          <w:highlight w:val="lightGray"/>
        </w:rPr>
      </w:pPr>
      <w:r w:rsidRPr="002C310E">
        <w:rPr>
          <w:rFonts w:asciiTheme="minorHAnsi" w:hAnsiTheme="minorHAnsi" w:cstheme="minorHAnsi"/>
          <w:b/>
          <w:color w:val="auto"/>
        </w:rPr>
        <w:t xml:space="preserve">a) </w:t>
      </w:r>
      <w:r w:rsidRPr="002C310E">
        <w:rPr>
          <w:rFonts w:asciiTheme="minorHAnsi" w:hAnsiTheme="minorHAnsi" w:cstheme="minorHAnsi"/>
          <w:b/>
          <w:color w:val="auto"/>
        </w:rPr>
        <w:tab/>
      </w:r>
      <w:r w:rsidRPr="002C310E">
        <w:rPr>
          <w:rFonts w:asciiTheme="minorHAnsi" w:hAnsiTheme="minorHAnsi" w:cstheme="minorHAnsi"/>
          <w:color w:val="auto"/>
        </w:rPr>
        <w:t>MV vytvořilo pro cíle a podporu migrační politiky ČR několik koncepčních dokumentů, které se vzájemně prolínají. Nenastavilo v</w:t>
      </w:r>
      <w:r w:rsidR="00594FD6">
        <w:rPr>
          <w:rFonts w:asciiTheme="minorHAnsi" w:hAnsiTheme="minorHAnsi" w:cstheme="minorHAnsi"/>
          <w:color w:val="auto"/>
        </w:rPr>
        <w:t> </w:t>
      </w:r>
      <w:r w:rsidRPr="002C310E">
        <w:rPr>
          <w:rFonts w:asciiTheme="minorHAnsi" w:hAnsiTheme="minorHAnsi" w:cstheme="minorHAnsi"/>
          <w:color w:val="auto"/>
        </w:rPr>
        <w:t>nich</w:t>
      </w:r>
      <w:r w:rsidR="00594FD6">
        <w:rPr>
          <w:rFonts w:asciiTheme="minorHAnsi" w:hAnsiTheme="minorHAnsi" w:cstheme="minorHAnsi"/>
          <w:color w:val="auto"/>
        </w:rPr>
        <w:t xml:space="preserve"> však</w:t>
      </w:r>
      <w:r w:rsidRPr="002C310E">
        <w:rPr>
          <w:rFonts w:asciiTheme="minorHAnsi" w:hAnsiTheme="minorHAnsi" w:cstheme="minorHAnsi"/>
          <w:color w:val="auto"/>
        </w:rPr>
        <w:t xml:space="preserve"> </w:t>
      </w:r>
      <w:r w:rsidR="001A72C5">
        <w:rPr>
          <w:rFonts w:asciiTheme="minorHAnsi" w:hAnsiTheme="minorHAnsi" w:cstheme="minorHAnsi"/>
          <w:color w:val="auto"/>
        </w:rPr>
        <w:t xml:space="preserve">vždy </w:t>
      </w:r>
      <w:r w:rsidRPr="002C310E">
        <w:rPr>
          <w:rFonts w:asciiTheme="minorHAnsi" w:hAnsiTheme="minorHAnsi" w:cstheme="minorHAnsi"/>
          <w:color w:val="auto"/>
        </w:rPr>
        <w:t xml:space="preserve">měřitelné cíle, které by umožnily úspěšnost naplňování cílů vyhodnotit. </w:t>
      </w:r>
      <w:r w:rsidR="00563559">
        <w:rPr>
          <w:rFonts w:asciiTheme="minorHAnsi" w:hAnsiTheme="minorHAnsi" w:cstheme="minorHAnsi"/>
          <w:color w:val="auto"/>
        </w:rPr>
        <w:t>V</w:t>
      </w:r>
      <w:r w:rsidR="005F0E16" w:rsidRPr="002C310E">
        <w:rPr>
          <w:rFonts w:asciiTheme="minorHAnsi" w:hAnsiTheme="minorHAnsi" w:cstheme="minorHAnsi"/>
          <w:color w:val="auto"/>
        </w:rPr>
        <w:t xml:space="preserve"> některých oblastech migrační politiky </w:t>
      </w:r>
      <w:r w:rsidR="00563559">
        <w:rPr>
          <w:rFonts w:asciiTheme="minorHAnsi" w:hAnsiTheme="minorHAnsi" w:cstheme="minorHAnsi"/>
          <w:color w:val="auto"/>
        </w:rPr>
        <w:t xml:space="preserve">totiž nastavilo </w:t>
      </w:r>
      <w:r w:rsidRPr="002C310E">
        <w:rPr>
          <w:rFonts w:asciiTheme="minorHAnsi" w:hAnsiTheme="minorHAnsi" w:cstheme="minorHAnsi"/>
          <w:color w:val="auto"/>
        </w:rPr>
        <w:t xml:space="preserve">cíle pouze obecně bez měřitelných </w:t>
      </w:r>
      <w:r w:rsidR="00017F62">
        <w:rPr>
          <w:rFonts w:asciiTheme="minorHAnsi" w:hAnsiTheme="minorHAnsi" w:cstheme="minorHAnsi"/>
          <w:color w:val="auto"/>
        </w:rPr>
        <w:t>ukazatelů</w:t>
      </w:r>
      <w:r w:rsidRPr="002C310E">
        <w:rPr>
          <w:rFonts w:asciiTheme="minorHAnsi" w:hAnsiTheme="minorHAnsi" w:cstheme="minorHAnsi"/>
          <w:color w:val="auto"/>
          <w:lang w:eastAsia="cs-CZ"/>
        </w:rPr>
        <w:t xml:space="preserve"> a bez předpokládaných cílových hodnot, kterých má </w:t>
      </w:r>
      <w:r w:rsidR="00745825">
        <w:rPr>
          <w:rFonts w:asciiTheme="minorHAnsi" w:hAnsiTheme="minorHAnsi" w:cstheme="minorHAnsi"/>
          <w:color w:val="auto"/>
          <w:lang w:eastAsia="cs-CZ"/>
        </w:rPr>
        <w:t xml:space="preserve">být dosaženo </w:t>
      </w:r>
      <w:r w:rsidRPr="002C310E">
        <w:rPr>
          <w:rFonts w:asciiTheme="minorHAnsi" w:hAnsiTheme="minorHAnsi" w:cstheme="minorHAnsi"/>
          <w:color w:val="auto"/>
          <w:lang w:eastAsia="cs-CZ"/>
        </w:rPr>
        <w:t>poskyt</w:t>
      </w:r>
      <w:r w:rsidR="00745825">
        <w:rPr>
          <w:rFonts w:asciiTheme="minorHAnsi" w:hAnsiTheme="minorHAnsi" w:cstheme="minorHAnsi"/>
          <w:color w:val="auto"/>
          <w:lang w:eastAsia="cs-CZ"/>
        </w:rPr>
        <w:t>nutím</w:t>
      </w:r>
      <w:r w:rsidRPr="002C310E">
        <w:rPr>
          <w:rFonts w:asciiTheme="minorHAnsi" w:hAnsiTheme="minorHAnsi" w:cstheme="minorHAnsi"/>
          <w:color w:val="auto"/>
          <w:lang w:eastAsia="cs-CZ"/>
        </w:rPr>
        <w:t xml:space="preserve"> podpor</w:t>
      </w:r>
      <w:r w:rsidR="00745825">
        <w:rPr>
          <w:rFonts w:asciiTheme="minorHAnsi" w:hAnsiTheme="minorHAnsi" w:cstheme="minorHAnsi"/>
          <w:color w:val="auto"/>
          <w:lang w:eastAsia="cs-CZ"/>
        </w:rPr>
        <w:t>y</w:t>
      </w:r>
      <w:r w:rsidRPr="002C310E">
        <w:rPr>
          <w:rFonts w:asciiTheme="minorHAnsi" w:hAnsiTheme="minorHAnsi" w:cstheme="minorHAnsi"/>
          <w:color w:val="auto"/>
          <w:lang w:eastAsia="cs-CZ"/>
        </w:rPr>
        <w:t xml:space="preserve"> </w:t>
      </w:r>
      <w:r w:rsidRPr="002C310E">
        <w:rPr>
          <w:rFonts w:asciiTheme="minorHAnsi" w:hAnsiTheme="minorHAnsi" w:cstheme="minorHAnsi"/>
          <w:color w:val="auto"/>
        </w:rPr>
        <w:t>(viz odst. 4.</w:t>
      </w:r>
      <w:r w:rsidR="000263B2" w:rsidRPr="002C310E">
        <w:rPr>
          <w:rFonts w:asciiTheme="minorHAnsi" w:hAnsiTheme="minorHAnsi" w:cstheme="minorHAnsi"/>
          <w:color w:val="auto"/>
        </w:rPr>
        <w:t>1</w:t>
      </w:r>
      <w:r w:rsidRPr="002C310E">
        <w:rPr>
          <w:rFonts w:asciiTheme="minorHAnsi" w:hAnsiTheme="minorHAnsi" w:cstheme="minorHAnsi"/>
          <w:color w:val="auto"/>
        </w:rPr>
        <w:t xml:space="preserve"> až 4.</w:t>
      </w:r>
      <w:r w:rsidR="000263B2" w:rsidRPr="002C310E">
        <w:rPr>
          <w:rFonts w:asciiTheme="minorHAnsi" w:hAnsiTheme="minorHAnsi" w:cstheme="minorHAnsi"/>
          <w:color w:val="auto"/>
        </w:rPr>
        <w:t>5</w:t>
      </w:r>
      <w:r w:rsidRPr="002C310E">
        <w:rPr>
          <w:rFonts w:asciiTheme="minorHAnsi" w:hAnsiTheme="minorHAnsi" w:cstheme="minorHAnsi"/>
          <w:color w:val="auto"/>
        </w:rPr>
        <w:t>).</w:t>
      </w:r>
    </w:p>
    <w:p w14:paraId="5760AC19" w14:textId="73BDDD39" w:rsidR="002155B1" w:rsidRPr="002C310E" w:rsidRDefault="00F04DCF" w:rsidP="00CA3D82">
      <w:pPr>
        <w:pStyle w:val="Default"/>
        <w:spacing w:after="120"/>
        <w:ind w:left="568" w:hanging="284"/>
        <w:jc w:val="both"/>
        <w:rPr>
          <w:rFonts w:asciiTheme="minorHAnsi" w:hAnsiTheme="minorHAnsi" w:cstheme="minorHAnsi"/>
          <w:highlight w:val="lightGray"/>
        </w:rPr>
      </w:pPr>
      <w:r w:rsidRPr="002C310E">
        <w:rPr>
          <w:rFonts w:asciiTheme="minorHAnsi" w:hAnsiTheme="minorHAnsi" w:cstheme="minorHAnsi"/>
          <w:b/>
          <w:color w:val="auto"/>
        </w:rPr>
        <w:t xml:space="preserve">b) </w:t>
      </w:r>
      <w:r w:rsidRPr="002C310E">
        <w:rPr>
          <w:rFonts w:asciiTheme="minorHAnsi" w:hAnsiTheme="minorHAnsi" w:cstheme="minorHAnsi"/>
        </w:rPr>
        <w:t xml:space="preserve">MV neprovázalo hlavní cíl </w:t>
      </w:r>
      <w:r w:rsidR="00724FA7">
        <w:rPr>
          <w:rFonts w:asciiTheme="minorHAnsi" w:hAnsiTheme="minorHAnsi" w:cstheme="minorHAnsi"/>
        </w:rPr>
        <w:t xml:space="preserve">s </w:t>
      </w:r>
      <w:r w:rsidRPr="002C310E">
        <w:rPr>
          <w:rFonts w:asciiTheme="minorHAnsi" w:hAnsiTheme="minorHAnsi" w:cstheme="minorHAnsi"/>
        </w:rPr>
        <w:t>dílčí</w:t>
      </w:r>
      <w:r w:rsidR="00724FA7">
        <w:rPr>
          <w:rFonts w:asciiTheme="minorHAnsi" w:hAnsiTheme="minorHAnsi" w:cstheme="minorHAnsi"/>
        </w:rPr>
        <w:t>mi</w:t>
      </w:r>
      <w:r w:rsidRPr="002C310E">
        <w:rPr>
          <w:rFonts w:asciiTheme="minorHAnsi" w:hAnsiTheme="minorHAnsi" w:cstheme="minorHAnsi"/>
        </w:rPr>
        <w:t xml:space="preserve"> cíl</w:t>
      </w:r>
      <w:r w:rsidR="00724FA7">
        <w:rPr>
          <w:rFonts w:asciiTheme="minorHAnsi" w:hAnsiTheme="minorHAnsi" w:cstheme="minorHAnsi"/>
        </w:rPr>
        <w:t>i</w:t>
      </w:r>
      <w:r w:rsidRPr="002C310E">
        <w:rPr>
          <w:rFonts w:asciiTheme="minorHAnsi" w:hAnsiTheme="minorHAnsi" w:cstheme="minorHAnsi"/>
        </w:rPr>
        <w:t xml:space="preserve"> některých </w:t>
      </w:r>
      <w:r w:rsidR="00602DD8">
        <w:rPr>
          <w:rFonts w:asciiTheme="minorHAnsi" w:hAnsiTheme="minorHAnsi" w:cstheme="minorHAnsi"/>
        </w:rPr>
        <w:t xml:space="preserve">kontrolovaných </w:t>
      </w:r>
      <w:r w:rsidRPr="002C310E">
        <w:rPr>
          <w:rFonts w:asciiTheme="minorHAnsi" w:hAnsiTheme="minorHAnsi" w:cstheme="minorHAnsi"/>
        </w:rPr>
        <w:t xml:space="preserve">projektů </w:t>
      </w:r>
      <w:r w:rsidR="00057174" w:rsidRPr="002C310E">
        <w:rPr>
          <w:rFonts w:asciiTheme="minorHAnsi" w:hAnsiTheme="minorHAnsi" w:cstheme="minorHAnsi"/>
          <w:i/>
          <w:iCs/>
        </w:rPr>
        <w:t>N</w:t>
      </w:r>
      <w:r w:rsidRPr="002C310E">
        <w:rPr>
          <w:rFonts w:asciiTheme="minorHAnsi" w:hAnsiTheme="minorHAnsi" w:cstheme="minorHAnsi"/>
          <w:i/>
          <w:iCs/>
        </w:rPr>
        <w:t>árodní</w:t>
      </w:r>
      <w:r w:rsidR="00057174" w:rsidRPr="002C310E">
        <w:rPr>
          <w:rFonts w:asciiTheme="minorHAnsi" w:hAnsiTheme="minorHAnsi" w:cstheme="minorHAnsi"/>
          <w:i/>
          <w:iCs/>
        </w:rPr>
        <w:t>ho</w:t>
      </w:r>
      <w:r w:rsidRPr="002C310E">
        <w:rPr>
          <w:rFonts w:asciiTheme="minorHAnsi" w:hAnsiTheme="minorHAnsi" w:cstheme="minorHAnsi"/>
          <w:i/>
          <w:iCs/>
        </w:rPr>
        <w:t xml:space="preserve"> </w:t>
      </w:r>
      <w:r w:rsidR="00E46B4A" w:rsidRPr="002C310E">
        <w:rPr>
          <w:rFonts w:asciiTheme="minorHAnsi" w:hAnsiTheme="minorHAnsi" w:cstheme="minorHAnsi"/>
          <w:i/>
          <w:iCs/>
        </w:rPr>
        <w:t>programu – Fondu</w:t>
      </w:r>
      <w:r w:rsidRPr="002C310E">
        <w:rPr>
          <w:rFonts w:asciiTheme="minorHAnsi" w:hAnsiTheme="minorHAnsi" w:cstheme="minorHAnsi"/>
          <w:i/>
          <w:iCs/>
        </w:rPr>
        <w:t xml:space="preserve"> pro vnitřní bezpečnost </w:t>
      </w:r>
      <w:r w:rsidRPr="002C310E">
        <w:rPr>
          <w:rFonts w:asciiTheme="minorHAnsi" w:hAnsiTheme="minorHAnsi" w:cstheme="minorHAnsi"/>
        </w:rPr>
        <w:t>(</w:t>
      </w:r>
      <w:r w:rsidR="0090582A" w:rsidRPr="002C310E">
        <w:rPr>
          <w:rFonts w:asciiTheme="minorHAnsi" w:hAnsiTheme="minorHAnsi" w:cstheme="minorHAnsi"/>
        </w:rPr>
        <w:t xml:space="preserve">dále též „NP </w:t>
      </w:r>
      <w:r w:rsidRPr="002C310E">
        <w:rPr>
          <w:rFonts w:asciiTheme="minorHAnsi" w:hAnsiTheme="minorHAnsi" w:cstheme="minorHAnsi"/>
        </w:rPr>
        <w:t>ISF</w:t>
      </w:r>
      <w:r w:rsidR="00602DD8">
        <w:rPr>
          <w:rFonts w:asciiTheme="minorHAnsi" w:hAnsiTheme="minorHAnsi" w:cstheme="minorHAnsi"/>
        </w:rPr>
        <w:t>“</w:t>
      </w:r>
      <w:r w:rsidRPr="002C310E">
        <w:rPr>
          <w:rFonts w:asciiTheme="minorHAnsi" w:hAnsiTheme="minorHAnsi" w:cstheme="minorHAnsi"/>
        </w:rPr>
        <w:t xml:space="preserve">) a </w:t>
      </w:r>
      <w:r w:rsidR="00427C58">
        <w:rPr>
          <w:rFonts w:asciiTheme="minorHAnsi" w:hAnsiTheme="minorHAnsi" w:cstheme="minorHAnsi"/>
        </w:rPr>
        <w:t xml:space="preserve">některých </w:t>
      </w:r>
      <w:r w:rsidR="00563559">
        <w:rPr>
          <w:rFonts w:asciiTheme="minorHAnsi" w:hAnsiTheme="minorHAnsi" w:cstheme="minorHAnsi"/>
        </w:rPr>
        <w:t xml:space="preserve">kontrolovaných projektů </w:t>
      </w:r>
      <w:r w:rsidR="00057174" w:rsidRPr="002C310E">
        <w:rPr>
          <w:rFonts w:asciiTheme="minorHAnsi" w:hAnsiTheme="minorHAnsi" w:cstheme="minorHAnsi"/>
          <w:i/>
          <w:iCs/>
        </w:rPr>
        <w:t>Národní</w:t>
      </w:r>
      <w:r w:rsidR="00594FD6">
        <w:rPr>
          <w:rFonts w:asciiTheme="minorHAnsi" w:hAnsiTheme="minorHAnsi" w:cstheme="minorHAnsi"/>
          <w:i/>
          <w:iCs/>
        </w:rPr>
        <w:t>ho</w:t>
      </w:r>
      <w:r w:rsidR="00057174" w:rsidRPr="002C310E">
        <w:rPr>
          <w:rFonts w:asciiTheme="minorHAnsi" w:hAnsiTheme="minorHAnsi" w:cstheme="minorHAnsi"/>
          <w:i/>
          <w:iCs/>
        </w:rPr>
        <w:t xml:space="preserve"> </w:t>
      </w:r>
      <w:r w:rsidR="00E46B4A" w:rsidRPr="002C310E">
        <w:rPr>
          <w:rFonts w:asciiTheme="minorHAnsi" w:hAnsiTheme="minorHAnsi" w:cstheme="minorHAnsi"/>
          <w:i/>
          <w:iCs/>
        </w:rPr>
        <w:t>programu – Azylového</w:t>
      </w:r>
      <w:r w:rsidRPr="002C310E">
        <w:rPr>
          <w:rFonts w:asciiTheme="minorHAnsi" w:hAnsiTheme="minorHAnsi" w:cstheme="minorHAnsi"/>
          <w:i/>
          <w:iCs/>
        </w:rPr>
        <w:t>, migračního a integračního fondu</w:t>
      </w:r>
      <w:r w:rsidR="00057174" w:rsidRPr="002C310E">
        <w:rPr>
          <w:rFonts w:asciiTheme="minorHAnsi" w:hAnsiTheme="minorHAnsi" w:cstheme="minorHAnsi"/>
          <w:i/>
          <w:iCs/>
        </w:rPr>
        <w:t xml:space="preserve"> </w:t>
      </w:r>
      <w:r w:rsidRPr="002C310E">
        <w:rPr>
          <w:rFonts w:asciiTheme="minorHAnsi" w:hAnsiTheme="minorHAnsi" w:cstheme="minorHAnsi"/>
        </w:rPr>
        <w:t>(</w:t>
      </w:r>
      <w:r w:rsidR="0090582A" w:rsidRPr="002C310E">
        <w:rPr>
          <w:rFonts w:asciiTheme="minorHAnsi" w:hAnsiTheme="minorHAnsi" w:cstheme="minorHAnsi"/>
        </w:rPr>
        <w:t xml:space="preserve">dále též „NP </w:t>
      </w:r>
      <w:r w:rsidRPr="002C310E">
        <w:rPr>
          <w:rFonts w:asciiTheme="minorHAnsi" w:hAnsiTheme="minorHAnsi" w:cstheme="minorHAnsi"/>
        </w:rPr>
        <w:t>AMIF</w:t>
      </w:r>
      <w:r w:rsidR="0090582A" w:rsidRPr="002C310E">
        <w:rPr>
          <w:rFonts w:asciiTheme="minorHAnsi" w:hAnsiTheme="minorHAnsi" w:cstheme="minorHAnsi"/>
        </w:rPr>
        <w:t>“</w:t>
      </w:r>
      <w:r w:rsidRPr="002C310E">
        <w:rPr>
          <w:rFonts w:asciiTheme="minorHAnsi" w:hAnsiTheme="minorHAnsi" w:cstheme="minorHAnsi"/>
        </w:rPr>
        <w:t>)</w:t>
      </w:r>
      <w:r w:rsidR="0090582A" w:rsidRPr="002C310E">
        <w:rPr>
          <w:rFonts w:asciiTheme="minorHAnsi" w:hAnsiTheme="minorHAnsi" w:cstheme="minorHAnsi"/>
        </w:rPr>
        <w:t xml:space="preserve"> </w:t>
      </w:r>
      <w:r w:rsidRPr="002C310E">
        <w:rPr>
          <w:rFonts w:asciiTheme="minorHAnsi" w:hAnsiTheme="minorHAnsi" w:cstheme="minorHAnsi"/>
        </w:rPr>
        <w:t xml:space="preserve">a stanovilo monitorovací ukazatele bez plánované cílové hodnoty. Ukazatele navíc vymezilo jako </w:t>
      </w:r>
      <w:r w:rsidRPr="002C310E">
        <w:rPr>
          <w:rFonts w:asciiTheme="minorHAnsi" w:eastAsia="Times New Roman" w:hAnsiTheme="minorHAnsi" w:cstheme="minorHAnsi"/>
        </w:rPr>
        <w:t xml:space="preserve">ukazatele výstupu, nikoli výsledku daného projektu. Jejich vypovídací schopnost ve vztahu k naplnění stanovených cílů tak byla omezená. NKÚ dále </w:t>
      </w:r>
      <w:r w:rsidRPr="002C310E">
        <w:rPr>
          <w:rFonts w:asciiTheme="minorHAnsi" w:eastAsia="Times New Roman" w:hAnsiTheme="minorHAnsi" w:cstheme="minorHAnsi"/>
        </w:rPr>
        <w:lastRenderedPageBreak/>
        <w:t>zjistil, že MV pozdě</w:t>
      </w:r>
      <w:r w:rsidRPr="002C310E">
        <w:rPr>
          <w:rFonts w:asciiTheme="minorHAnsi" w:hAnsiTheme="minorHAnsi" w:cstheme="minorHAnsi"/>
        </w:rPr>
        <w:t xml:space="preserve"> schvalovalo monitorovací zprávy příjemců, což </w:t>
      </w:r>
      <w:r w:rsidR="00602DD8">
        <w:rPr>
          <w:rFonts w:asciiTheme="minorHAnsi" w:hAnsiTheme="minorHAnsi" w:cstheme="minorHAnsi"/>
        </w:rPr>
        <w:t>zpožďovalo</w:t>
      </w:r>
      <w:r w:rsidRPr="002C310E">
        <w:rPr>
          <w:rFonts w:asciiTheme="minorHAnsi" w:hAnsiTheme="minorHAnsi" w:cstheme="minorHAnsi"/>
        </w:rPr>
        <w:t xml:space="preserve"> čerpání peněžních prostředků (viz odst. 4.</w:t>
      </w:r>
      <w:r w:rsidR="001C2FDE" w:rsidRPr="002C310E">
        <w:rPr>
          <w:rFonts w:asciiTheme="minorHAnsi" w:hAnsiTheme="minorHAnsi" w:cstheme="minorHAnsi"/>
        </w:rPr>
        <w:t>1</w:t>
      </w:r>
      <w:r w:rsidR="005D6EF0">
        <w:rPr>
          <w:rFonts w:asciiTheme="minorHAnsi" w:hAnsiTheme="minorHAnsi" w:cstheme="minorHAnsi"/>
        </w:rPr>
        <w:t>2</w:t>
      </w:r>
      <w:r w:rsidR="001C2FDE" w:rsidRPr="002C310E">
        <w:rPr>
          <w:rFonts w:asciiTheme="minorHAnsi" w:hAnsiTheme="minorHAnsi" w:cstheme="minorHAnsi"/>
        </w:rPr>
        <w:t>, 4.1</w:t>
      </w:r>
      <w:r w:rsidR="005D6EF0">
        <w:rPr>
          <w:rFonts w:asciiTheme="minorHAnsi" w:hAnsiTheme="minorHAnsi" w:cstheme="minorHAnsi"/>
        </w:rPr>
        <w:t>3</w:t>
      </w:r>
      <w:r w:rsidR="001C2FDE" w:rsidRPr="002C310E">
        <w:rPr>
          <w:rFonts w:asciiTheme="minorHAnsi" w:hAnsiTheme="minorHAnsi" w:cstheme="minorHAnsi"/>
        </w:rPr>
        <w:t>, 4.1</w:t>
      </w:r>
      <w:r w:rsidR="005D6EF0">
        <w:rPr>
          <w:rFonts w:asciiTheme="minorHAnsi" w:hAnsiTheme="minorHAnsi" w:cstheme="minorHAnsi"/>
        </w:rPr>
        <w:t>7</w:t>
      </w:r>
      <w:r w:rsidR="001C2FDE" w:rsidRPr="002C310E">
        <w:rPr>
          <w:rFonts w:asciiTheme="minorHAnsi" w:hAnsiTheme="minorHAnsi" w:cstheme="minorHAnsi"/>
        </w:rPr>
        <w:t>, 4.2</w:t>
      </w:r>
      <w:r w:rsidR="005D6EF0">
        <w:rPr>
          <w:rFonts w:asciiTheme="minorHAnsi" w:hAnsiTheme="minorHAnsi" w:cstheme="minorHAnsi"/>
        </w:rPr>
        <w:t>5</w:t>
      </w:r>
      <w:r w:rsidR="001C2FDE" w:rsidRPr="002C310E">
        <w:rPr>
          <w:rFonts w:asciiTheme="minorHAnsi" w:hAnsiTheme="minorHAnsi" w:cstheme="minorHAnsi"/>
        </w:rPr>
        <w:t>, 4.2</w:t>
      </w:r>
      <w:r w:rsidR="005D6EF0">
        <w:rPr>
          <w:rFonts w:asciiTheme="minorHAnsi" w:hAnsiTheme="minorHAnsi" w:cstheme="minorHAnsi"/>
        </w:rPr>
        <w:t>6</w:t>
      </w:r>
      <w:r w:rsidR="001C2FDE" w:rsidRPr="002C310E">
        <w:rPr>
          <w:rFonts w:asciiTheme="minorHAnsi" w:hAnsiTheme="minorHAnsi" w:cstheme="minorHAnsi"/>
        </w:rPr>
        <w:t xml:space="preserve"> a 4.3</w:t>
      </w:r>
      <w:r w:rsidR="005D6EF0">
        <w:rPr>
          <w:rFonts w:asciiTheme="minorHAnsi" w:hAnsiTheme="minorHAnsi" w:cstheme="minorHAnsi"/>
        </w:rPr>
        <w:t>0</w:t>
      </w:r>
      <w:r w:rsidR="001C2FDE" w:rsidRPr="002C310E">
        <w:rPr>
          <w:rFonts w:asciiTheme="minorHAnsi" w:hAnsiTheme="minorHAnsi" w:cstheme="minorHAnsi"/>
        </w:rPr>
        <w:t>).</w:t>
      </w:r>
    </w:p>
    <w:p w14:paraId="32B724BB" w14:textId="35BDBC1D" w:rsidR="002155B1" w:rsidRPr="002C310E" w:rsidRDefault="00F04DCF" w:rsidP="00CA3D82">
      <w:pPr>
        <w:pStyle w:val="Default"/>
        <w:spacing w:after="120"/>
        <w:ind w:left="568" w:hanging="284"/>
        <w:jc w:val="both"/>
        <w:rPr>
          <w:rFonts w:asciiTheme="minorHAnsi" w:eastAsia="Times New Roman" w:hAnsiTheme="minorHAnsi" w:cstheme="minorHAnsi"/>
          <w:bCs/>
          <w:noProof/>
          <w:highlight w:val="lightGray"/>
        </w:rPr>
      </w:pPr>
      <w:r w:rsidRPr="002C310E">
        <w:rPr>
          <w:rFonts w:asciiTheme="minorHAnsi" w:hAnsiTheme="minorHAnsi" w:cstheme="minorHAnsi"/>
          <w:b/>
          <w:color w:val="auto"/>
        </w:rPr>
        <w:t xml:space="preserve">c) </w:t>
      </w:r>
      <w:r w:rsidRPr="002C310E">
        <w:rPr>
          <w:rFonts w:asciiTheme="minorHAnsi" w:hAnsiTheme="minorHAnsi" w:cstheme="minorHAnsi"/>
        </w:rPr>
        <w:t xml:space="preserve">V rámci kontroly sedmi projektů </w:t>
      </w:r>
      <w:r w:rsidR="00525518" w:rsidRPr="002C310E">
        <w:rPr>
          <w:rFonts w:asciiTheme="minorHAnsi" w:hAnsiTheme="minorHAnsi" w:cstheme="minorHAnsi"/>
        </w:rPr>
        <w:t xml:space="preserve">NP </w:t>
      </w:r>
      <w:r w:rsidRPr="002C310E">
        <w:rPr>
          <w:rFonts w:asciiTheme="minorHAnsi" w:hAnsiTheme="minorHAnsi" w:cstheme="minorHAnsi"/>
        </w:rPr>
        <w:t xml:space="preserve">ISF vyhodnotil NKÚ </w:t>
      </w:r>
      <w:r w:rsidR="00724FA7">
        <w:rPr>
          <w:rFonts w:asciiTheme="minorHAnsi" w:hAnsiTheme="minorHAnsi" w:cstheme="minorHAnsi"/>
        </w:rPr>
        <w:t xml:space="preserve">vynaložení peněžních prostředků u </w:t>
      </w:r>
      <w:r w:rsidRPr="002C310E">
        <w:rPr>
          <w:rFonts w:asciiTheme="minorHAnsi" w:hAnsiTheme="minorHAnsi" w:cstheme="minorHAnsi"/>
        </w:rPr>
        <w:t>čtyř projekt</w:t>
      </w:r>
      <w:r w:rsidR="00724FA7">
        <w:rPr>
          <w:rFonts w:asciiTheme="minorHAnsi" w:hAnsiTheme="minorHAnsi" w:cstheme="minorHAnsi"/>
        </w:rPr>
        <w:t>ů</w:t>
      </w:r>
      <w:r w:rsidRPr="002C310E">
        <w:rPr>
          <w:rFonts w:asciiTheme="minorHAnsi" w:hAnsiTheme="minorHAnsi" w:cstheme="minorHAnsi"/>
        </w:rPr>
        <w:t xml:space="preserve"> </w:t>
      </w:r>
      <w:r w:rsidRPr="002C310E">
        <w:rPr>
          <w:rFonts w:asciiTheme="minorHAnsi" w:hAnsiTheme="minorHAnsi" w:cstheme="minorHAnsi"/>
          <w:noProof/>
        </w:rPr>
        <w:t xml:space="preserve">jako účelné s mírnými nedostatky, </w:t>
      </w:r>
      <w:r w:rsidR="00724FA7">
        <w:rPr>
          <w:rFonts w:asciiTheme="minorHAnsi" w:hAnsiTheme="minorHAnsi" w:cstheme="minorHAnsi"/>
          <w:noProof/>
        </w:rPr>
        <w:t xml:space="preserve">u </w:t>
      </w:r>
      <w:r w:rsidRPr="002C310E">
        <w:rPr>
          <w:rFonts w:asciiTheme="minorHAnsi" w:hAnsiTheme="minorHAnsi" w:cstheme="minorHAnsi"/>
          <w:noProof/>
        </w:rPr>
        <w:t>dv</w:t>
      </w:r>
      <w:r w:rsidR="00724FA7">
        <w:rPr>
          <w:rFonts w:asciiTheme="minorHAnsi" w:hAnsiTheme="minorHAnsi" w:cstheme="minorHAnsi"/>
          <w:noProof/>
        </w:rPr>
        <w:t>ou</w:t>
      </w:r>
      <w:r w:rsidRPr="002C310E">
        <w:rPr>
          <w:rFonts w:asciiTheme="minorHAnsi" w:hAnsiTheme="minorHAnsi" w:cstheme="minorHAnsi"/>
          <w:noProof/>
        </w:rPr>
        <w:t xml:space="preserve"> jako účelné pouze omezeně a</w:t>
      </w:r>
      <w:r w:rsidR="009B7D90">
        <w:rPr>
          <w:rFonts w:asciiTheme="minorHAnsi" w:hAnsiTheme="minorHAnsi" w:cstheme="minorHAnsi"/>
          <w:noProof/>
        </w:rPr>
        <w:t> </w:t>
      </w:r>
      <w:r w:rsidRPr="002C310E">
        <w:rPr>
          <w:rFonts w:asciiTheme="minorHAnsi" w:hAnsiTheme="minorHAnsi" w:cstheme="minorHAnsi"/>
          <w:noProof/>
        </w:rPr>
        <w:t xml:space="preserve">u jednoho projektu </w:t>
      </w:r>
      <w:r w:rsidR="00532FD7">
        <w:rPr>
          <w:rFonts w:asciiTheme="minorHAnsi" w:hAnsiTheme="minorHAnsi" w:cstheme="minorHAnsi"/>
          <w:noProof/>
        </w:rPr>
        <w:t>nemohl provést</w:t>
      </w:r>
      <w:r w:rsidR="00532FD7" w:rsidRPr="002C310E">
        <w:rPr>
          <w:rFonts w:asciiTheme="minorHAnsi" w:hAnsiTheme="minorHAnsi" w:cstheme="minorHAnsi"/>
          <w:noProof/>
        </w:rPr>
        <w:t xml:space="preserve"> </w:t>
      </w:r>
      <w:r w:rsidRPr="002C310E">
        <w:rPr>
          <w:rFonts w:asciiTheme="minorHAnsi" w:hAnsiTheme="minorHAnsi" w:cstheme="minorHAnsi"/>
          <w:noProof/>
        </w:rPr>
        <w:t xml:space="preserve">hodnocení </w:t>
      </w:r>
      <w:r w:rsidR="0027092E" w:rsidRPr="002C310E">
        <w:rPr>
          <w:rFonts w:asciiTheme="minorHAnsi" w:hAnsiTheme="minorHAnsi" w:cstheme="minorHAnsi"/>
          <w:noProof/>
        </w:rPr>
        <w:t>vzhledem k nedokončené realizaci</w:t>
      </w:r>
      <w:r w:rsidR="00B8383B">
        <w:rPr>
          <w:rStyle w:val="Znakapoznpodarou"/>
          <w:rFonts w:asciiTheme="minorHAnsi" w:hAnsiTheme="minorHAnsi" w:cstheme="minorHAnsi"/>
          <w:noProof/>
        </w:rPr>
        <w:footnoteReference w:id="3"/>
      </w:r>
      <w:r w:rsidRPr="002C310E">
        <w:rPr>
          <w:rFonts w:asciiTheme="minorHAnsi" w:hAnsiTheme="minorHAnsi" w:cstheme="minorHAnsi"/>
          <w:noProof/>
        </w:rPr>
        <w:t>.</w:t>
      </w:r>
      <w:r w:rsidR="00525518" w:rsidRPr="002C310E">
        <w:rPr>
          <w:rFonts w:asciiTheme="minorHAnsi" w:hAnsiTheme="minorHAnsi" w:cstheme="minorHAnsi"/>
          <w:noProof/>
        </w:rPr>
        <w:t xml:space="preserve"> </w:t>
      </w:r>
      <w:r w:rsidRPr="002C310E">
        <w:rPr>
          <w:rFonts w:asciiTheme="minorHAnsi" w:hAnsiTheme="minorHAnsi" w:cstheme="minorHAnsi"/>
        </w:rPr>
        <w:t xml:space="preserve">Efektivnost </w:t>
      </w:r>
      <w:r w:rsidR="00724FA7">
        <w:rPr>
          <w:rFonts w:asciiTheme="minorHAnsi" w:hAnsiTheme="minorHAnsi" w:cstheme="minorHAnsi"/>
        </w:rPr>
        <w:t xml:space="preserve">vynaložených prostředků u </w:t>
      </w:r>
      <w:r w:rsidRPr="002C310E">
        <w:rPr>
          <w:rFonts w:asciiTheme="minorHAnsi" w:hAnsiTheme="minorHAnsi" w:cstheme="minorHAnsi"/>
        </w:rPr>
        <w:t xml:space="preserve">tří projektů vyhodnotil jako omezenou a u čtyř projektů </w:t>
      </w:r>
      <w:r w:rsidR="0027092E" w:rsidRPr="002C310E">
        <w:rPr>
          <w:rFonts w:asciiTheme="minorHAnsi" w:hAnsiTheme="minorHAnsi" w:cstheme="minorHAnsi"/>
        </w:rPr>
        <w:t xml:space="preserve">z důvodu jejich nedokončené realizace </w:t>
      </w:r>
      <w:r w:rsidRPr="002C310E">
        <w:rPr>
          <w:rFonts w:asciiTheme="minorHAnsi" w:hAnsiTheme="minorHAnsi" w:cstheme="minorHAnsi"/>
          <w:noProof/>
        </w:rPr>
        <w:t>ne</w:t>
      </w:r>
      <w:r w:rsidR="00602DD8">
        <w:rPr>
          <w:rFonts w:asciiTheme="minorHAnsi" w:hAnsiTheme="minorHAnsi" w:cstheme="minorHAnsi"/>
          <w:noProof/>
        </w:rPr>
        <w:t xml:space="preserve">mohl </w:t>
      </w:r>
      <w:r w:rsidR="00532FD7" w:rsidRPr="002C310E">
        <w:rPr>
          <w:rFonts w:asciiTheme="minorHAnsi" w:hAnsiTheme="minorHAnsi" w:cstheme="minorHAnsi"/>
          <w:noProof/>
        </w:rPr>
        <w:t xml:space="preserve">hodnocení </w:t>
      </w:r>
      <w:r w:rsidR="00532FD7">
        <w:rPr>
          <w:rFonts w:asciiTheme="minorHAnsi" w:hAnsiTheme="minorHAnsi" w:cstheme="minorHAnsi"/>
          <w:noProof/>
        </w:rPr>
        <w:t>provést</w:t>
      </w:r>
      <w:r w:rsidRPr="002C310E">
        <w:rPr>
          <w:rFonts w:asciiTheme="minorHAnsi" w:hAnsiTheme="minorHAnsi" w:cstheme="minorHAnsi"/>
        </w:rPr>
        <w:t xml:space="preserve"> (viz odst.</w:t>
      </w:r>
      <w:r w:rsidR="00254BC5">
        <w:rPr>
          <w:rFonts w:asciiTheme="minorHAnsi" w:hAnsiTheme="minorHAnsi" w:cstheme="minorHAnsi"/>
        </w:rPr>
        <w:t> </w:t>
      </w:r>
      <w:r w:rsidRPr="002C310E">
        <w:rPr>
          <w:rFonts w:asciiTheme="minorHAnsi" w:hAnsiTheme="minorHAnsi" w:cstheme="minorHAnsi"/>
        </w:rPr>
        <w:t>4.</w:t>
      </w:r>
      <w:r w:rsidR="001C2FDE" w:rsidRPr="002C310E">
        <w:rPr>
          <w:rFonts w:asciiTheme="minorHAnsi" w:hAnsiTheme="minorHAnsi" w:cstheme="minorHAnsi"/>
        </w:rPr>
        <w:t>1</w:t>
      </w:r>
      <w:r w:rsidR="005D6EF0">
        <w:rPr>
          <w:rFonts w:asciiTheme="minorHAnsi" w:hAnsiTheme="minorHAnsi" w:cstheme="minorHAnsi"/>
        </w:rPr>
        <w:t>4</w:t>
      </w:r>
      <w:r w:rsidRPr="002C310E">
        <w:rPr>
          <w:rFonts w:asciiTheme="minorHAnsi" w:hAnsiTheme="minorHAnsi" w:cstheme="minorHAnsi"/>
        </w:rPr>
        <w:t xml:space="preserve"> až 4.</w:t>
      </w:r>
      <w:r w:rsidR="001C2FDE" w:rsidRPr="002C310E">
        <w:rPr>
          <w:rFonts w:asciiTheme="minorHAnsi" w:hAnsiTheme="minorHAnsi" w:cstheme="minorHAnsi"/>
        </w:rPr>
        <w:t>1</w:t>
      </w:r>
      <w:r w:rsidR="005D6EF0">
        <w:rPr>
          <w:rFonts w:asciiTheme="minorHAnsi" w:hAnsiTheme="minorHAnsi" w:cstheme="minorHAnsi"/>
        </w:rPr>
        <w:t>6</w:t>
      </w:r>
      <w:r w:rsidR="001C2FDE" w:rsidRPr="002C310E">
        <w:rPr>
          <w:rFonts w:asciiTheme="minorHAnsi" w:hAnsiTheme="minorHAnsi" w:cstheme="minorHAnsi"/>
        </w:rPr>
        <w:t xml:space="preserve"> a 4.</w:t>
      </w:r>
      <w:r w:rsidR="00A20856">
        <w:rPr>
          <w:rFonts w:asciiTheme="minorHAnsi" w:hAnsiTheme="minorHAnsi" w:cstheme="minorHAnsi"/>
        </w:rPr>
        <w:t>19</w:t>
      </w:r>
      <w:r w:rsidR="001C2FDE" w:rsidRPr="002C310E">
        <w:rPr>
          <w:rFonts w:asciiTheme="minorHAnsi" w:hAnsiTheme="minorHAnsi" w:cstheme="minorHAnsi"/>
        </w:rPr>
        <w:t xml:space="preserve"> až 4.</w:t>
      </w:r>
      <w:r w:rsidR="005D6EF0">
        <w:rPr>
          <w:rFonts w:asciiTheme="minorHAnsi" w:hAnsiTheme="minorHAnsi" w:cstheme="minorHAnsi"/>
        </w:rPr>
        <w:t>2</w:t>
      </w:r>
      <w:r w:rsidR="00A20856">
        <w:rPr>
          <w:rFonts w:asciiTheme="minorHAnsi" w:hAnsiTheme="minorHAnsi" w:cstheme="minorHAnsi"/>
        </w:rPr>
        <w:t>1</w:t>
      </w:r>
      <w:r w:rsidRPr="002C310E">
        <w:rPr>
          <w:rFonts w:asciiTheme="minorHAnsi" w:hAnsiTheme="minorHAnsi" w:cstheme="minorHAnsi"/>
        </w:rPr>
        <w:t>)</w:t>
      </w:r>
      <w:r w:rsidRPr="002C310E">
        <w:rPr>
          <w:rFonts w:asciiTheme="minorHAnsi" w:eastAsia="Times New Roman" w:hAnsiTheme="minorHAnsi" w:cstheme="minorHAnsi"/>
          <w:bCs/>
          <w:noProof/>
        </w:rPr>
        <w:t>.</w:t>
      </w:r>
    </w:p>
    <w:p w14:paraId="3708F81F" w14:textId="0F030C3B" w:rsidR="002155B1" w:rsidRPr="002C310E" w:rsidRDefault="00F04DCF" w:rsidP="00CA3D82">
      <w:pPr>
        <w:pStyle w:val="Default"/>
        <w:spacing w:after="120"/>
        <w:ind w:left="568" w:hanging="284"/>
        <w:jc w:val="both"/>
        <w:rPr>
          <w:rFonts w:asciiTheme="minorHAnsi" w:eastAsia="Times New Roman" w:hAnsiTheme="minorHAnsi" w:cstheme="minorHAnsi"/>
          <w:bCs/>
          <w:noProof/>
          <w:highlight w:val="lightGray"/>
        </w:rPr>
      </w:pPr>
      <w:r w:rsidRPr="002C310E">
        <w:rPr>
          <w:rFonts w:asciiTheme="minorHAnsi" w:hAnsiTheme="minorHAnsi" w:cstheme="minorHAnsi"/>
          <w:b/>
          <w:color w:val="auto"/>
        </w:rPr>
        <w:t xml:space="preserve">d) </w:t>
      </w:r>
      <w:r w:rsidRPr="002C310E">
        <w:rPr>
          <w:rFonts w:asciiTheme="minorHAnsi" w:eastAsia="Times New Roman" w:hAnsiTheme="minorHAnsi" w:cstheme="minorHAnsi"/>
          <w:bCs/>
          <w:noProof/>
        </w:rPr>
        <w:t>Nad rámec systémov</w:t>
      </w:r>
      <w:r w:rsidR="002E3D7A">
        <w:rPr>
          <w:rFonts w:asciiTheme="minorHAnsi" w:eastAsia="Times New Roman" w:hAnsiTheme="minorHAnsi" w:cstheme="minorHAnsi"/>
          <w:bCs/>
          <w:noProof/>
        </w:rPr>
        <w:t>ých nedostatků uvedených v bodě</w:t>
      </w:r>
      <w:r w:rsidRPr="002C310E">
        <w:rPr>
          <w:rFonts w:asciiTheme="minorHAnsi" w:eastAsia="Times New Roman" w:hAnsiTheme="minorHAnsi" w:cstheme="minorHAnsi"/>
          <w:bCs/>
          <w:noProof/>
        </w:rPr>
        <w:t xml:space="preserve"> b) NKÚ při kontrole projektů </w:t>
      </w:r>
      <w:r w:rsidR="00525518" w:rsidRPr="002C310E">
        <w:rPr>
          <w:rFonts w:asciiTheme="minorHAnsi" w:eastAsia="Times New Roman" w:hAnsiTheme="minorHAnsi" w:cstheme="minorHAnsi"/>
          <w:bCs/>
          <w:noProof/>
        </w:rPr>
        <w:t xml:space="preserve">NP </w:t>
      </w:r>
      <w:r w:rsidRPr="002C310E">
        <w:rPr>
          <w:rFonts w:asciiTheme="minorHAnsi" w:eastAsia="Times New Roman" w:hAnsiTheme="minorHAnsi" w:cstheme="minorHAnsi"/>
          <w:bCs/>
          <w:noProof/>
        </w:rPr>
        <w:t>AMIF zjistil, že MV u příjemců peněžních prostředků nestanovilo povinnost sledovat z</w:t>
      </w:r>
      <w:r w:rsidRPr="002C310E">
        <w:rPr>
          <w:rFonts w:asciiTheme="minorHAnsi" w:hAnsiTheme="minorHAnsi" w:cstheme="minorHAnsi"/>
        </w:rPr>
        <w:t xml:space="preserve">pětnou vazbu na poskytované služby, </w:t>
      </w:r>
      <w:r w:rsidR="001426EA">
        <w:rPr>
          <w:rFonts w:asciiTheme="minorHAnsi" w:hAnsiTheme="minorHAnsi" w:cstheme="minorHAnsi"/>
        </w:rPr>
        <w:t>což</w:t>
      </w:r>
      <w:r w:rsidRPr="002C310E">
        <w:rPr>
          <w:rFonts w:asciiTheme="minorHAnsi" w:hAnsiTheme="minorHAnsi" w:cstheme="minorHAnsi"/>
        </w:rPr>
        <w:t xml:space="preserve"> by umožnil</w:t>
      </w:r>
      <w:r w:rsidR="001426EA">
        <w:rPr>
          <w:rFonts w:asciiTheme="minorHAnsi" w:hAnsiTheme="minorHAnsi" w:cstheme="minorHAnsi"/>
        </w:rPr>
        <w:t>o</w:t>
      </w:r>
      <w:r w:rsidRPr="002C310E">
        <w:rPr>
          <w:rFonts w:asciiTheme="minorHAnsi" w:hAnsiTheme="minorHAnsi" w:cstheme="minorHAnsi"/>
        </w:rPr>
        <w:t xml:space="preserve"> vyhodnotit konkrétní přínos projektů pro klienty.</w:t>
      </w:r>
      <w:r w:rsidR="00525518" w:rsidRPr="002C310E">
        <w:rPr>
          <w:rFonts w:asciiTheme="minorHAnsi" w:hAnsiTheme="minorHAnsi" w:cstheme="minorHAnsi"/>
        </w:rPr>
        <w:t xml:space="preserve"> </w:t>
      </w:r>
      <w:r w:rsidRPr="002C310E">
        <w:rPr>
          <w:rFonts w:asciiTheme="minorHAnsi" w:hAnsiTheme="minorHAnsi" w:cstheme="minorHAnsi"/>
        </w:rPr>
        <w:t>U projektů zaměřených na financování center na podporu integrace cizinců</w:t>
      </w:r>
      <w:r>
        <w:rPr>
          <w:rStyle w:val="Znakapoznpodarou"/>
          <w:rFonts w:asciiTheme="minorHAnsi" w:hAnsiTheme="minorHAnsi" w:cstheme="minorHAnsi"/>
        </w:rPr>
        <w:footnoteReference w:id="4"/>
      </w:r>
      <w:r w:rsidRPr="002C310E">
        <w:rPr>
          <w:rFonts w:asciiTheme="minorHAnsi" w:hAnsiTheme="minorHAnsi" w:cstheme="minorHAnsi"/>
        </w:rPr>
        <w:t xml:space="preserve"> MV </w:t>
      </w:r>
      <w:r w:rsidR="002E3D7A">
        <w:rPr>
          <w:rFonts w:asciiTheme="minorHAnsi" w:hAnsiTheme="minorHAnsi" w:cstheme="minorHAnsi"/>
        </w:rPr>
        <w:t xml:space="preserve">také </w:t>
      </w:r>
      <w:r w:rsidRPr="002C310E">
        <w:rPr>
          <w:rFonts w:asciiTheme="minorHAnsi" w:hAnsiTheme="minorHAnsi" w:cstheme="minorHAnsi"/>
        </w:rPr>
        <w:t>nesledovalo např. průměrnou výši nákladů aktivity (např.</w:t>
      </w:r>
      <w:r w:rsidR="00254BC5">
        <w:rPr>
          <w:rFonts w:asciiTheme="minorHAnsi" w:hAnsiTheme="minorHAnsi" w:cstheme="minorHAnsi"/>
        </w:rPr>
        <w:t> </w:t>
      </w:r>
      <w:r w:rsidRPr="002C310E">
        <w:rPr>
          <w:rFonts w:asciiTheme="minorHAnsi" w:hAnsiTheme="minorHAnsi" w:cstheme="minorHAnsi"/>
        </w:rPr>
        <w:t>kurz českého jazyka) na jednoho klienta a nesrovnávalo výši nákladů mezi jednotlivými projekty.</w:t>
      </w:r>
      <w:r w:rsidR="00387AD4" w:rsidRPr="002C310E">
        <w:rPr>
          <w:rFonts w:asciiTheme="minorHAnsi" w:hAnsiTheme="minorHAnsi" w:cstheme="minorHAnsi"/>
        </w:rPr>
        <w:t xml:space="preserve"> </w:t>
      </w:r>
      <w:r w:rsidRPr="002C310E">
        <w:rPr>
          <w:rFonts w:asciiTheme="minorHAnsi" w:hAnsiTheme="minorHAnsi" w:cstheme="minorHAnsi"/>
        </w:rPr>
        <w:t>Příjemci v žádosti o podporu uváděli plánovaný rozpočet na aktivity projektu, ale již nebyli MV zavázáni sledovat skutečné náklady těchto aktivit, které by následně MV umožnily posoudit jejich provázanost s rozpočtem a cíli projektu (viz odst. 4.</w:t>
      </w:r>
      <w:r w:rsidR="009B4565" w:rsidRPr="002C310E">
        <w:rPr>
          <w:rFonts w:asciiTheme="minorHAnsi" w:hAnsiTheme="minorHAnsi" w:cstheme="minorHAnsi"/>
        </w:rPr>
        <w:t>2</w:t>
      </w:r>
      <w:r w:rsidR="005D6EF0">
        <w:rPr>
          <w:rFonts w:asciiTheme="minorHAnsi" w:hAnsiTheme="minorHAnsi" w:cstheme="minorHAnsi"/>
        </w:rPr>
        <w:t>5</w:t>
      </w:r>
      <w:r w:rsidR="009B4565" w:rsidRPr="002C310E">
        <w:rPr>
          <w:rFonts w:asciiTheme="minorHAnsi" w:hAnsiTheme="minorHAnsi" w:cstheme="minorHAnsi"/>
        </w:rPr>
        <w:t>, 4.2</w:t>
      </w:r>
      <w:r w:rsidR="005D6EF0">
        <w:rPr>
          <w:rFonts w:asciiTheme="minorHAnsi" w:hAnsiTheme="minorHAnsi" w:cstheme="minorHAnsi"/>
        </w:rPr>
        <w:t>6</w:t>
      </w:r>
      <w:r w:rsidR="007E70C5" w:rsidRPr="002C310E">
        <w:rPr>
          <w:rFonts w:asciiTheme="minorHAnsi" w:hAnsiTheme="minorHAnsi" w:cstheme="minorHAnsi"/>
        </w:rPr>
        <w:t>, 4.3</w:t>
      </w:r>
      <w:r w:rsidR="005D6EF0">
        <w:rPr>
          <w:rFonts w:asciiTheme="minorHAnsi" w:hAnsiTheme="minorHAnsi" w:cstheme="minorHAnsi"/>
        </w:rPr>
        <w:t>3</w:t>
      </w:r>
      <w:r w:rsidR="007E70C5" w:rsidRPr="002C310E">
        <w:rPr>
          <w:rFonts w:asciiTheme="minorHAnsi" w:hAnsiTheme="minorHAnsi" w:cstheme="minorHAnsi"/>
        </w:rPr>
        <w:t xml:space="preserve"> a 4.3</w:t>
      </w:r>
      <w:r w:rsidR="005D6EF0">
        <w:rPr>
          <w:rFonts w:asciiTheme="minorHAnsi" w:hAnsiTheme="minorHAnsi" w:cstheme="minorHAnsi"/>
        </w:rPr>
        <w:t>4</w:t>
      </w:r>
      <w:r w:rsidR="007E70C5" w:rsidRPr="002C310E">
        <w:rPr>
          <w:rFonts w:asciiTheme="minorHAnsi" w:hAnsiTheme="minorHAnsi" w:cstheme="minorHAnsi"/>
        </w:rPr>
        <w:t>)</w:t>
      </w:r>
      <w:r w:rsidRPr="002C310E">
        <w:rPr>
          <w:rFonts w:asciiTheme="minorHAnsi" w:eastAsia="Times New Roman" w:hAnsiTheme="minorHAnsi" w:cstheme="minorHAnsi"/>
          <w:bCs/>
          <w:noProof/>
        </w:rPr>
        <w:t>.</w:t>
      </w:r>
    </w:p>
    <w:p w14:paraId="6E237D19" w14:textId="0855E23C" w:rsidR="002155B1" w:rsidRPr="002C310E" w:rsidRDefault="00F04DCF" w:rsidP="00CA3D82">
      <w:pPr>
        <w:pStyle w:val="Default"/>
        <w:spacing w:after="120"/>
        <w:ind w:left="568" w:hanging="284"/>
        <w:jc w:val="both"/>
        <w:rPr>
          <w:rFonts w:asciiTheme="minorHAnsi" w:hAnsiTheme="minorHAnsi" w:cstheme="minorHAnsi"/>
          <w:highlight w:val="lightGray"/>
        </w:rPr>
      </w:pPr>
      <w:r w:rsidRPr="002C310E">
        <w:rPr>
          <w:rFonts w:asciiTheme="minorHAnsi" w:hAnsiTheme="minorHAnsi" w:cstheme="minorHAnsi"/>
          <w:b/>
          <w:color w:val="auto"/>
        </w:rPr>
        <w:t xml:space="preserve">e) </w:t>
      </w:r>
      <w:r w:rsidRPr="002C310E">
        <w:rPr>
          <w:rFonts w:asciiTheme="minorHAnsi" w:hAnsiTheme="minorHAnsi" w:cstheme="minorHAnsi"/>
        </w:rPr>
        <w:t xml:space="preserve">V rámci kontroly dvaceti projektů </w:t>
      </w:r>
      <w:r w:rsidR="00525518" w:rsidRPr="002C310E">
        <w:rPr>
          <w:rFonts w:asciiTheme="minorHAnsi" w:hAnsiTheme="minorHAnsi" w:cstheme="minorHAnsi"/>
        </w:rPr>
        <w:t xml:space="preserve">NP </w:t>
      </w:r>
      <w:r w:rsidRPr="002C310E">
        <w:rPr>
          <w:rFonts w:asciiTheme="minorHAnsi" w:hAnsiTheme="minorHAnsi" w:cstheme="minorHAnsi"/>
        </w:rPr>
        <w:t xml:space="preserve">AMIF vyhodnotil NKÚ </w:t>
      </w:r>
      <w:r w:rsidR="00724FA7">
        <w:rPr>
          <w:rFonts w:asciiTheme="minorHAnsi" w:hAnsiTheme="minorHAnsi" w:cstheme="minorHAnsi"/>
        </w:rPr>
        <w:t xml:space="preserve">vynaložení peněžních prostředků u </w:t>
      </w:r>
      <w:r w:rsidRPr="002C310E">
        <w:rPr>
          <w:rFonts w:asciiTheme="minorHAnsi" w:hAnsiTheme="minorHAnsi" w:cstheme="minorHAnsi"/>
        </w:rPr>
        <w:t>tř</w:t>
      </w:r>
      <w:r w:rsidR="00724FA7">
        <w:rPr>
          <w:rFonts w:asciiTheme="minorHAnsi" w:hAnsiTheme="minorHAnsi" w:cstheme="minorHAnsi"/>
        </w:rPr>
        <w:t>í</w:t>
      </w:r>
      <w:r w:rsidRPr="002C310E">
        <w:rPr>
          <w:rFonts w:asciiTheme="minorHAnsi" w:hAnsiTheme="minorHAnsi" w:cstheme="minorHAnsi"/>
        </w:rPr>
        <w:t xml:space="preserve"> jako účelné, </w:t>
      </w:r>
      <w:r w:rsidR="00724FA7">
        <w:rPr>
          <w:rFonts w:asciiTheme="minorHAnsi" w:hAnsiTheme="minorHAnsi" w:cstheme="minorHAnsi"/>
        </w:rPr>
        <w:t xml:space="preserve">u </w:t>
      </w:r>
      <w:r w:rsidRPr="002C310E">
        <w:rPr>
          <w:rFonts w:asciiTheme="minorHAnsi" w:hAnsiTheme="minorHAnsi" w:cstheme="minorHAnsi"/>
        </w:rPr>
        <w:t>dvanáct</w:t>
      </w:r>
      <w:r w:rsidR="00724FA7">
        <w:rPr>
          <w:rFonts w:asciiTheme="minorHAnsi" w:hAnsiTheme="minorHAnsi" w:cstheme="minorHAnsi"/>
        </w:rPr>
        <w:t>i</w:t>
      </w:r>
      <w:r w:rsidRPr="002C310E">
        <w:rPr>
          <w:rFonts w:asciiTheme="minorHAnsi" w:hAnsiTheme="minorHAnsi" w:cstheme="minorHAnsi"/>
        </w:rPr>
        <w:t xml:space="preserve"> jako účeln</w:t>
      </w:r>
      <w:r w:rsidR="00724FA7">
        <w:rPr>
          <w:rFonts w:asciiTheme="minorHAnsi" w:hAnsiTheme="minorHAnsi" w:cstheme="minorHAnsi"/>
        </w:rPr>
        <w:t>é</w:t>
      </w:r>
      <w:r w:rsidRPr="002C310E">
        <w:rPr>
          <w:rFonts w:asciiTheme="minorHAnsi" w:hAnsiTheme="minorHAnsi" w:cstheme="minorHAnsi"/>
        </w:rPr>
        <w:t xml:space="preserve"> s mírnými nedostatky,</w:t>
      </w:r>
      <w:r w:rsidR="0027092E" w:rsidRPr="002C310E">
        <w:rPr>
          <w:rFonts w:asciiTheme="minorHAnsi" w:hAnsiTheme="minorHAnsi" w:cstheme="minorHAnsi"/>
        </w:rPr>
        <w:t xml:space="preserve"> </w:t>
      </w:r>
      <w:r w:rsidR="00724FA7">
        <w:rPr>
          <w:rFonts w:asciiTheme="minorHAnsi" w:hAnsiTheme="minorHAnsi" w:cstheme="minorHAnsi"/>
        </w:rPr>
        <w:t xml:space="preserve">u </w:t>
      </w:r>
      <w:r w:rsidRPr="002C310E">
        <w:rPr>
          <w:rFonts w:asciiTheme="minorHAnsi" w:hAnsiTheme="minorHAnsi" w:cstheme="minorHAnsi"/>
        </w:rPr>
        <w:t>tř</w:t>
      </w:r>
      <w:r w:rsidR="00724FA7">
        <w:rPr>
          <w:rFonts w:asciiTheme="minorHAnsi" w:hAnsiTheme="minorHAnsi" w:cstheme="minorHAnsi"/>
        </w:rPr>
        <w:t>í</w:t>
      </w:r>
      <w:r w:rsidRPr="002C310E">
        <w:rPr>
          <w:rFonts w:asciiTheme="minorHAnsi" w:hAnsiTheme="minorHAnsi" w:cstheme="minorHAnsi"/>
        </w:rPr>
        <w:t xml:space="preserve"> jako účelné pouze omezeně a u dvou projektů </w:t>
      </w:r>
      <w:r w:rsidR="0027092E" w:rsidRPr="002C310E">
        <w:rPr>
          <w:rFonts w:asciiTheme="minorHAnsi" w:hAnsiTheme="minorHAnsi" w:cstheme="minorHAnsi"/>
        </w:rPr>
        <w:t xml:space="preserve">z důvodu počáteční fáze jejich realizace </w:t>
      </w:r>
      <w:r w:rsidR="00745825" w:rsidRPr="002C310E">
        <w:rPr>
          <w:rFonts w:asciiTheme="minorHAnsi" w:hAnsiTheme="minorHAnsi" w:cstheme="minorHAnsi"/>
        </w:rPr>
        <w:t xml:space="preserve">hodnocení </w:t>
      </w:r>
      <w:r w:rsidR="00467A83">
        <w:rPr>
          <w:rFonts w:asciiTheme="minorHAnsi" w:hAnsiTheme="minorHAnsi" w:cstheme="minorHAnsi"/>
        </w:rPr>
        <w:t>neprovedl</w:t>
      </w:r>
      <w:r w:rsidRPr="002C310E">
        <w:rPr>
          <w:rFonts w:asciiTheme="minorHAnsi" w:hAnsiTheme="minorHAnsi" w:cstheme="minorHAnsi"/>
        </w:rPr>
        <w:t>.</w:t>
      </w:r>
      <w:r w:rsidR="00781947" w:rsidRPr="002C310E">
        <w:rPr>
          <w:rFonts w:asciiTheme="minorHAnsi" w:hAnsiTheme="minorHAnsi" w:cstheme="minorHAnsi"/>
        </w:rPr>
        <w:t xml:space="preserve"> </w:t>
      </w:r>
      <w:r w:rsidR="00C01561">
        <w:rPr>
          <w:rFonts w:asciiTheme="minorHAnsi" w:hAnsiTheme="minorHAnsi" w:cstheme="minorHAnsi"/>
        </w:rPr>
        <w:t>J</w:t>
      </w:r>
      <w:r w:rsidRPr="002C310E">
        <w:rPr>
          <w:rFonts w:asciiTheme="minorHAnsi" w:hAnsiTheme="minorHAnsi" w:cstheme="minorHAnsi"/>
        </w:rPr>
        <w:t>ed</w:t>
      </w:r>
      <w:r w:rsidR="00E90B61">
        <w:rPr>
          <w:rFonts w:asciiTheme="minorHAnsi" w:hAnsiTheme="minorHAnsi" w:cstheme="minorHAnsi"/>
        </w:rPr>
        <w:t>en</w:t>
      </w:r>
      <w:r w:rsidRPr="002C310E">
        <w:rPr>
          <w:rFonts w:asciiTheme="minorHAnsi" w:hAnsiTheme="minorHAnsi" w:cstheme="minorHAnsi"/>
        </w:rPr>
        <w:t xml:space="preserve"> projekt </w:t>
      </w:r>
      <w:r w:rsidR="00C01561">
        <w:rPr>
          <w:rFonts w:asciiTheme="minorHAnsi" w:hAnsiTheme="minorHAnsi" w:cstheme="minorHAnsi"/>
        </w:rPr>
        <w:t xml:space="preserve">byl </w:t>
      </w:r>
      <w:r w:rsidRPr="002C310E">
        <w:rPr>
          <w:rFonts w:asciiTheme="minorHAnsi" w:hAnsiTheme="minorHAnsi" w:cstheme="minorHAnsi"/>
        </w:rPr>
        <w:t xml:space="preserve">vyhodnocen jako efektivní, devět jako efektivní s mírnými nedostatky, čtyři jako efektivní pouze omezeně a u šesti projektů </w:t>
      </w:r>
      <w:r w:rsidR="0027092E" w:rsidRPr="002C310E">
        <w:rPr>
          <w:rFonts w:asciiTheme="minorHAnsi" w:hAnsiTheme="minorHAnsi" w:cstheme="minorHAnsi"/>
        </w:rPr>
        <w:t xml:space="preserve">z důvodu počáteční fáze jejich realizace </w:t>
      </w:r>
      <w:r w:rsidR="0096094E" w:rsidRPr="002C310E">
        <w:rPr>
          <w:rFonts w:asciiTheme="minorHAnsi" w:hAnsiTheme="minorHAnsi" w:cstheme="minorHAnsi"/>
        </w:rPr>
        <w:t xml:space="preserve">hodnocení </w:t>
      </w:r>
      <w:r w:rsidR="00467A83">
        <w:rPr>
          <w:rFonts w:asciiTheme="minorHAnsi" w:hAnsiTheme="minorHAnsi" w:cstheme="minorHAnsi"/>
        </w:rPr>
        <w:t>neprovedl</w:t>
      </w:r>
      <w:r w:rsidRPr="002C310E">
        <w:rPr>
          <w:rFonts w:asciiTheme="minorHAnsi" w:hAnsiTheme="minorHAnsi" w:cstheme="minorHAnsi"/>
        </w:rPr>
        <w:t xml:space="preserve"> (viz odst. 4.</w:t>
      </w:r>
      <w:r w:rsidR="007E70C5" w:rsidRPr="002C310E">
        <w:rPr>
          <w:rFonts w:asciiTheme="minorHAnsi" w:hAnsiTheme="minorHAnsi" w:cstheme="minorHAnsi"/>
        </w:rPr>
        <w:t>2</w:t>
      </w:r>
      <w:r w:rsidR="005D6EF0">
        <w:rPr>
          <w:rFonts w:asciiTheme="minorHAnsi" w:hAnsiTheme="minorHAnsi" w:cstheme="minorHAnsi"/>
        </w:rPr>
        <w:t>7</w:t>
      </w:r>
      <w:r w:rsidRPr="002C310E">
        <w:rPr>
          <w:rFonts w:asciiTheme="minorHAnsi" w:hAnsiTheme="minorHAnsi" w:cstheme="minorHAnsi"/>
        </w:rPr>
        <w:t xml:space="preserve"> až 4.</w:t>
      </w:r>
      <w:r w:rsidR="005D6EF0">
        <w:rPr>
          <w:rFonts w:asciiTheme="minorHAnsi" w:hAnsiTheme="minorHAnsi" w:cstheme="minorHAnsi"/>
        </w:rPr>
        <w:t>29</w:t>
      </w:r>
      <w:r w:rsidR="007E70C5" w:rsidRPr="002C310E">
        <w:rPr>
          <w:rFonts w:asciiTheme="minorHAnsi" w:hAnsiTheme="minorHAnsi" w:cstheme="minorHAnsi"/>
        </w:rPr>
        <w:t xml:space="preserve"> a 4.3</w:t>
      </w:r>
      <w:r w:rsidR="005D6EF0">
        <w:rPr>
          <w:rFonts w:asciiTheme="minorHAnsi" w:hAnsiTheme="minorHAnsi" w:cstheme="minorHAnsi"/>
        </w:rPr>
        <w:t>5</w:t>
      </w:r>
      <w:r w:rsidR="007E70C5" w:rsidRPr="002C310E">
        <w:rPr>
          <w:rFonts w:asciiTheme="minorHAnsi" w:hAnsiTheme="minorHAnsi" w:cstheme="minorHAnsi"/>
        </w:rPr>
        <w:t xml:space="preserve"> až 4.3</w:t>
      </w:r>
      <w:r w:rsidR="005D6EF0">
        <w:rPr>
          <w:rFonts w:asciiTheme="minorHAnsi" w:hAnsiTheme="minorHAnsi" w:cstheme="minorHAnsi"/>
        </w:rPr>
        <w:t>7</w:t>
      </w:r>
      <w:r w:rsidRPr="002C310E">
        <w:rPr>
          <w:rFonts w:asciiTheme="minorHAnsi" w:hAnsiTheme="minorHAnsi" w:cstheme="minorHAnsi"/>
        </w:rPr>
        <w:t xml:space="preserve">). </w:t>
      </w:r>
    </w:p>
    <w:p w14:paraId="62831EFE" w14:textId="3374549E" w:rsidR="002155B1" w:rsidRPr="002C310E" w:rsidRDefault="00F04DCF" w:rsidP="00CA3D82">
      <w:pPr>
        <w:pStyle w:val="Default"/>
        <w:spacing w:after="120"/>
        <w:ind w:left="568" w:hanging="284"/>
        <w:jc w:val="both"/>
        <w:rPr>
          <w:rFonts w:asciiTheme="minorHAnsi" w:hAnsiTheme="minorHAnsi" w:cstheme="minorHAnsi"/>
          <w:highlight w:val="lightGray"/>
        </w:rPr>
      </w:pPr>
      <w:r w:rsidRPr="002C310E">
        <w:rPr>
          <w:rFonts w:asciiTheme="minorHAnsi" w:hAnsiTheme="minorHAnsi" w:cstheme="minorHAnsi"/>
          <w:b/>
          <w:color w:val="auto"/>
        </w:rPr>
        <w:t xml:space="preserve">f) </w:t>
      </w:r>
      <w:r w:rsidR="0015690E">
        <w:rPr>
          <w:rFonts w:asciiTheme="minorHAnsi" w:hAnsiTheme="minorHAnsi" w:cstheme="minorHAnsi"/>
          <w:b/>
          <w:color w:val="auto"/>
        </w:rPr>
        <w:tab/>
      </w:r>
      <w:r w:rsidRPr="002C310E">
        <w:rPr>
          <w:rFonts w:asciiTheme="minorHAnsi" w:hAnsiTheme="minorHAnsi" w:cstheme="minorHAnsi"/>
        </w:rPr>
        <w:t xml:space="preserve">Tvůrcem </w:t>
      </w:r>
      <w:r w:rsidR="0027092E" w:rsidRPr="002C310E">
        <w:rPr>
          <w:rFonts w:asciiTheme="minorHAnsi" w:hAnsiTheme="minorHAnsi" w:cstheme="minorHAnsi"/>
          <w:i/>
          <w:iCs/>
        </w:rPr>
        <w:t>Státního integračního programu</w:t>
      </w:r>
      <w:r w:rsidR="0027092E" w:rsidRPr="002C310E">
        <w:rPr>
          <w:rFonts w:asciiTheme="minorHAnsi" w:hAnsiTheme="minorHAnsi" w:cstheme="minorHAnsi"/>
        </w:rPr>
        <w:t xml:space="preserve"> (dále též „SIP“) </w:t>
      </w:r>
      <w:r w:rsidRPr="002C310E">
        <w:rPr>
          <w:rFonts w:asciiTheme="minorHAnsi" w:hAnsiTheme="minorHAnsi" w:cstheme="minorHAnsi"/>
        </w:rPr>
        <w:t>je</w:t>
      </w:r>
      <w:r w:rsidRPr="002C310E">
        <w:rPr>
          <w:rFonts w:asciiTheme="minorHAnsi" w:hAnsiTheme="minorHAnsi" w:cstheme="minorHAnsi"/>
          <w:noProof/>
        </w:rPr>
        <w:t xml:space="preserve"> MV a jeho realizátorem SUZ MV. Také v tomto programu MV nastavilo pouze obecný cíl programu a nestanovilo </w:t>
      </w:r>
      <w:r w:rsidRPr="002C310E">
        <w:rPr>
          <w:rFonts w:asciiTheme="minorHAnsi" w:hAnsiTheme="minorHAnsi" w:cstheme="minorHAnsi"/>
        </w:rPr>
        <w:t>měřitelné ukazatele pro sledování cílů.</w:t>
      </w:r>
      <w:r w:rsidRPr="002C310E">
        <w:rPr>
          <w:rFonts w:asciiTheme="minorHAnsi" w:hAnsiTheme="minorHAnsi" w:cstheme="minorHAnsi"/>
          <w:noProof/>
        </w:rPr>
        <w:t xml:space="preserve"> </w:t>
      </w:r>
      <w:r w:rsidRPr="002C310E">
        <w:rPr>
          <w:rFonts w:asciiTheme="minorHAnsi" w:hAnsiTheme="minorHAnsi" w:cstheme="minorHAnsi"/>
        </w:rPr>
        <w:t xml:space="preserve">MV nemělo nastaven systém zpětné vazby, monitoringu a obsahových náležitostí závěrečných zpráv tak, aby obdrželo informace, </w:t>
      </w:r>
      <w:r w:rsidR="002E3D7A">
        <w:rPr>
          <w:rFonts w:asciiTheme="minorHAnsi" w:hAnsiTheme="minorHAnsi" w:cstheme="minorHAnsi"/>
        </w:rPr>
        <w:t xml:space="preserve">zda a </w:t>
      </w:r>
      <w:r w:rsidRPr="002C310E">
        <w:rPr>
          <w:rFonts w:asciiTheme="minorHAnsi" w:hAnsiTheme="minorHAnsi" w:cstheme="minorHAnsi"/>
        </w:rPr>
        <w:t xml:space="preserve">jak SIP </w:t>
      </w:r>
      <w:r w:rsidR="002E3D7A">
        <w:rPr>
          <w:rFonts w:asciiTheme="minorHAnsi" w:hAnsiTheme="minorHAnsi" w:cstheme="minorHAnsi"/>
        </w:rPr>
        <w:t>pomohl úspěšné integraci klientů</w:t>
      </w:r>
      <w:r w:rsidRPr="002C310E">
        <w:rPr>
          <w:rFonts w:asciiTheme="minorHAnsi" w:hAnsiTheme="minorHAnsi" w:cstheme="minorHAnsi"/>
        </w:rPr>
        <w:t xml:space="preserve"> do společnosti. MV tak nemůže hodnotit, zda prostředky na jejich integraci byly vynaloženy účelně.</w:t>
      </w:r>
      <w:r w:rsidRPr="002C310E">
        <w:rPr>
          <w:rFonts w:asciiTheme="minorHAnsi" w:hAnsiTheme="minorHAnsi" w:cstheme="minorHAnsi"/>
          <w:noProof/>
        </w:rPr>
        <w:t xml:space="preserve"> </w:t>
      </w:r>
      <w:r w:rsidRPr="002C310E">
        <w:rPr>
          <w:rFonts w:asciiTheme="minorHAnsi" w:hAnsiTheme="minorHAnsi" w:cstheme="minorHAnsi"/>
        </w:rPr>
        <w:t xml:space="preserve">V rámci kontroly </w:t>
      </w:r>
      <w:r w:rsidRPr="002C310E">
        <w:rPr>
          <w:rFonts w:asciiTheme="minorHAnsi" w:hAnsiTheme="minorHAnsi" w:cstheme="minorHAnsi"/>
          <w:noProof/>
        </w:rPr>
        <w:lastRenderedPageBreak/>
        <w:t>39</w:t>
      </w:r>
      <w:r w:rsidR="0019759E">
        <w:rPr>
          <w:rFonts w:asciiTheme="minorHAnsi" w:hAnsiTheme="minorHAnsi" w:cstheme="minorHAnsi"/>
          <w:noProof/>
        </w:rPr>
        <w:t> </w:t>
      </w:r>
      <w:r w:rsidR="00E80C72" w:rsidRPr="002C310E">
        <w:rPr>
          <w:rFonts w:asciiTheme="minorHAnsi" w:hAnsiTheme="minorHAnsi" w:cstheme="minorHAnsi"/>
          <w:noProof/>
        </w:rPr>
        <w:t>integračních plánů</w:t>
      </w:r>
      <w:r w:rsidR="0096094E">
        <w:rPr>
          <w:rFonts w:asciiTheme="minorHAnsi" w:hAnsiTheme="minorHAnsi" w:cstheme="minorHAnsi"/>
          <w:noProof/>
        </w:rPr>
        <w:t xml:space="preserve"> </w:t>
      </w:r>
      <w:r w:rsidR="0096094E" w:rsidRPr="002C310E">
        <w:rPr>
          <w:rFonts w:asciiTheme="minorHAnsi" w:hAnsiTheme="minorHAnsi" w:cstheme="minorHAnsi"/>
        </w:rPr>
        <w:t>SIP</w:t>
      </w:r>
      <w:r w:rsidR="001D1D6C">
        <w:rPr>
          <w:rStyle w:val="Znakapoznpodarou"/>
          <w:rFonts w:asciiTheme="minorHAnsi" w:hAnsiTheme="minorHAnsi" w:cstheme="minorHAnsi"/>
          <w:noProof/>
        </w:rPr>
        <w:footnoteReference w:id="5"/>
      </w:r>
      <w:r w:rsidRPr="002C310E">
        <w:rPr>
          <w:rFonts w:asciiTheme="minorHAnsi" w:hAnsiTheme="minorHAnsi" w:cstheme="minorHAnsi"/>
        </w:rPr>
        <w:t xml:space="preserve"> vyhodnotil NKÚ </w:t>
      </w:r>
      <w:r w:rsidR="00724FA7">
        <w:rPr>
          <w:rFonts w:asciiTheme="minorHAnsi" w:hAnsiTheme="minorHAnsi" w:cstheme="minorHAnsi"/>
        </w:rPr>
        <w:t xml:space="preserve">vynaložení peněžních prostředků u </w:t>
      </w:r>
      <w:r w:rsidRPr="002C310E">
        <w:rPr>
          <w:rFonts w:asciiTheme="minorHAnsi" w:hAnsiTheme="minorHAnsi" w:cstheme="minorHAnsi"/>
          <w:noProof/>
        </w:rPr>
        <w:t xml:space="preserve">30 jako </w:t>
      </w:r>
      <w:r w:rsidRPr="002C310E">
        <w:rPr>
          <w:rFonts w:asciiTheme="minorHAnsi" w:hAnsiTheme="minorHAnsi" w:cstheme="minorHAnsi"/>
        </w:rPr>
        <w:t xml:space="preserve">efektivní, </w:t>
      </w:r>
      <w:r w:rsidR="00724FA7">
        <w:rPr>
          <w:rFonts w:asciiTheme="minorHAnsi" w:hAnsiTheme="minorHAnsi" w:cstheme="minorHAnsi"/>
        </w:rPr>
        <w:t xml:space="preserve">u </w:t>
      </w:r>
      <w:r w:rsidRPr="002C310E">
        <w:rPr>
          <w:rFonts w:asciiTheme="minorHAnsi" w:hAnsiTheme="minorHAnsi" w:cstheme="minorHAnsi"/>
        </w:rPr>
        <w:t>jed</w:t>
      </w:r>
      <w:r w:rsidR="00724FA7">
        <w:rPr>
          <w:rFonts w:asciiTheme="minorHAnsi" w:hAnsiTheme="minorHAnsi" w:cstheme="minorHAnsi"/>
        </w:rPr>
        <w:t>noho</w:t>
      </w:r>
      <w:r w:rsidRPr="002C310E">
        <w:rPr>
          <w:rFonts w:asciiTheme="minorHAnsi" w:hAnsiTheme="minorHAnsi" w:cstheme="minorHAnsi"/>
        </w:rPr>
        <w:t xml:space="preserve"> jako efektivní s mírnými nedostatky, </w:t>
      </w:r>
      <w:r w:rsidR="00724FA7">
        <w:rPr>
          <w:rFonts w:asciiTheme="minorHAnsi" w:hAnsiTheme="minorHAnsi" w:cstheme="minorHAnsi"/>
        </w:rPr>
        <w:t>u jednoho</w:t>
      </w:r>
      <w:r w:rsidRPr="002C310E">
        <w:rPr>
          <w:rFonts w:asciiTheme="minorHAnsi" w:hAnsiTheme="minorHAnsi" w:cstheme="minorHAnsi"/>
        </w:rPr>
        <w:t xml:space="preserve"> jako efektivní pouze omezeně, </w:t>
      </w:r>
      <w:r w:rsidR="00724FA7">
        <w:rPr>
          <w:rFonts w:asciiTheme="minorHAnsi" w:hAnsiTheme="minorHAnsi" w:cstheme="minorHAnsi"/>
        </w:rPr>
        <w:t>u jednoho</w:t>
      </w:r>
      <w:r w:rsidRPr="002C310E">
        <w:rPr>
          <w:rFonts w:asciiTheme="minorHAnsi" w:hAnsiTheme="minorHAnsi" w:cstheme="minorHAnsi"/>
        </w:rPr>
        <w:t xml:space="preserve"> jako neefektivní a </w:t>
      </w:r>
      <w:r w:rsidR="00724FA7">
        <w:rPr>
          <w:rFonts w:asciiTheme="minorHAnsi" w:hAnsiTheme="minorHAnsi" w:cstheme="minorHAnsi"/>
        </w:rPr>
        <w:t>v případě</w:t>
      </w:r>
      <w:r w:rsidRPr="002C310E">
        <w:rPr>
          <w:rFonts w:asciiTheme="minorHAnsi" w:hAnsiTheme="minorHAnsi" w:cstheme="minorHAnsi"/>
        </w:rPr>
        <w:t xml:space="preserve"> šesti projektů </w:t>
      </w:r>
      <w:r w:rsidR="0027092E" w:rsidRPr="002C310E">
        <w:rPr>
          <w:rFonts w:asciiTheme="minorHAnsi" w:hAnsiTheme="minorHAnsi" w:cstheme="minorHAnsi"/>
        </w:rPr>
        <w:t>z důvodu neznámého výsledku</w:t>
      </w:r>
      <w:r>
        <w:rPr>
          <w:rStyle w:val="Znakapoznpodarou"/>
          <w:rFonts w:asciiTheme="minorHAnsi" w:hAnsiTheme="minorHAnsi" w:cstheme="minorHAnsi"/>
        </w:rPr>
        <w:footnoteReference w:id="6"/>
      </w:r>
      <w:r w:rsidR="0027092E" w:rsidRPr="002C310E">
        <w:rPr>
          <w:rFonts w:asciiTheme="minorHAnsi" w:hAnsiTheme="minorHAnsi" w:cstheme="minorHAnsi"/>
        </w:rPr>
        <w:t xml:space="preserve"> nebo neukončené realizace </w:t>
      </w:r>
      <w:r w:rsidR="0096094E" w:rsidRPr="002C310E">
        <w:rPr>
          <w:rFonts w:asciiTheme="minorHAnsi" w:hAnsiTheme="minorHAnsi" w:cstheme="minorHAnsi"/>
        </w:rPr>
        <w:t xml:space="preserve">hodnocení </w:t>
      </w:r>
      <w:r w:rsidR="00467A83">
        <w:rPr>
          <w:rFonts w:asciiTheme="minorHAnsi" w:hAnsiTheme="minorHAnsi" w:cstheme="minorHAnsi"/>
        </w:rPr>
        <w:t>neprovedl</w:t>
      </w:r>
      <w:r w:rsidRPr="002C310E">
        <w:rPr>
          <w:rFonts w:asciiTheme="minorHAnsi" w:hAnsiTheme="minorHAnsi" w:cstheme="minorHAnsi"/>
        </w:rPr>
        <w:t>. Riziko neefektivního vynakládání peněžních prostředků spatřuje NKÚ rovněž v tom, že SUZ MV neověřuje skutečné potřeby klientů</w:t>
      </w:r>
      <w:r w:rsidR="00D37430" w:rsidRPr="002C310E">
        <w:rPr>
          <w:rFonts w:asciiTheme="minorHAnsi" w:hAnsiTheme="minorHAnsi" w:cstheme="minorHAnsi"/>
        </w:rPr>
        <w:t xml:space="preserve"> na místě</w:t>
      </w:r>
      <w:r w:rsidR="00887423" w:rsidRPr="002C310E">
        <w:rPr>
          <w:rFonts w:asciiTheme="minorHAnsi" w:hAnsiTheme="minorHAnsi" w:cstheme="minorHAnsi"/>
        </w:rPr>
        <w:t xml:space="preserve"> </w:t>
      </w:r>
      <w:r w:rsidRPr="002C310E">
        <w:rPr>
          <w:rFonts w:asciiTheme="minorHAnsi" w:hAnsiTheme="minorHAnsi" w:cstheme="minorHAnsi"/>
        </w:rPr>
        <w:t>(viz odst. 4.</w:t>
      </w:r>
      <w:r w:rsidR="005D6EF0">
        <w:rPr>
          <w:rFonts w:asciiTheme="minorHAnsi" w:hAnsiTheme="minorHAnsi" w:cstheme="minorHAnsi"/>
        </w:rPr>
        <w:t>38</w:t>
      </w:r>
      <w:r w:rsidRPr="002C310E">
        <w:rPr>
          <w:rFonts w:asciiTheme="minorHAnsi" w:hAnsiTheme="minorHAnsi" w:cstheme="minorHAnsi"/>
        </w:rPr>
        <w:t xml:space="preserve"> až 4.</w:t>
      </w:r>
      <w:r w:rsidR="005D6EF0">
        <w:rPr>
          <w:rFonts w:asciiTheme="minorHAnsi" w:hAnsiTheme="minorHAnsi" w:cstheme="minorHAnsi"/>
        </w:rPr>
        <w:t>48</w:t>
      </w:r>
      <w:r w:rsidRPr="002C310E">
        <w:rPr>
          <w:rFonts w:asciiTheme="minorHAnsi" w:hAnsiTheme="minorHAnsi" w:cstheme="minorHAnsi"/>
        </w:rPr>
        <w:t>).</w:t>
      </w:r>
    </w:p>
    <w:p w14:paraId="5B48DA4D" w14:textId="55662FDC" w:rsidR="002155B1" w:rsidRPr="002C310E" w:rsidRDefault="00F04DCF" w:rsidP="00F45AD8">
      <w:pPr>
        <w:pStyle w:val="Default"/>
        <w:ind w:left="568" w:hanging="284"/>
        <w:jc w:val="both"/>
        <w:rPr>
          <w:rFonts w:asciiTheme="minorHAnsi" w:hAnsiTheme="minorHAnsi" w:cstheme="minorHAnsi"/>
          <w:color w:val="auto"/>
          <w:highlight w:val="lightGray"/>
        </w:rPr>
      </w:pPr>
      <w:r w:rsidRPr="002C310E">
        <w:rPr>
          <w:rFonts w:asciiTheme="minorHAnsi" w:hAnsiTheme="minorHAnsi" w:cstheme="minorHAnsi"/>
          <w:b/>
          <w:color w:val="auto"/>
        </w:rPr>
        <w:t xml:space="preserve">g) </w:t>
      </w:r>
      <w:r w:rsidRPr="002C310E">
        <w:rPr>
          <w:rFonts w:asciiTheme="minorHAnsi" w:hAnsiTheme="minorHAnsi" w:cstheme="minorHAnsi"/>
          <w:bCs/>
        </w:rPr>
        <w:t>Také</w:t>
      </w:r>
      <w:r w:rsidRPr="002C310E">
        <w:rPr>
          <w:rFonts w:asciiTheme="minorHAnsi" w:hAnsiTheme="minorHAnsi" w:cstheme="minorHAnsi"/>
          <w:b/>
        </w:rPr>
        <w:t xml:space="preserve"> </w:t>
      </w:r>
      <w:r w:rsidRPr="002C310E">
        <w:rPr>
          <w:rFonts w:asciiTheme="minorHAnsi" w:hAnsiTheme="minorHAnsi" w:cstheme="minorHAnsi"/>
        </w:rPr>
        <w:t>v </w:t>
      </w:r>
      <w:r w:rsidR="00467A83">
        <w:rPr>
          <w:rFonts w:asciiTheme="minorHAnsi" w:hAnsiTheme="minorHAnsi" w:cstheme="minorHAnsi"/>
        </w:rPr>
        <w:t>k</w:t>
      </w:r>
      <w:r w:rsidRPr="002C310E">
        <w:rPr>
          <w:rFonts w:asciiTheme="minorHAnsi" w:hAnsiTheme="minorHAnsi" w:cstheme="minorHAnsi"/>
        </w:rPr>
        <w:t xml:space="preserve">oncepci </w:t>
      </w:r>
      <w:r w:rsidR="00057174" w:rsidRPr="002C310E">
        <w:rPr>
          <w:rFonts w:asciiTheme="minorHAnsi" w:hAnsiTheme="minorHAnsi" w:cstheme="minorHAnsi"/>
          <w:i/>
          <w:iCs/>
        </w:rPr>
        <w:t xml:space="preserve">Programu Ministerstva vnitra na asistenci uprchlíkům v regionech původu a prevenci velkých migračních pohybů </w:t>
      </w:r>
      <w:r w:rsidR="00057174" w:rsidRPr="002C310E">
        <w:rPr>
          <w:rFonts w:asciiTheme="minorHAnsi" w:hAnsiTheme="minorHAnsi" w:cstheme="minorHAnsi"/>
        </w:rPr>
        <w:t>(dále též „</w:t>
      </w:r>
      <w:r w:rsidR="00B93551" w:rsidRPr="002C310E">
        <w:rPr>
          <w:rFonts w:asciiTheme="minorHAnsi" w:hAnsiTheme="minorHAnsi" w:cstheme="minorHAnsi"/>
        </w:rPr>
        <w:t xml:space="preserve">program </w:t>
      </w:r>
      <w:r w:rsidR="00057174" w:rsidRPr="002C310E">
        <w:rPr>
          <w:rFonts w:asciiTheme="minorHAnsi" w:hAnsiTheme="minorHAnsi" w:cstheme="minorHAnsi"/>
        </w:rPr>
        <w:t xml:space="preserve">Pomoc na místě“) </w:t>
      </w:r>
      <w:r w:rsidRPr="002C310E">
        <w:rPr>
          <w:rFonts w:asciiTheme="minorHAnsi" w:hAnsiTheme="minorHAnsi" w:cstheme="minorHAnsi"/>
        </w:rPr>
        <w:t>nestanovilo MV měřitelné cíle ani způsob, jakým bude naplnění cílů hodnotit.</w:t>
      </w:r>
      <w:r w:rsidRPr="002C310E">
        <w:rPr>
          <w:rFonts w:asciiTheme="minorHAnsi" w:hAnsiTheme="minorHAnsi" w:cstheme="minorHAnsi"/>
          <w:noProof/>
        </w:rPr>
        <w:t xml:space="preserve"> </w:t>
      </w:r>
      <w:r w:rsidRPr="002C310E">
        <w:rPr>
          <w:rFonts w:asciiTheme="minorHAnsi" w:hAnsiTheme="minorHAnsi" w:cstheme="minorHAnsi"/>
        </w:rPr>
        <w:t xml:space="preserve">Zároveň </w:t>
      </w:r>
      <w:r w:rsidRPr="002C310E">
        <w:rPr>
          <w:rFonts w:asciiTheme="minorHAnsi" w:eastAsia="Calibri" w:hAnsiTheme="minorHAnsi" w:cstheme="minorHAnsi"/>
        </w:rPr>
        <w:t xml:space="preserve">nestanovilo závazná pravidla vynakládání prostředků a nevymezilo parametry projektů vždy tak, aby zabezpečilo jejich účelné a efektivní vynakládání. </w:t>
      </w:r>
      <w:r w:rsidR="00387AD4" w:rsidRPr="002C310E">
        <w:rPr>
          <w:rFonts w:asciiTheme="minorHAnsi" w:eastAsia="Calibri" w:hAnsiTheme="minorHAnsi" w:cstheme="minorHAnsi"/>
        </w:rPr>
        <w:t>P</w:t>
      </w:r>
      <w:r w:rsidRPr="002C310E">
        <w:rPr>
          <w:rFonts w:asciiTheme="minorHAnsi" w:eastAsia="Calibri" w:hAnsiTheme="minorHAnsi" w:cstheme="minorHAnsi"/>
        </w:rPr>
        <w:t>rostředky</w:t>
      </w:r>
      <w:r w:rsidR="00387AD4" w:rsidRPr="002C310E">
        <w:rPr>
          <w:rFonts w:asciiTheme="minorHAnsi" w:eastAsia="Calibri" w:hAnsiTheme="minorHAnsi" w:cstheme="minorHAnsi"/>
        </w:rPr>
        <w:t xml:space="preserve"> byly</w:t>
      </w:r>
      <w:r w:rsidRPr="002C310E">
        <w:rPr>
          <w:rFonts w:asciiTheme="minorHAnsi" w:eastAsia="Calibri" w:hAnsiTheme="minorHAnsi" w:cstheme="minorHAnsi"/>
        </w:rPr>
        <w:t xml:space="preserve"> poskytovány na základě různých smluvních dokumentů, které obsahovaly odlišné </w:t>
      </w:r>
      <w:r w:rsidRPr="002C310E">
        <w:rPr>
          <w:rFonts w:asciiTheme="minorHAnsi" w:eastAsia="Times New Roman" w:hAnsiTheme="minorHAnsi" w:cstheme="minorHAnsi"/>
        </w:rPr>
        <w:t>podmínky podpory</w:t>
      </w:r>
      <w:r w:rsidRPr="002C310E">
        <w:rPr>
          <w:rFonts w:asciiTheme="minorHAnsi" w:eastAsia="Calibri" w:hAnsiTheme="minorHAnsi" w:cstheme="minorHAnsi"/>
        </w:rPr>
        <w:t xml:space="preserve"> (např. v oblasti předávání dokladů </w:t>
      </w:r>
      <w:r w:rsidR="00E90B61">
        <w:rPr>
          <w:rFonts w:asciiTheme="minorHAnsi" w:eastAsia="Calibri" w:hAnsiTheme="minorHAnsi" w:cstheme="minorHAnsi"/>
        </w:rPr>
        <w:t>prokazujících</w:t>
      </w:r>
      <w:r w:rsidRPr="002C310E">
        <w:rPr>
          <w:rFonts w:asciiTheme="minorHAnsi" w:eastAsia="Calibri" w:hAnsiTheme="minorHAnsi" w:cstheme="minorHAnsi"/>
        </w:rPr>
        <w:t xml:space="preserve"> vynaložení prostředků). MV proto nedisponuje doklady, </w:t>
      </w:r>
      <w:r w:rsidR="00581D34">
        <w:rPr>
          <w:rFonts w:asciiTheme="minorHAnsi" w:eastAsia="Calibri" w:hAnsiTheme="minorHAnsi" w:cstheme="minorHAnsi"/>
        </w:rPr>
        <w:t>které by prokazovaly, zda</w:t>
      </w:r>
      <w:r w:rsidR="007B45D1" w:rsidRPr="007B45D1">
        <w:rPr>
          <w:rFonts w:asciiTheme="minorHAnsi" w:eastAsia="Calibri" w:hAnsiTheme="minorHAnsi" w:cstheme="minorHAnsi"/>
        </w:rPr>
        <w:t xml:space="preserve"> </w:t>
      </w:r>
      <w:r w:rsidR="007B45D1">
        <w:rPr>
          <w:rFonts w:asciiTheme="minorHAnsi" w:eastAsia="Calibri" w:hAnsiTheme="minorHAnsi" w:cstheme="minorHAnsi"/>
        </w:rPr>
        <w:t>byly</w:t>
      </w:r>
      <w:r w:rsidR="00581D34">
        <w:rPr>
          <w:rFonts w:asciiTheme="minorHAnsi" w:eastAsia="Calibri" w:hAnsiTheme="minorHAnsi" w:cstheme="minorHAnsi"/>
        </w:rPr>
        <w:t xml:space="preserve"> peněžní prostředky použity účel</w:t>
      </w:r>
      <w:r w:rsidR="00F03DFA">
        <w:rPr>
          <w:rFonts w:asciiTheme="minorHAnsi" w:eastAsia="Calibri" w:hAnsiTheme="minorHAnsi" w:cstheme="minorHAnsi"/>
        </w:rPr>
        <w:t>ně a hospodárně</w:t>
      </w:r>
      <w:r w:rsidRPr="002C310E">
        <w:rPr>
          <w:rFonts w:asciiTheme="minorHAnsi" w:eastAsia="Calibri" w:hAnsiTheme="minorHAnsi" w:cstheme="minorHAnsi"/>
        </w:rPr>
        <w:t>.</w:t>
      </w:r>
      <w:r w:rsidR="00781947" w:rsidRPr="002C310E">
        <w:rPr>
          <w:rFonts w:asciiTheme="minorHAnsi" w:eastAsia="Calibri" w:hAnsiTheme="minorHAnsi" w:cstheme="minorHAnsi"/>
        </w:rPr>
        <w:t xml:space="preserve"> </w:t>
      </w:r>
      <w:r w:rsidRPr="002C310E">
        <w:rPr>
          <w:rFonts w:asciiTheme="minorHAnsi" w:hAnsiTheme="minorHAnsi" w:cstheme="minorHAnsi"/>
        </w:rPr>
        <w:t xml:space="preserve">Při kontrole </w:t>
      </w:r>
      <w:r w:rsidRPr="002C310E">
        <w:rPr>
          <w:rFonts w:asciiTheme="minorHAnsi" w:hAnsiTheme="minorHAnsi" w:cstheme="minorHAnsi"/>
          <w:noProof/>
        </w:rPr>
        <w:t xml:space="preserve">šesti vybraných projektů </w:t>
      </w:r>
      <w:r w:rsidRPr="002C310E">
        <w:rPr>
          <w:rFonts w:asciiTheme="minorHAnsi" w:eastAsia="Calibri" w:hAnsiTheme="minorHAnsi" w:cstheme="minorHAnsi"/>
        </w:rPr>
        <w:t xml:space="preserve">NKÚ zjistil, že pět z nich nebylo v době provádění kontroly dokončeno, ačkoli dva </w:t>
      </w:r>
      <w:r w:rsidR="000B03B8">
        <w:rPr>
          <w:rFonts w:asciiTheme="minorHAnsi" w:eastAsia="Calibri" w:hAnsiTheme="minorHAnsi" w:cstheme="minorHAnsi"/>
        </w:rPr>
        <w:t xml:space="preserve">zahájené </w:t>
      </w:r>
      <w:r w:rsidRPr="002C310E">
        <w:rPr>
          <w:rFonts w:asciiTheme="minorHAnsi" w:eastAsia="Calibri" w:hAnsiTheme="minorHAnsi" w:cstheme="minorHAnsi"/>
        </w:rPr>
        <w:t>v roce 2017</w:t>
      </w:r>
      <w:r w:rsidR="00D37430" w:rsidRPr="002C310E">
        <w:rPr>
          <w:rFonts w:asciiTheme="minorHAnsi" w:eastAsia="Calibri" w:hAnsiTheme="minorHAnsi" w:cstheme="minorHAnsi"/>
        </w:rPr>
        <w:t xml:space="preserve"> měly být dokončeny</w:t>
      </w:r>
      <w:r w:rsidR="00417F1B">
        <w:rPr>
          <w:rFonts w:asciiTheme="minorHAnsi" w:eastAsia="Calibri" w:hAnsiTheme="minorHAnsi" w:cstheme="minorHAnsi"/>
        </w:rPr>
        <w:t xml:space="preserve"> </w:t>
      </w:r>
      <w:r w:rsidR="000B03B8">
        <w:rPr>
          <w:rFonts w:asciiTheme="minorHAnsi" w:eastAsia="Calibri" w:hAnsiTheme="minorHAnsi" w:cstheme="minorHAnsi"/>
        </w:rPr>
        <w:t xml:space="preserve">již </w:t>
      </w:r>
      <w:r w:rsidR="00417F1B">
        <w:rPr>
          <w:rFonts w:asciiTheme="minorHAnsi" w:eastAsia="Calibri" w:hAnsiTheme="minorHAnsi" w:cstheme="minorHAnsi"/>
        </w:rPr>
        <w:t>v roce 2018</w:t>
      </w:r>
      <w:r w:rsidR="000B03B8">
        <w:rPr>
          <w:rFonts w:asciiTheme="minorHAnsi" w:eastAsia="Calibri" w:hAnsiTheme="minorHAnsi" w:cstheme="minorHAnsi"/>
        </w:rPr>
        <w:t xml:space="preserve"> a jeden zahájený v roce 2018 měl být dokončen v roce 2019</w:t>
      </w:r>
      <w:r w:rsidRPr="002C310E">
        <w:rPr>
          <w:rFonts w:asciiTheme="minorHAnsi" w:eastAsia="Calibri" w:hAnsiTheme="minorHAnsi" w:cstheme="minorHAnsi"/>
        </w:rPr>
        <w:t>. Navzdory tomu obdržel příjemce prostředky i</w:t>
      </w:r>
      <w:r w:rsidR="000B03B8">
        <w:rPr>
          <w:rFonts w:asciiTheme="minorHAnsi" w:eastAsia="Calibri" w:hAnsiTheme="minorHAnsi" w:cstheme="minorHAnsi"/>
        </w:rPr>
        <w:t> </w:t>
      </w:r>
      <w:r w:rsidRPr="002C310E">
        <w:rPr>
          <w:rFonts w:asciiTheme="minorHAnsi" w:eastAsia="Calibri" w:hAnsiTheme="minorHAnsi" w:cstheme="minorHAnsi"/>
        </w:rPr>
        <w:t>v následujících letech.</w:t>
      </w:r>
      <w:r w:rsidR="00781947" w:rsidRPr="002C310E">
        <w:rPr>
          <w:rFonts w:asciiTheme="minorHAnsi" w:eastAsia="Calibri" w:hAnsiTheme="minorHAnsi" w:cstheme="minorHAnsi"/>
        </w:rPr>
        <w:t xml:space="preserve"> </w:t>
      </w:r>
      <w:r w:rsidRPr="002C310E">
        <w:rPr>
          <w:rFonts w:asciiTheme="minorHAnsi" w:eastAsia="Calibri" w:hAnsiTheme="minorHAnsi" w:cstheme="minorHAnsi"/>
        </w:rPr>
        <w:t xml:space="preserve">MV předkládalo vládě neúplné informace bez údajů o nedokončených projektech či problémech s jejich realizací. </w:t>
      </w:r>
      <w:r w:rsidRPr="002C310E">
        <w:rPr>
          <w:rFonts w:asciiTheme="minorHAnsi" w:eastAsia="Calibri" w:hAnsiTheme="minorHAnsi" w:cstheme="minorHAnsi"/>
          <w:bCs/>
        </w:rPr>
        <w:t>Evaluaci programu MV od roku 2015 neprovedlo, ačkoliv by její provedení bylo žádoucí a odpovídalo</w:t>
      </w:r>
      <w:r w:rsidR="00E90B61">
        <w:rPr>
          <w:rFonts w:asciiTheme="minorHAnsi" w:eastAsia="Calibri" w:hAnsiTheme="minorHAnsi" w:cstheme="minorHAnsi"/>
          <w:bCs/>
        </w:rPr>
        <w:t xml:space="preserve"> by</w:t>
      </w:r>
      <w:r w:rsidRPr="002C310E">
        <w:rPr>
          <w:rFonts w:asciiTheme="minorHAnsi" w:eastAsia="Calibri" w:hAnsiTheme="minorHAnsi" w:cstheme="minorHAnsi"/>
          <w:bCs/>
        </w:rPr>
        <w:t xml:space="preserve"> dobré praxi</w:t>
      </w:r>
      <w:r w:rsidR="007460E2">
        <w:rPr>
          <w:rFonts w:asciiTheme="minorHAnsi" w:eastAsia="Calibri" w:hAnsiTheme="minorHAnsi" w:cstheme="minorHAnsi"/>
          <w:bCs/>
        </w:rPr>
        <w:t>. Výše uvedené nedostatky jsou významnými riziky pro účelnost a efektivnost vynakládaných prostředků</w:t>
      </w:r>
      <w:r w:rsidRPr="002C310E">
        <w:rPr>
          <w:rFonts w:asciiTheme="minorHAnsi" w:eastAsia="Calibri" w:hAnsiTheme="minorHAnsi" w:cstheme="minorHAnsi"/>
          <w:bCs/>
        </w:rPr>
        <w:t xml:space="preserve"> </w:t>
      </w:r>
      <w:r w:rsidR="00475A6C">
        <w:rPr>
          <w:rFonts w:asciiTheme="minorHAnsi" w:hAnsiTheme="minorHAnsi" w:cstheme="minorHAnsi"/>
        </w:rPr>
        <w:t>(viz odst. </w:t>
      </w:r>
      <w:r w:rsidRPr="002C310E">
        <w:rPr>
          <w:rFonts w:asciiTheme="minorHAnsi" w:hAnsiTheme="minorHAnsi" w:cstheme="minorHAnsi"/>
        </w:rPr>
        <w:t>4.</w:t>
      </w:r>
      <w:r w:rsidR="005D6EF0">
        <w:rPr>
          <w:rFonts w:asciiTheme="minorHAnsi" w:hAnsiTheme="minorHAnsi" w:cstheme="minorHAnsi"/>
        </w:rPr>
        <w:t>49</w:t>
      </w:r>
      <w:r w:rsidRPr="002C310E">
        <w:rPr>
          <w:rFonts w:asciiTheme="minorHAnsi" w:hAnsiTheme="minorHAnsi" w:cstheme="minorHAnsi"/>
        </w:rPr>
        <w:t xml:space="preserve"> až 4.</w:t>
      </w:r>
      <w:r w:rsidR="005D6EF0">
        <w:rPr>
          <w:rFonts w:asciiTheme="minorHAnsi" w:hAnsiTheme="minorHAnsi" w:cstheme="minorHAnsi"/>
        </w:rPr>
        <w:t>59</w:t>
      </w:r>
      <w:r w:rsidRPr="002C310E">
        <w:rPr>
          <w:rFonts w:asciiTheme="minorHAnsi" w:hAnsiTheme="minorHAnsi" w:cstheme="minorHAnsi"/>
        </w:rPr>
        <w:t>)</w:t>
      </w:r>
      <w:r w:rsidRPr="002C310E">
        <w:rPr>
          <w:rFonts w:asciiTheme="minorHAnsi" w:eastAsia="Calibri" w:hAnsiTheme="minorHAnsi" w:cstheme="minorHAnsi"/>
          <w:bCs/>
        </w:rPr>
        <w:t xml:space="preserve">. </w:t>
      </w:r>
    </w:p>
    <w:p w14:paraId="14EBA89F" w14:textId="30A81487" w:rsidR="00CA3D82" w:rsidRPr="00DC395F" w:rsidRDefault="00CA3D82" w:rsidP="00DC395F">
      <w:pPr>
        <w:spacing w:after="0" w:line="240" w:lineRule="auto"/>
        <w:rPr>
          <w:sz w:val="24"/>
        </w:rPr>
      </w:pPr>
    </w:p>
    <w:p w14:paraId="3B2840C1" w14:textId="77777777" w:rsidR="00DC395F" w:rsidRPr="00DC395F" w:rsidRDefault="00DC395F" w:rsidP="00DC395F">
      <w:pPr>
        <w:spacing w:after="0" w:line="240" w:lineRule="auto"/>
        <w:rPr>
          <w:sz w:val="24"/>
        </w:rPr>
      </w:pPr>
    </w:p>
    <w:p w14:paraId="2FB09DC6" w14:textId="77777777" w:rsidR="00785F12" w:rsidRPr="00DC395F" w:rsidRDefault="00F04DCF" w:rsidP="00CA3D82">
      <w:pPr>
        <w:pStyle w:val="Nadpis1"/>
        <w:spacing w:before="0" w:after="120" w:line="240" w:lineRule="auto"/>
        <w:jc w:val="center"/>
        <w:rPr>
          <w:rFonts w:asciiTheme="minorHAnsi" w:hAnsiTheme="minorHAnsi" w:cstheme="minorHAnsi"/>
          <w:b/>
          <w:color w:val="auto"/>
          <w:sz w:val="28"/>
          <w:szCs w:val="24"/>
        </w:rPr>
      </w:pPr>
      <w:r w:rsidRPr="00DC395F">
        <w:rPr>
          <w:rFonts w:asciiTheme="minorHAnsi" w:hAnsiTheme="minorHAnsi" w:cstheme="minorHAnsi"/>
          <w:b/>
          <w:color w:val="auto"/>
          <w:sz w:val="28"/>
          <w:szCs w:val="24"/>
        </w:rPr>
        <w:t>II. Informace o kontrolované oblasti</w:t>
      </w:r>
    </w:p>
    <w:p w14:paraId="25A18FBF" w14:textId="71E4052D" w:rsidR="009C3FDB" w:rsidRPr="002C310E" w:rsidRDefault="00F04DCF" w:rsidP="00CA3D82">
      <w:pPr>
        <w:pStyle w:val="Odstavecseseznamem"/>
        <w:spacing w:after="120" w:line="240" w:lineRule="auto"/>
        <w:ind w:left="0"/>
        <w:contextualSpacing w:val="0"/>
        <w:jc w:val="both"/>
        <w:rPr>
          <w:rFonts w:eastAsia="Times New Roman" w:cstheme="minorHAnsi"/>
          <w:sz w:val="24"/>
          <w:szCs w:val="24"/>
        </w:rPr>
      </w:pPr>
      <w:r w:rsidRPr="0015690E">
        <w:rPr>
          <w:rFonts w:cstheme="minorHAnsi"/>
          <w:b/>
          <w:sz w:val="24"/>
          <w:szCs w:val="24"/>
          <w:shd w:val="clear" w:color="auto" w:fill="FFFFFF"/>
        </w:rPr>
        <w:t>2.1</w:t>
      </w:r>
      <w:r w:rsidR="002A4E5F" w:rsidRPr="002C310E">
        <w:rPr>
          <w:rFonts w:cstheme="minorHAnsi"/>
          <w:sz w:val="24"/>
          <w:szCs w:val="24"/>
          <w:shd w:val="clear" w:color="auto" w:fill="FFFFFF"/>
        </w:rPr>
        <w:t xml:space="preserve"> </w:t>
      </w:r>
      <w:r w:rsidR="00BC7817" w:rsidRPr="002C310E">
        <w:rPr>
          <w:rFonts w:eastAsia="Times New Roman" w:cstheme="minorHAnsi"/>
          <w:color w:val="000000"/>
          <w:sz w:val="24"/>
          <w:szCs w:val="24"/>
        </w:rPr>
        <w:t>Migrační politika patří ke společným politikám E</w:t>
      </w:r>
      <w:r w:rsidR="00470DC3" w:rsidRPr="002C310E">
        <w:rPr>
          <w:rFonts w:eastAsia="Times New Roman" w:cstheme="minorHAnsi"/>
          <w:color w:val="000000"/>
          <w:sz w:val="24"/>
          <w:szCs w:val="24"/>
        </w:rPr>
        <w:t>U</w:t>
      </w:r>
      <w:r w:rsidR="00BC7817" w:rsidRPr="002C310E">
        <w:rPr>
          <w:rFonts w:eastAsia="Times New Roman" w:cstheme="minorHAnsi"/>
          <w:color w:val="000000"/>
          <w:sz w:val="24"/>
          <w:szCs w:val="24"/>
        </w:rPr>
        <w:t xml:space="preserve">. </w:t>
      </w:r>
      <w:r w:rsidR="00FF3560" w:rsidRPr="002C310E">
        <w:rPr>
          <w:rFonts w:eastAsia="Times New Roman" w:cstheme="minorHAnsi"/>
          <w:color w:val="000000"/>
          <w:sz w:val="24"/>
          <w:szCs w:val="24"/>
        </w:rPr>
        <w:t>ČR je migrací m</w:t>
      </w:r>
      <w:r w:rsidR="00BA32DD" w:rsidRPr="002C310E">
        <w:rPr>
          <w:rFonts w:eastAsia="Times New Roman" w:cstheme="minorHAnsi"/>
          <w:color w:val="000000"/>
          <w:sz w:val="24"/>
          <w:szCs w:val="24"/>
        </w:rPr>
        <w:t xml:space="preserve">éně </w:t>
      </w:r>
      <w:r w:rsidR="00D37430" w:rsidRPr="002C310E">
        <w:rPr>
          <w:rFonts w:eastAsia="Times New Roman" w:cstheme="minorHAnsi"/>
          <w:color w:val="000000"/>
          <w:sz w:val="24"/>
          <w:szCs w:val="24"/>
        </w:rPr>
        <w:t>ovlivněna</w:t>
      </w:r>
      <w:r w:rsidR="00BA32DD" w:rsidRPr="002C310E">
        <w:rPr>
          <w:rFonts w:eastAsia="Times New Roman" w:cstheme="minorHAnsi"/>
          <w:color w:val="000000"/>
          <w:sz w:val="24"/>
          <w:szCs w:val="24"/>
        </w:rPr>
        <w:t xml:space="preserve"> než některé další členské </w:t>
      </w:r>
      <w:r w:rsidR="00FF3560" w:rsidRPr="002C310E">
        <w:rPr>
          <w:rFonts w:eastAsia="Times New Roman" w:cstheme="minorHAnsi"/>
          <w:color w:val="000000"/>
          <w:sz w:val="24"/>
          <w:szCs w:val="24"/>
        </w:rPr>
        <w:t xml:space="preserve">státy EU, přesto počet cizinců </w:t>
      </w:r>
      <w:r w:rsidR="00835D3C" w:rsidRPr="002C310E">
        <w:rPr>
          <w:rFonts w:eastAsia="Times New Roman" w:cstheme="minorHAnsi"/>
          <w:color w:val="000000"/>
          <w:sz w:val="24"/>
          <w:szCs w:val="24"/>
        </w:rPr>
        <w:t xml:space="preserve">pobývajících </w:t>
      </w:r>
      <w:r w:rsidR="00FF3560" w:rsidRPr="002C310E">
        <w:rPr>
          <w:rFonts w:eastAsia="Times New Roman" w:cstheme="minorHAnsi"/>
          <w:color w:val="000000"/>
          <w:sz w:val="24"/>
          <w:szCs w:val="24"/>
        </w:rPr>
        <w:t>v ČR roste (</w:t>
      </w:r>
      <w:r w:rsidR="00D37430" w:rsidRPr="002C310E">
        <w:rPr>
          <w:rFonts w:eastAsia="Times New Roman" w:cstheme="minorHAnsi"/>
          <w:color w:val="000000"/>
          <w:sz w:val="24"/>
          <w:szCs w:val="24"/>
        </w:rPr>
        <w:t xml:space="preserve">viz </w:t>
      </w:r>
      <w:r w:rsidR="00FF3560" w:rsidRPr="002C310E">
        <w:rPr>
          <w:rFonts w:eastAsia="Times New Roman" w:cstheme="minorHAnsi"/>
          <w:color w:val="000000"/>
          <w:sz w:val="24"/>
          <w:szCs w:val="24"/>
        </w:rPr>
        <w:t>přílo</w:t>
      </w:r>
      <w:r w:rsidR="00835D3C" w:rsidRPr="002C310E">
        <w:rPr>
          <w:rFonts w:eastAsia="Times New Roman" w:cstheme="minorHAnsi"/>
          <w:color w:val="000000"/>
          <w:sz w:val="24"/>
          <w:szCs w:val="24"/>
        </w:rPr>
        <w:t>ha</w:t>
      </w:r>
      <w:r w:rsidR="00FF3560" w:rsidRPr="002C310E">
        <w:rPr>
          <w:rFonts w:eastAsia="Times New Roman" w:cstheme="minorHAnsi"/>
          <w:color w:val="000000"/>
          <w:sz w:val="24"/>
          <w:szCs w:val="24"/>
        </w:rPr>
        <w:t xml:space="preserve"> č. </w:t>
      </w:r>
      <w:r w:rsidR="001D5D00">
        <w:rPr>
          <w:rFonts w:eastAsia="Times New Roman" w:cstheme="minorHAnsi"/>
          <w:color w:val="000000"/>
          <w:sz w:val="24"/>
          <w:szCs w:val="24"/>
        </w:rPr>
        <w:t>2</w:t>
      </w:r>
      <w:r w:rsidR="001426EA">
        <w:rPr>
          <w:rFonts w:eastAsia="Times New Roman" w:cstheme="minorHAnsi"/>
          <w:color w:val="000000"/>
          <w:sz w:val="24"/>
          <w:szCs w:val="24"/>
        </w:rPr>
        <w:t xml:space="preserve"> tohoto kontrolního závěru</w:t>
      </w:r>
      <w:r w:rsidR="00FF3560" w:rsidRPr="002C310E">
        <w:rPr>
          <w:rFonts w:eastAsia="Times New Roman" w:cstheme="minorHAnsi"/>
          <w:color w:val="000000"/>
          <w:sz w:val="24"/>
          <w:szCs w:val="24"/>
        </w:rPr>
        <w:t>). Migrační politiku u</w:t>
      </w:r>
      <w:r w:rsidR="00B3246C" w:rsidRPr="002C310E">
        <w:rPr>
          <w:rFonts w:eastAsia="Times New Roman" w:cstheme="minorHAnsi"/>
          <w:color w:val="000000"/>
          <w:sz w:val="24"/>
          <w:szCs w:val="24"/>
        </w:rPr>
        <w:t xml:space="preserve">pravuje </w:t>
      </w:r>
      <w:r w:rsidR="00B3246C" w:rsidRPr="002C310E">
        <w:rPr>
          <w:rFonts w:eastAsia="Times New Roman" w:cstheme="minorHAnsi"/>
          <w:sz w:val="24"/>
          <w:szCs w:val="24"/>
        </w:rPr>
        <w:t>především nařízení Evropského Parlamentu</w:t>
      </w:r>
      <w:r w:rsidR="00781947" w:rsidRPr="002C310E">
        <w:rPr>
          <w:rFonts w:eastAsia="Times New Roman" w:cstheme="minorHAnsi"/>
          <w:sz w:val="24"/>
          <w:szCs w:val="24"/>
        </w:rPr>
        <w:t xml:space="preserve"> </w:t>
      </w:r>
      <w:r w:rsidR="00B3246C" w:rsidRPr="002C310E">
        <w:rPr>
          <w:rFonts w:eastAsia="Times New Roman" w:cstheme="minorHAnsi"/>
          <w:sz w:val="24"/>
          <w:szCs w:val="24"/>
        </w:rPr>
        <w:t>a Rady (EU) č. 2016/399 ze dne 9. března 2016, kterým se stanoví kodex Unie o</w:t>
      </w:r>
      <w:r w:rsidR="001426EA">
        <w:rPr>
          <w:rFonts w:eastAsia="Times New Roman" w:cstheme="minorHAnsi"/>
          <w:sz w:val="24"/>
          <w:szCs w:val="24"/>
        </w:rPr>
        <w:t> </w:t>
      </w:r>
      <w:r w:rsidR="00B3246C" w:rsidRPr="002C310E">
        <w:rPr>
          <w:rFonts w:eastAsia="Times New Roman" w:cstheme="minorHAnsi"/>
          <w:sz w:val="24"/>
          <w:szCs w:val="24"/>
        </w:rPr>
        <w:t xml:space="preserve">pravidlech upravujících přeshraniční pohyb osob (Schengenský hraniční kodex). </w:t>
      </w:r>
      <w:r w:rsidR="00603629" w:rsidRPr="002C310E">
        <w:rPr>
          <w:rFonts w:eastAsia="Times New Roman" w:cstheme="minorHAnsi"/>
          <w:color w:val="000000"/>
          <w:sz w:val="24"/>
          <w:szCs w:val="24"/>
        </w:rPr>
        <w:t xml:space="preserve">V českém právním řádu </w:t>
      </w:r>
      <w:r w:rsidR="00DC5463" w:rsidRPr="002C310E">
        <w:rPr>
          <w:rFonts w:eastAsia="Times New Roman" w:cstheme="minorHAnsi"/>
          <w:color w:val="000000"/>
          <w:sz w:val="24"/>
          <w:szCs w:val="24"/>
        </w:rPr>
        <w:t xml:space="preserve">je </w:t>
      </w:r>
      <w:r w:rsidR="00603629" w:rsidRPr="002C310E">
        <w:rPr>
          <w:rFonts w:eastAsia="Times New Roman" w:cstheme="minorHAnsi"/>
          <w:sz w:val="24"/>
          <w:szCs w:val="24"/>
        </w:rPr>
        <w:t xml:space="preserve">pobyt cizinců na území ČR </w:t>
      </w:r>
      <w:r w:rsidR="00DC5463" w:rsidRPr="002C310E">
        <w:rPr>
          <w:rFonts w:eastAsia="Times New Roman" w:cstheme="minorHAnsi"/>
          <w:sz w:val="24"/>
          <w:szCs w:val="24"/>
        </w:rPr>
        <w:t xml:space="preserve">regulován </w:t>
      </w:r>
      <w:r w:rsidR="00AE2B78">
        <w:rPr>
          <w:rFonts w:eastAsia="Times New Roman" w:cstheme="minorHAnsi"/>
          <w:sz w:val="24"/>
          <w:szCs w:val="24"/>
        </w:rPr>
        <w:t>zejména</w:t>
      </w:r>
      <w:r w:rsidR="00603629" w:rsidRPr="002C310E">
        <w:rPr>
          <w:rFonts w:eastAsia="Times New Roman" w:cstheme="minorHAnsi"/>
          <w:sz w:val="24"/>
          <w:szCs w:val="24"/>
        </w:rPr>
        <w:t xml:space="preserve"> zákony č.</w:t>
      </w:r>
      <w:r w:rsidR="00603629" w:rsidRPr="002C310E">
        <w:rPr>
          <w:rFonts w:cstheme="minorHAnsi"/>
          <w:sz w:val="24"/>
          <w:szCs w:val="24"/>
        </w:rPr>
        <w:t> 325/1999 Sb.</w:t>
      </w:r>
      <w:r>
        <w:rPr>
          <w:rStyle w:val="Znakapoznpodarou"/>
          <w:rFonts w:cstheme="minorHAnsi"/>
          <w:sz w:val="24"/>
          <w:szCs w:val="24"/>
        </w:rPr>
        <w:footnoteReference w:id="7"/>
      </w:r>
      <w:r w:rsidR="00603629" w:rsidRPr="002C310E">
        <w:rPr>
          <w:rFonts w:cstheme="minorHAnsi"/>
          <w:sz w:val="24"/>
          <w:szCs w:val="24"/>
        </w:rPr>
        <w:t xml:space="preserve"> a</w:t>
      </w:r>
      <w:r w:rsidR="001426EA">
        <w:rPr>
          <w:rFonts w:cstheme="minorHAnsi"/>
          <w:sz w:val="24"/>
          <w:szCs w:val="24"/>
        </w:rPr>
        <w:t> </w:t>
      </w:r>
      <w:r w:rsidR="00603629" w:rsidRPr="002C310E">
        <w:rPr>
          <w:rFonts w:cstheme="minorHAnsi"/>
          <w:sz w:val="24"/>
          <w:szCs w:val="24"/>
        </w:rPr>
        <w:t>č.</w:t>
      </w:r>
      <w:r w:rsidR="001426EA">
        <w:rPr>
          <w:rFonts w:cstheme="minorHAnsi"/>
          <w:sz w:val="24"/>
          <w:szCs w:val="24"/>
        </w:rPr>
        <w:t> </w:t>
      </w:r>
      <w:r w:rsidR="00603629" w:rsidRPr="002C310E">
        <w:rPr>
          <w:rFonts w:cstheme="minorHAnsi"/>
          <w:sz w:val="24"/>
          <w:szCs w:val="24"/>
        </w:rPr>
        <w:t>326/1999 Sb.</w:t>
      </w:r>
      <w:r>
        <w:rPr>
          <w:rStyle w:val="Znakapoznpodarou"/>
          <w:rFonts w:cstheme="minorHAnsi"/>
          <w:sz w:val="24"/>
          <w:szCs w:val="24"/>
        </w:rPr>
        <w:footnoteReference w:id="8"/>
      </w:r>
      <w:r w:rsidR="00603629" w:rsidRPr="002C310E">
        <w:rPr>
          <w:rFonts w:cstheme="minorHAnsi"/>
          <w:sz w:val="24"/>
          <w:szCs w:val="24"/>
        </w:rPr>
        <w:t xml:space="preserve"> </w:t>
      </w:r>
      <w:r w:rsidR="009741DB" w:rsidRPr="002C310E">
        <w:rPr>
          <w:rFonts w:eastAsia="Times New Roman" w:cstheme="minorHAnsi"/>
          <w:sz w:val="24"/>
          <w:szCs w:val="24"/>
        </w:rPr>
        <w:t>Překračování vnějších hranic schengenského prostoru upravuje zákon č.</w:t>
      </w:r>
      <w:r w:rsidR="001426EA">
        <w:rPr>
          <w:rFonts w:eastAsia="Times New Roman" w:cstheme="minorHAnsi"/>
          <w:sz w:val="24"/>
          <w:szCs w:val="24"/>
        </w:rPr>
        <w:t> </w:t>
      </w:r>
      <w:r w:rsidR="009741DB" w:rsidRPr="002C310E">
        <w:rPr>
          <w:rFonts w:eastAsia="Times New Roman" w:cstheme="minorHAnsi"/>
          <w:sz w:val="24"/>
          <w:szCs w:val="24"/>
        </w:rPr>
        <w:t>191/2016 Sb.</w:t>
      </w:r>
      <w:r>
        <w:rPr>
          <w:rStyle w:val="Znakapoznpodarou"/>
          <w:rFonts w:eastAsia="Times New Roman" w:cstheme="minorHAnsi"/>
          <w:sz w:val="24"/>
          <w:szCs w:val="24"/>
        </w:rPr>
        <w:footnoteReference w:id="9"/>
      </w:r>
    </w:p>
    <w:p w14:paraId="42144B8F" w14:textId="14F38148" w:rsidR="00DE5EC6" w:rsidRPr="002C310E" w:rsidRDefault="00F04DCF" w:rsidP="00CA3D82">
      <w:pPr>
        <w:spacing w:after="120" w:line="240" w:lineRule="auto"/>
        <w:jc w:val="both"/>
        <w:rPr>
          <w:rFonts w:eastAsia="Times New Roman" w:cstheme="minorHAnsi"/>
          <w:color w:val="000000"/>
          <w:sz w:val="24"/>
          <w:szCs w:val="24"/>
        </w:rPr>
      </w:pPr>
      <w:r w:rsidRPr="0015690E">
        <w:rPr>
          <w:rFonts w:eastAsia="Times New Roman" w:cstheme="minorHAnsi"/>
          <w:b/>
          <w:color w:val="000000"/>
          <w:sz w:val="24"/>
          <w:szCs w:val="24"/>
        </w:rPr>
        <w:lastRenderedPageBreak/>
        <w:t>2.2</w:t>
      </w:r>
      <w:r w:rsidRPr="002C310E">
        <w:rPr>
          <w:rFonts w:eastAsia="Times New Roman" w:cstheme="minorHAnsi"/>
          <w:color w:val="000000"/>
          <w:sz w:val="24"/>
          <w:szCs w:val="24"/>
        </w:rPr>
        <w:t xml:space="preserve"> </w:t>
      </w:r>
      <w:r w:rsidR="00B3246C" w:rsidRPr="002C310E">
        <w:rPr>
          <w:rFonts w:eastAsia="Times New Roman" w:cstheme="minorHAnsi"/>
          <w:color w:val="000000"/>
          <w:sz w:val="24"/>
          <w:szCs w:val="24"/>
        </w:rPr>
        <w:t>MV je g</w:t>
      </w:r>
      <w:r w:rsidR="00C53F93" w:rsidRPr="002C310E">
        <w:rPr>
          <w:rFonts w:eastAsia="Times New Roman" w:cstheme="minorHAnsi"/>
          <w:color w:val="000000"/>
          <w:sz w:val="24"/>
          <w:szCs w:val="24"/>
        </w:rPr>
        <w:t xml:space="preserve">estorem </w:t>
      </w:r>
      <w:r w:rsidR="009475BF" w:rsidRPr="002C310E">
        <w:rPr>
          <w:rFonts w:eastAsia="Times New Roman" w:cstheme="minorHAnsi"/>
          <w:color w:val="000000"/>
          <w:sz w:val="24"/>
          <w:szCs w:val="24"/>
        </w:rPr>
        <w:t>problematiky</w:t>
      </w:r>
      <w:r w:rsidR="00C53F93" w:rsidRPr="002C310E">
        <w:rPr>
          <w:rFonts w:eastAsia="Times New Roman" w:cstheme="minorHAnsi"/>
          <w:color w:val="000000"/>
          <w:sz w:val="24"/>
          <w:szCs w:val="24"/>
        </w:rPr>
        <w:t xml:space="preserve"> </w:t>
      </w:r>
      <w:r w:rsidR="006B6735" w:rsidRPr="002C310E">
        <w:rPr>
          <w:rFonts w:eastAsia="Times New Roman" w:cstheme="minorHAnsi"/>
          <w:color w:val="000000"/>
          <w:sz w:val="24"/>
          <w:szCs w:val="24"/>
        </w:rPr>
        <w:t xml:space="preserve">mezinárodní </w:t>
      </w:r>
      <w:r w:rsidR="00C53F93" w:rsidRPr="002C310E">
        <w:rPr>
          <w:rFonts w:eastAsia="Times New Roman" w:cstheme="minorHAnsi"/>
          <w:color w:val="000000"/>
          <w:sz w:val="24"/>
          <w:szCs w:val="24"/>
        </w:rPr>
        <w:t>migrace a mezinárodní ochrany v</w:t>
      </w:r>
      <w:r w:rsidR="00B91FE5" w:rsidRPr="002C310E">
        <w:rPr>
          <w:rFonts w:eastAsia="Times New Roman" w:cstheme="minorHAnsi"/>
          <w:color w:val="000000"/>
          <w:sz w:val="24"/>
          <w:szCs w:val="24"/>
        </w:rPr>
        <w:t> </w:t>
      </w:r>
      <w:r w:rsidR="00C53F93" w:rsidRPr="002C310E">
        <w:rPr>
          <w:rFonts w:eastAsia="Times New Roman" w:cstheme="minorHAnsi"/>
          <w:color w:val="000000"/>
          <w:sz w:val="24"/>
          <w:szCs w:val="24"/>
        </w:rPr>
        <w:t>ČR</w:t>
      </w:r>
      <w:r w:rsidR="00B91FE5" w:rsidRPr="002C310E">
        <w:rPr>
          <w:rFonts w:eastAsia="Times New Roman" w:cstheme="minorHAnsi"/>
          <w:color w:val="000000"/>
          <w:sz w:val="24"/>
          <w:szCs w:val="24"/>
        </w:rPr>
        <w:t xml:space="preserve">. V této oblasti </w:t>
      </w:r>
      <w:r w:rsidR="001C18C0" w:rsidRPr="002C310E">
        <w:rPr>
          <w:rFonts w:eastAsia="Times New Roman" w:cstheme="minorHAnsi"/>
          <w:color w:val="000000"/>
          <w:sz w:val="24"/>
          <w:szCs w:val="24"/>
        </w:rPr>
        <w:t xml:space="preserve">poskytuje podporu </w:t>
      </w:r>
      <w:r w:rsidR="00B91FE5" w:rsidRPr="002C310E">
        <w:rPr>
          <w:rFonts w:eastAsia="Times New Roman" w:cstheme="minorHAnsi"/>
          <w:color w:val="000000"/>
          <w:sz w:val="24"/>
          <w:szCs w:val="24"/>
        </w:rPr>
        <w:t xml:space="preserve">mj. </w:t>
      </w:r>
      <w:r w:rsidR="00C53F93" w:rsidRPr="002C310E">
        <w:rPr>
          <w:rFonts w:eastAsia="Times New Roman" w:cstheme="minorHAnsi"/>
          <w:color w:val="000000"/>
          <w:sz w:val="24"/>
          <w:szCs w:val="24"/>
        </w:rPr>
        <w:t>prostřednictvím programů finan</w:t>
      </w:r>
      <w:r w:rsidR="001C18C0" w:rsidRPr="002C310E">
        <w:rPr>
          <w:rFonts w:eastAsia="Times New Roman" w:cstheme="minorHAnsi"/>
          <w:color w:val="000000"/>
          <w:sz w:val="24"/>
          <w:szCs w:val="24"/>
        </w:rPr>
        <w:t xml:space="preserve">covaných ze státního rozpočtu </w:t>
      </w:r>
      <w:r w:rsidR="004E0960" w:rsidRPr="002C310E">
        <w:rPr>
          <w:rFonts w:eastAsia="Times New Roman" w:cstheme="minorHAnsi"/>
          <w:color w:val="000000"/>
          <w:sz w:val="24"/>
          <w:szCs w:val="24"/>
        </w:rPr>
        <w:t xml:space="preserve">(dále též „SR“) </w:t>
      </w:r>
      <w:r w:rsidR="00B91FE5" w:rsidRPr="002C310E">
        <w:rPr>
          <w:rFonts w:eastAsia="Times New Roman" w:cstheme="minorHAnsi"/>
          <w:color w:val="000000"/>
          <w:sz w:val="24"/>
          <w:szCs w:val="24"/>
        </w:rPr>
        <w:t>a</w:t>
      </w:r>
      <w:r w:rsidR="001C18C0" w:rsidRPr="002C310E">
        <w:rPr>
          <w:rFonts w:eastAsia="Times New Roman" w:cstheme="minorHAnsi"/>
          <w:color w:val="000000"/>
          <w:sz w:val="24"/>
          <w:szCs w:val="24"/>
        </w:rPr>
        <w:t> </w:t>
      </w:r>
      <w:r w:rsidR="004E0960" w:rsidRPr="002C310E">
        <w:rPr>
          <w:rFonts w:eastAsia="Times New Roman" w:cstheme="minorHAnsi"/>
          <w:color w:val="000000"/>
          <w:sz w:val="24"/>
          <w:szCs w:val="24"/>
        </w:rPr>
        <w:t>z </w:t>
      </w:r>
      <w:r w:rsidR="00B91FE5" w:rsidRPr="002C310E">
        <w:rPr>
          <w:rFonts w:eastAsia="Times New Roman" w:cstheme="minorHAnsi"/>
          <w:color w:val="000000"/>
          <w:sz w:val="24"/>
          <w:szCs w:val="24"/>
        </w:rPr>
        <w:t>fondů EU v oblasti vnitřních věcí</w:t>
      </w:r>
      <w:r w:rsidR="00C53F93" w:rsidRPr="002C310E">
        <w:rPr>
          <w:rFonts w:eastAsia="Times New Roman" w:cstheme="minorHAnsi"/>
          <w:color w:val="000000"/>
          <w:sz w:val="24"/>
          <w:szCs w:val="24"/>
        </w:rPr>
        <w:t xml:space="preserve">. Přehled celkových výdajů </w:t>
      </w:r>
      <w:r w:rsidR="00E45818" w:rsidRPr="002C310E">
        <w:rPr>
          <w:rFonts w:eastAsia="Times New Roman" w:cstheme="minorHAnsi"/>
          <w:color w:val="000000"/>
          <w:sz w:val="24"/>
          <w:szCs w:val="24"/>
        </w:rPr>
        <w:t>rozpočtové kapitoly</w:t>
      </w:r>
      <w:r w:rsidR="00581D34">
        <w:rPr>
          <w:rFonts w:eastAsia="Times New Roman" w:cstheme="minorHAnsi"/>
          <w:color w:val="000000"/>
          <w:sz w:val="24"/>
          <w:szCs w:val="24"/>
        </w:rPr>
        <w:t xml:space="preserve"> 314</w:t>
      </w:r>
      <w:r w:rsidR="00E45818" w:rsidRPr="002C310E">
        <w:rPr>
          <w:rFonts w:eastAsia="Times New Roman" w:cstheme="minorHAnsi"/>
          <w:color w:val="000000"/>
          <w:sz w:val="24"/>
          <w:szCs w:val="24"/>
        </w:rPr>
        <w:t xml:space="preserve"> </w:t>
      </w:r>
      <w:r w:rsidR="00475A6C">
        <w:rPr>
          <w:rFonts w:eastAsia="Times New Roman" w:cstheme="minorHAnsi"/>
          <w:color w:val="000000"/>
          <w:sz w:val="24"/>
          <w:szCs w:val="24"/>
        </w:rPr>
        <w:t>–</w:t>
      </w:r>
      <w:r w:rsidR="00581D34">
        <w:rPr>
          <w:rFonts w:eastAsia="Times New Roman" w:cstheme="minorHAnsi"/>
          <w:color w:val="000000"/>
          <w:sz w:val="24"/>
          <w:szCs w:val="24"/>
        </w:rPr>
        <w:t xml:space="preserve"> </w:t>
      </w:r>
      <w:r w:rsidR="00C53F93" w:rsidRPr="00491FCA">
        <w:rPr>
          <w:rFonts w:eastAsia="Times New Roman" w:cstheme="minorHAnsi"/>
          <w:i/>
          <w:iCs/>
          <w:color w:val="000000"/>
          <w:sz w:val="24"/>
          <w:szCs w:val="24"/>
        </w:rPr>
        <w:t>Ministerstvo vnitra</w:t>
      </w:r>
      <w:r w:rsidR="00C53F93" w:rsidRPr="002C310E">
        <w:rPr>
          <w:rFonts w:eastAsia="Times New Roman" w:cstheme="minorHAnsi"/>
          <w:color w:val="000000"/>
          <w:sz w:val="24"/>
          <w:szCs w:val="24"/>
        </w:rPr>
        <w:t xml:space="preserve"> na migrační politiku v období 2017</w:t>
      </w:r>
      <w:r w:rsidRPr="002C310E">
        <w:rPr>
          <w:rFonts w:eastAsia="Times New Roman" w:cstheme="minorHAnsi"/>
          <w:color w:val="000000"/>
          <w:sz w:val="24"/>
          <w:szCs w:val="24"/>
        </w:rPr>
        <w:t xml:space="preserve"> až </w:t>
      </w:r>
      <w:r w:rsidR="00C53F93" w:rsidRPr="002C310E">
        <w:rPr>
          <w:rFonts w:eastAsia="Times New Roman" w:cstheme="minorHAnsi"/>
          <w:color w:val="000000"/>
          <w:sz w:val="24"/>
          <w:szCs w:val="24"/>
        </w:rPr>
        <w:t>2019</w:t>
      </w:r>
      <w:r w:rsidR="00E45818" w:rsidRPr="002C310E">
        <w:rPr>
          <w:rFonts w:eastAsia="Times New Roman" w:cstheme="minorHAnsi"/>
          <w:color w:val="000000"/>
          <w:sz w:val="24"/>
          <w:szCs w:val="24"/>
        </w:rPr>
        <w:t xml:space="preserve"> uvádí </w:t>
      </w:r>
      <w:r w:rsidRPr="002C310E">
        <w:rPr>
          <w:rFonts w:eastAsia="Times New Roman" w:cstheme="minorHAnsi"/>
          <w:color w:val="000000"/>
          <w:sz w:val="24"/>
          <w:szCs w:val="24"/>
        </w:rPr>
        <w:t>příloha</w:t>
      </w:r>
      <w:r w:rsidR="00E45818" w:rsidRPr="002C310E">
        <w:rPr>
          <w:rFonts w:eastAsia="Times New Roman" w:cstheme="minorHAnsi"/>
          <w:color w:val="000000"/>
          <w:sz w:val="24"/>
          <w:szCs w:val="24"/>
        </w:rPr>
        <w:t xml:space="preserve"> č.</w:t>
      </w:r>
      <w:r w:rsidR="001C0739">
        <w:rPr>
          <w:rFonts w:eastAsia="Times New Roman" w:cstheme="minorHAnsi"/>
          <w:color w:val="000000"/>
          <w:sz w:val="24"/>
          <w:szCs w:val="24"/>
        </w:rPr>
        <w:t> </w:t>
      </w:r>
      <w:r w:rsidR="00E45818" w:rsidRPr="002C310E">
        <w:rPr>
          <w:rFonts w:eastAsia="Times New Roman" w:cstheme="minorHAnsi"/>
          <w:color w:val="000000"/>
          <w:sz w:val="24"/>
          <w:szCs w:val="24"/>
        </w:rPr>
        <w:t>1</w:t>
      </w:r>
      <w:r w:rsidR="009018BA">
        <w:rPr>
          <w:rFonts w:eastAsia="Times New Roman" w:cstheme="minorHAnsi"/>
          <w:color w:val="000000"/>
          <w:sz w:val="24"/>
          <w:szCs w:val="24"/>
        </w:rPr>
        <w:t xml:space="preserve"> tohoto kontrolního závěru</w:t>
      </w:r>
      <w:r w:rsidR="00E45818" w:rsidRPr="002C310E">
        <w:rPr>
          <w:rFonts w:eastAsia="Times New Roman" w:cstheme="minorHAnsi"/>
          <w:color w:val="000000"/>
          <w:sz w:val="24"/>
          <w:szCs w:val="24"/>
        </w:rPr>
        <w:t xml:space="preserve">. </w:t>
      </w:r>
      <w:r w:rsidR="00386EF3" w:rsidRPr="002C310E">
        <w:rPr>
          <w:rFonts w:eastAsia="Times New Roman" w:cstheme="minorHAnsi"/>
          <w:color w:val="000000"/>
          <w:sz w:val="24"/>
          <w:szCs w:val="24"/>
        </w:rPr>
        <w:t>Celkové výdaje se pohybovaly okolo 2 </w:t>
      </w:r>
      <w:r w:rsidR="00163BC7" w:rsidRPr="002C310E">
        <w:rPr>
          <w:rFonts w:eastAsia="Times New Roman" w:cstheme="minorHAnsi"/>
          <w:color w:val="000000"/>
          <w:sz w:val="24"/>
          <w:szCs w:val="24"/>
        </w:rPr>
        <w:t>mld.</w:t>
      </w:r>
      <w:r w:rsidR="00386EF3" w:rsidRPr="002C310E">
        <w:rPr>
          <w:rFonts w:eastAsia="Times New Roman" w:cstheme="minorHAnsi"/>
          <w:color w:val="000000"/>
          <w:sz w:val="24"/>
          <w:szCs w:val="24"/>
        </w:rPr>
        <w:t xml:space="preserve"> Kč ročně</w:t>
      </w:r>
      <w:r>
        <w:rPr>
          <w:rStyle w:val="Znakapoznpodarou"/>
          <w:rFonts w:eastAsia="Times New Roman" w:cstheme="minorHAnsi"/>
          <w:color w:val="000000"/>
          <w:sz w:val="24"/>
          <w:szCs w:val="24"/>
        </w:rPr>
        <w:footnoteReference w:id="10"/>
      </w:r>
      <w:r w:rsidR="00386EF3" w:rsidRPr="002C310E">
        <w:rPr>
          <w:rFonts w:eastAsia="Times New Roman" w:cstheme="minorHAnsi"/>
          <w:color w:val="000000"/>
          <w:sz w:val="24"/>
          <w:szCs w:val="24"/>
        </w:rPr>
        <w:t xml:space="preserve">. </w:t>
      </w:r>
      <w:r w:rsidR="009A43D4" w:rsidRPr="002C310E">
        <w:rPr>
          <w:rFonts w:eastAsia="Times New Roman" w:cstheme="minorHAnsi"/>
          <w:color w:val="000000"/>
          <w:sz w:val="24"/>
          <w:szCs w:val="24"/>
        </w:rPr>
        <w:t>P</w:t>
      </w:r>
      <w:r w:rsidR="00386EF3" w:rsidRPr="002C310E">
        <w:rPr>
          <w:rFonts w:eastAsia="Times New Roman" w:cstheme="minorHAnsi"/>
          <w:color w:val="000000"/>
          <w:sz w:val="24"/>
          <w:szCs w:val="24"/>
        </w:rPr>
        <w:t>růběžně</w:t>
      </w:r>
      <w:r w:rsidR="00222F8D" w:rsidRPr="002C310E">
        <w:rPr>
          <w:rFonts w:eastAsia="Times New Roman" w:cstheme="minorHAnsi"/>
          <w:color w:val="000000"/>
          <w:sz w:val="24"/>
          <w:szCs w:val="24"/>
        </w:rPr>
        <w:t xml:space="preserve"> narůstalo </w:t>
      </w:r>
      <w:r w:rsidR="00B91FE5" w:rsidRPr="002C310E">
        <w:rPr>
          <w:rFonts w:eastAsia="Times New Roman" w:cstheme="minorHAnsi"/>
          <w:color w:val="000000"/>
          <w:sz w:val="24"/>
          <w:szCs w:val="24"/>
        </w:rPr>
        <w:t xml:space="preserve">především </w:t>
      </w:r>
      <w:r w:rsidR="00C53F93" w:rsidRPr="002C310E">
        <w:rPr>
          <w:rFonts w:eastAsia="Times New Roman" w:cstheme="minorHAnsi"/>
          <w:color w:val="000000"/>
          <w:sz w:val="24"/>
          <w:szCs w:val="24"/>
        </w:rPr>
        <w:t xml:space="preserve">čerpání </w:t>
      </w:r>
      <w:r w:rsidR="00581D34">
        <w:rPr>
          <w:rFonts w:eastAsia="Times New Roman" w:cstheme="minorHAnsi"/>
          <w:color w:val="000000"/>
          <w:sz w:val="24"/>
          <w:szCs w:val="24"/>
        </w:rPr>
        <w:t xml:space="preserve">peněžních </w:t>
      </w:r>
      <w:r w:rsidR="002C1422" w:rsidRPr="002C310E">
        <w:rPr>
          <w:rFonts w:eastAsia="Times New Roman" w:cstheme="minorHAnsi"/>
          <w:color w:val="000000"/>
          <w:sz w:val="24"/>
          <w:szCs w:val="24"/>
        </w:rPr>
        <w:t>prostředků</w:t>
      </w:r>
      <w:r w:rsidR="002F05C3" w:rsidRPr="002C310E">
        <w:rPr>
          <w:rFonts w:eastAsia="Times New Roman" w:cstheme="minorHAnsi"/>
          <w:color w:val="000000"/>
          <w:sz w:val="24"/>
          <w:szCs w:val="24"/>
        </w:rPr>
        <w:t xml:space="preserve"> </w:t>
      </w:r>
      <w:r w:rsidR="00E45818" w:rsidRPr="002C310E">
        <w:rPr>
          <w:rFonts w:eastAsia="Times New Roman" w:cstheme="minorHAnsi"/>
          <w:color w:val="000000"/>
          <w:sz w:val="24"/>
          <w:szCs w:val="24"/>
        </w:rPr>
        <w:t>z </w:t>
      </w:r>
      <w:r w:rsidR="00B91FE5" w:rsidRPr="002C310E">
        <w:rPr>
          <w:rFonts w:eastAsia="Times New Roman" w:cstheme="minorHAnsi"/>
          <w:color w:val="000000"/>
          <w:sz w:val="24"/>
          <w:szCs w:val="24"/>
        </w:rPr>
        <w:t>fondů</w:t>
      </w:r>
      <w:r w:rsidR="00E45818" w:rsidRPr="002C310E">
        <w:rPr>
          <w:rFonts w:eastAsia="Times New Roman" w:cstheme="minorHAnsi"/>
          <w:color w:val="000000"/>
          <w:sz w:val="24"/>
          <w:szCs w:val="24"/>
        </w:rPr>
        <w:t xml:space="preserve"> </w:t>
      </w:r>
      <w:r w:rsidR="00A7535A" w:rsidRPr="002C310E">
        <w:rPr>
          <w:rFonts w:eastAsia="Times New Roman" w:cstheme="minorHAnsi"/>
          <w:color w:val="000000"/>
          <w:sz w:val="24"/>
          <w:szCs w:val="24"/>
        </w:rPr>
        <w:t>EU</w:t>
      </w:r>
      <w:r w:rsidR="009A43D4" w:rsidRPr="002C310E">
        <w:rPr>
          <w:rFonts w:eastAsia="Times New Roman" w:cstheme="minorHAnsi"/>
          <w:color w:val="000000"/>
          <w:sz w:val="24"/>
          <w:szCs w:val="24"/>
        </w:rPr>
        <w:t xml:space="preserve">. </w:t>
      </w:r>
    </w:p>
    <w:p w14:paraId="1FA37721" w14:textId="11C0D982" w:rsidR="00BA7315" w:rsidRPr="002C310E" w:rsidRDefault="00F04DCF" w:rsidP="00CA3D82">
      <w:pPr>
        <w:spacing w:after="120" w:line="240" w:lineRule="auto"/>
        <w:jc w:val="both"/>
        <w:rPr>
          <w:rFonts w:eastAsia="Times New Roman" w:cstheme="minorHAnsi"/>
          <w:color w:val="000000"/>
          <w:sz w:val="24"/>
          <w:szCs w:val="24"/>
        </w:rPr>
      </w:pPr>
      <w:r w:rsidRPr="0015690E">
        <w:rPr>
          <w:rFonts w:eastAsia="Times New Roman" w:cstheme="minorHAnsi"/>
          <w:b/>
          <w:color w:val="000000"/>
          <w:sz w:val="24"/>
          <w:szCs w:val="24"/>
        </w:rPr>
        <w:t xml:space="preserve">2.3 </w:t>
      </w:r>
      <w:r w:rsidR="001443E3" w:rsidRPr="002C310E">
        <w:rPr>
          <w:rFonts w:eastAsia="Times New Roman" w:cstheme="minorHAnsi"/>
          <w:iCs/>
          <w:sz w:val="24"/>
          <w:szCs w:val="24"/>
          <w:lang w:eastAsia="cs-CZ"/>
        </w:rPr>
        <w:t>Generálním poskytovatelem integračních služeb</w:t>
      </w:r>
      <w:r w:rsidR="001443E3" w:rsidRPr="002C310E">
        <w:rPr>
          <w:rFonts w:eastAsia="Times New Roman" w:cstheme="minorHAnsi"/>
          <w:sz w:val="24"/>
          <w:szCs w:val="24"/>
        </w:rPr>
        <w:t xml:space="preserve"> </w:t>
      </w:r>
      <w:r w:rsidR="00EE7038" w:rsidRPr="002C310E">
        <w:rPr>
          <w:rFonts w:eastAsia="Times New Roman" w:cstheme="minorHAnsi"/>
          <w:sz w:val="24"/>
          <w:szCs w:val="24"/>
        </w:rPr>
        <w:t xml:space="preserve">v ČR </w:t>
      </w:r>
      <w:r w:rsidR="00A7535A" w:rsidRPr="002C310E">
        <w:rPr>
          <w:rFonts w:eastAsia="Times New Roman" w:cstheme="minorHAnsi"/>
          <w:color w:val="000000"/>
          <w:sz w:val="24"/>
          <w:szCs w:val="24"/>
        </w:rPr>
        <w:t>j</w:t>
      </w:r>
      <w:r w:rsidR="00EE7038" w:rsidRPr="002C310E">
        <w:rPr>
          <w:rFonts w:eastAsia="Times New Roman" w:cstheme="minorHAnsi"/>
          <w:color w:val="000000"/>
          <w:sz w:val="24"/>
          <w:szCs w:val="24"/>
        </w:rPr>
        <w:t>e SUZ MV</w:t>
      </w:r>
      <w:r w:rsidR="00DC5463" w:rsidRPr="002C310E">
        <w:rPr>
          <w:rFonts w:eastAsia="Times New Roman" w:cstheme="minorHAnsi"/>
          <w:color w:val="000000"/>
          <w:sz w:val="24"/>
          <w:szCs w:val="24"/>
        </w:rPr>
        <w:t>, která je organizační složkou státu</w:t>
      </w:r>
      <w:r w:rsidR="00EE7038" w:rsidRPr="002C310E">
        <w:rPr>
          <w:rFonts w:eastAsia="Times New Roman" w:cstheme="minorHAnsi"/>
          <w:color w:val="000000"/>
          <w:sz w:val="24"/>
          <w:szCs w:val="24"/>
        </w:rPr>
        <w:t>.</w:t>
      </w:r>
      <w:r w:rsidR="001443E3" w:rsidRPr="002C310E">
        <w:rPr>
          <w:rFonts w:eastAsia="Times New Roman" w:cstheme="minorHAnsi"/>
          <w:color w:val="000000"/>
          <w:sz w:val="24"/>
          <w:szCs w:val="24"/>
        </w:rPr>
        <w:t xml:space="preserve"> </w:t>
      </w:r>
      <w:r w:rsidR="006B6735" w:rsidRPr="002C310E">
        <w:rPr>
          <w:rFonts w:cstheme="minorHAnsi"/>
          <w:sz w:val="24"/>
          <w:szCs w:val="24"/>
        </w:rPr>
        <w:t xml:space="preserve">Činnost SUZ MV </w:t>
      </w:r>
      <w:r w:rsidR="006840F4" w:rsidRPr="002C310E">
        <w:rPr>
          <w:rFonts w:cstheme="minorHAnsi"/>
          <w:sz w:val="24"/>
          <w:szCs w:val="24"/>
        </w:rPr>
        <w:t>s</w:t>
      </w:r>
      <w:r w:rsidR="00EF704B" w:rsidRPr="002C310E">
        <w:rPr>
          <w:rFonts w:cstheme="minorHAnsi"/>
          <w:sz w:val="24"/>
          <w:szCs w:val="24"/>
        </w:rPr>
        <w:t xml:space="preserve">počívá </w:t>
      </w:r>
      <w:r w:rsidR="00EE7038" w:rsidRPr="002C310E">
        <w:rPr>
          <w:rFonts w:cstheme="minorHAnsi"/>
          <w:sz w:val="24"/>
          <w:szCs w:val="24"/>
        </w:rPr>
        <w:t>mj.</w:t>
      </w:r>
      <w:r w:rsidR="001443E3" w:rsidRPr="002C310E">
        <w:rPr>
          <w:rFonts w:cstheme="minorHAnsi"/>
          <w:sz w:val="24"/>
          <w:szCs w:val="24"/>
        </w:rPr>
        <w:t xml:space="preserve"> </w:t>
      </w:r>
      <w:r w:rsidR="00EE7038" w:rsidRPr="002C310E">
        <w:rPr>
          <w:rFonts w:cstheme="minorHAnsi"/>
          <w:sz w:val="24"/>
          <w:szCs w:val="24"/>
        </w:rPr>
        <w:t xml:space="preserve">ve </w:t>
      </w:r>
      <w:r w:rsidR="00EF704B" w:rsidRPr="002C310E">
        <w:rPr>
          <w:rFonts w:cstheme="minorHAnsi"/>
          <w:sz w:val="24"/>
          <w:szCs w:val="24"/>
        </w:rPr>
        <w:t>správě</w:t>
      </w:r>
      <w:r w:rsidR="002839A5" w:rsidRPr="002C310E">
        <w:rPr>
          <w:rFonts w:cstheme="minorHAnsi"/>
          <w:sz w:val="24"/>
          <w:szCs w:val="24"/>
        </w:rPr>
        <w:t xml:space="preserve"> a </w:t>
      </w:r>
      <w:r w:rsidR="00EF704B" w:rsidRPr="002C310E">
        <w:rPr>
          <w:rFonts w:cstheme="minorHAnsi"/>
          <w:sz w:val="24"/>
          <w:szCs w:val="24"/>
        </w:rPr>
        <w:t xml:space="preserve">provozu </w:t>
      </w:r>
      <w:r w:rsidR="00672057" w:rsidRPr="002C310E">
        <w:rPr>
          <w:rFonts w:cstheme="minorHAnsi"/>
          <w:sz w:val="24"/>
          <w:szCs w:val="24"/>
        </w:rPr>
        <w:t>přijímacích,</w:t>
      </w:r>
      <w:r w:rsidR="001443E3" w:rsidRPr="002C310E">
        <w:rPr>
          <w:rFonts w:cstheme="minorHAnsi"/>
          <w:sz w:val="24"/>
          <w:szCs w:val="24"/>
        </w:rPr>
        <w:t xml:space="preserve"> </w:t>
      </w:r>
      <w:r w:rsidR="00672057" w:rsidRPr="002C310E">
        <w:rPr>
          <w:rFonts w:cstheme="minorHAnsi"/>
          <w:sz w:val="24"/>
          <w:szCs w:val="24"/>
        </w:rPr>
        <w:t>pobytových a</w:t>
      </w:r>
      <w:r w:rsidR="000929AC">
        <w:rPr>
          <w:rFonts w:cstheme="minorHAnsi"/>
          <w:sz w:val="24"/>
          <w:szCs w:val="24"/>
        </w:rPr>
        <w:t> </w:t>
      </w:r>
      <w:r w:rsidR="00EF704B" w:rsidRPr="002C310E">
        <w:rPr>
          <w:rFonts w:cstheme="minorHAnsi"/>
          <w:sz w:val="24"/>
          <w:szCs w:val="24"/>
        </w:rPr>
        <w:t>integračních azylových středisek</w:t>
      </w:r>
      <w:r w:rsidR="00672057" w:rsidRPr="002C310E">
        <w:rPr>
          <w:rFonts w:cstheme="minorHAnsi"/>
          <w:sz w:val="24"/>
          <w:szCs w:val="24"/>
        </w:rPr>
        <w:t xml:space="preserve"> a</w:t>
      </w:r>
      <w:r w:rsidR="00EE7038" w:rsidRPr="002C310E">
        <w:rPr>
          <w:rFonts w:cstheme="minorHAnsi"/>
          <w:sz w:val="24"/>
          <w:szCs w:val="24"/>
        </w:rPr>
        <w:t xml:space="preserve"> zařízení pro zajištění cizinců v ČR a </w:t>
      </w:r>
      <w:r w:rsidR="006840F4" w:rsidRPr="002C310E">
        <w:rPr>
          <w:rFonts w:cstheme="minorHAnsi"/>
          <w:sz w:val="24"/>
          <w:szCs w:val="24"/>
        </w:rPr>
        <w:t>v </w:t>
      </w:r>
      <w:r w:rsidR="00EE7038" w:rsidRPr="002C310E">
        <w:rPr>
          <w:rFonts w:cstheme="minorHAnsi"/>
          <w:sz w:val="24"/>
          <w:szCs w:val="24"/>
        </w:rPr>
        <w:t>p</w:t>
      </w:r>
      <w:r w:rsidR="00EF704B" w:rsidRPr="002C310E">
        <w:rPr>
          <w:rFonts w:cstheme="minorHAnsi"/>
          <w:sz w:val="24"/>
          <w:szCs w:val="24"/>
        </w:rPr>
        <w:t>oskytování asistence a</w:t>
      </w:r>
      <w:r w:rsidR="00DC5463" w:rsidRPr="002C310E">
        <w:rPr>
          <w:rFonts w:cstheme="minorHAnsi"/>
          <w:sz w:val="24"/>
          <w:szCs w:val="24"/>
        </w:rPr>
        <w:t xml:space="preserve"> podpory v </w:t>
      </w:r>
      <w:r w:rsidR="00603629" w:rsidRPr="002C310E">
        <w:rPr>
          <w:rFonts w:cstheme="minorHAnsi"/>
          <w:sz w:val="24"/>
          <w:szCs w:val="24"/>
        </w:rPr>
        <w:t>rámci integračních a </w:t>
      </w:r>
      <w:r w:rsidR="00EF704B" w:rsidRPr="002C310E">
        <w:rPr>
          <w:rFonts w:cstheme="minorHAnsi"/>
          <w:sz w:val="24"/>
          <w:szCs w:val="24"/>
        </w:rPr>
        <w:t>adaptačních programů pro cizince, azylanty, osoby požívající doplňkové ochrany</w:t>
      </w:r>
      <w:r w:rsidR="00603629" w:rsidRPr="002C310E">
        <w:rPr>
          <w:rFonts w:cstheme="minorHAnsi"/>
          <w:sz w:val="24"/>
          <w:szCs w:val="24"/>
        </w:rPr>
        <w:t xml:space="preserve"> a </w:t>
      </w:r>
      <w:r w:rsidR="00672057" w:rsidRPr="002C310E">
        <w:rPr>
          <w:rFonts w:cstheme="minorHAnsi"/>
          <w:sz w:val="24"/>
          <w:szCs w:val="24"/>
        </w:rPr>
        <w:t>přesídlované osoby zejména v </w:t>
      </w:r>
      <w:r w:rsidR="00EF704B" w:rsidRPr="002C310E">
        <w:rPr>
          <w:rFonts w:cstheme="minorHAnsi"/>
          <w:sz w:val="24"/>
          <w:szCs w:val="24"/>
        </w:rPr>
        <w:t>oblasti zapojování na trhu p</w:t>
      </w:r>
      <w:r w:rsidR="00603629" w:rsidRPr="002C310E">
        <w:rPr>
          <w:rFonts w:cstheme="minorHAnsi"/>
          <w:sz w:val="24"/>
          <w:szCs w:val="24"/>
        </w:rPr>
        <w:t>ráce, do vzdělávacího systému a </w:t>
      </w:r>
      <w:r w:rsidR="00184257" w:rsidRPr="002C310E">
        <w:rPr>
          <w:rFonts w:cstheme="minorHAnsi"/>
          <w:sz w:val="24"/>
          <w:szCs w:val="24"/>
        </w:rPr>
        <w:t xml:space="preserve">do </w:t>
      </w:r>
      <w:r w:rsidR="00715B4B" w:rsidRPr="002C310E">
        <w:rPr>
          <w:rFonts w:cstheme="minorHAnsi"/>
          <w:sz w:val="24"/>
          <w:szCs w:val="24"/>
        </w:rPr>
        <w:t>společnosti</w:t>
      </w:r>
      <w:r w:rsidR="00184257" w:rsidRPr="002C310E">
        <w:rPr>
          <w:rFonts w:cstheme="minorHAnsi"/>
          <w:sz w:val="24"/>
          <w:szCs w:val="24"/>
        </w:rPr>
        <w:t>.</w:t>
      </w:r>
      <w:r w:rsidR="00EE7038" w:rsidRPr="002C310E">
        <w:rPr>
          <w:rFonts w:cstheme="minorHAnsi"/>
          <w:sz w:val="24"/>
          <w:szCs w:val="24"/>
        </w:rPr>
        <w:t xml:space="preserve"> </w:t>
      </w:r>
      <w:r w:rsidR="00DA3F34" w:rsidRPr="002C310E">
        <w:rPr>
          <w:rFonts w:cstheme="minorHAnsi"/>
          <w:sz w:val="24"/>
          <w:szCs w:val="24"/>
        </w:rPr>
        <w:t>Celkové výdaje</w:t>
      </w:r>
      <w:r w:rsidR="00CD4646" w:rsidRPr="002C310E">
        <w:rPr>
          <w:rFonts w:cstheme="minorHAnsi"/>
          <w:sz w:val="24"/>
          <w:szCs w:val="24"/>
        </w:rPr>
        <w:t xml:space="preserve"> </w:t>
      </w:r>
      <w:r w:rsidR="00DA3F34" w:rsidRPr="002C310E">
        <w:rPr>
          <w:rFonts w:cstheme="minorHAnsi"/>
          <w:sz w:val="24"/>
          <w:szCs w:val="24"/>
        </w:rPr>
        <w:t xml:space="preserve">SUZ MV </w:t>
      </w:r>
      <w:r w:rsidR="00397378" w:rsidRPr="002C310E">
        <w:rPr>
          <w:rFonts w:cstheme="minorHAnsi"/>
          <w:sz w:val="24"/>
          <w:szCs w:val="24"/>
        </w:rPr>
        <w:t xml:space="preserve">poskytované </w:t>
      </w:r>
      <w:r w:rsidR="00EE7038" w:rsidRPr="002C310E">
        <w:rPr>
          <w:rFonts w:cstheme="minorHAnsi"/>
          <w:sz w:val="24"/>
          <w:szCs w:val="24"/>
        </w:rPr>
        <w:t xml:space="preserve">z rozpočtové kapitoly </w:t>
      </w:r>
      <w:r w:rsidR="006840F4" w:rsidRPr="002C310E">
        <w:rPr>
          <w:rFonts w:cstheme="minorHAnsi"/>
          <w:sz w:val="24"/>
          <w:szCs w:val="24"/>
        </w:rPr>
        <w:t xml:space="preserve">MV </w:t>
      </w:r>
      <w:r w:rsidR="008957FC" w:rsidRPr="002C310E">
        <w:rPr>
          <w:rFonts w:cstheme="minorHAnsi"/>
          <w:sz w:val="24"/>
          <w:szCs w:val="24"/>
        </w:rPr>
        <w:t xml:space="preserve">činily </w:t>
      </w:r>
      <w:r w:rsidR="00DA3F34" w:rsidRPr="002C310E">
        <w:rPr>
          <w:rFonts w:cstheme="minorHAnsi"/>
          <w:sz w:val="24"/>
          <w:szCs w:val="24"/>
        </w:rPr>
        <w:t>v letech 2017</w:t>
      </w:r>
      <w:r w:rsidR="009A730C" w:rsidRPr="002C310E">
        <w:rPr>
          <w:rFonts w:cstheme="minorHAnsi"/>
          <w:sz w:val="24"/>
          <w:szCs w:val="24"/>
        </w:rPr>
        <w:t xml:space="preserve"> až 2</w:t>
      </w:r>
      <w:r w:rsidR="00DA3F34" w:rsidRPr="002C310E">
        <w:rPr>
          <w:rFonts w:cstheme="minorHAnsi"/>
          <w:sz w:val="24"/>
          <w:szCs w:val="24"/>
        </w:rPr>
        <w:t xml:space="preserve">019 </w:t>
      </w:r>
      <w:r w:rsidR="008957FC" w:rsidRPr="002C310E">
        <w:rPr>
          <w:rFonts w:cstheme="minorHAnsi"/>
          <w:sz w:val="24"/>
          <w:szCs w:val="24"/>
        </w:rPr>
        <w:t>c</w:t>
      </w:r>
      <w:r w:rsidR="00DC5463" w:rsidRPr="002C310E">
        <w:rPr>
          <w:rFonts w:cstheme="minorHAnsi"/>
          <w:sz w:val="24"/>
          <w:szCs w:val="24"/>
        </w:rPr>
        <w:t>ca</w:t>
      </w:r>
      <w:r w:rsidR="00DA3F34" w:rsidRPr="002C310E">
        <w:rPr>
          <w:rFonts w:cstheme="minorHAnsi"/>
          <w:sz w:val="24"/>
          <w:szCs w:val="24"/>
        </w:rPr>
        <w:t xml:space="preserve"> 1</w:t>
      </w:r>
      <w:r w:rsidR="00397378" w:rsidRPr="002C310E">
        <w:rPr>
          <w:rFonts w:cstheme="minorHAnsi"/>
          <w:sz w:val="24"/>
          <w:szCs w:val="24"/>
        </w:rPr>
        <w:t> </w:t>
      </w:r>
      <w:r w:rsidR="00DA3F34" w:rsidRPr="002C310E">
        <w:rPr>
          <w:rFonts w:cstheme="minorHAnsi"/>
          <w:sz w:val="24"/>
          <w:szCs w:val="24"/>
        </w:rPr>
        <w:t>6</w:t>
      </w:r>
      <w:r w:rsidR="00EE7038" w:rsidRPr="002C310E">
        <w:rPr>
          <w:rFonts w:cstheme="minorHAnsi"/>
          <w:sz w:val="24"/>
          <w:szCs w:val="24"/>
        </w:rPr>
        <w:t>11</w:t>
      </w:r>
      <w:r w:rsidR="00B02338" w:rsidRPr="002C310E">
        <w:rPr>
          <w:rFonts w:cstheme="minorHAnsi"/>
          <w:sz w:val="24"/>
          <w:szCs w:val="24"/>
        </w:rPr>
        <w:t xml:space="preserve"> </w:t>
      </w:r>
      <w:r w:rsidR="00EE7038" w:rsidRPr="002C310E">
        <w:rPr>
          <w:rFonts w:cstheme="minorHAnsi"/>
          <w:sz w:val="24"/>
          <w:szCs w:val="24"/>
        </w:rPr>
        <w:t>mil.</w:t>
      </w:r>
      <w:r w:rsidR="00B02338" w:rsidRPr="002C310E">
        <w:rPr>
          <w:rFonts w:cstheme="minorHAnsi"/>
          <w:sz w:val="24"/>
          <w:szCs w:val="24"/>
        </w:rPr>
        <w:t xml:space="preserve"> </w:t>
      </w:r>
      <w:r w:rsidR="00DA3F34" w:rsidRPr="002C310E">
        <w:rPr>
          <w:rFonts w:cstheme="minorHAnsi"/>
          <w:sz w:val="24"/>
          <w:szCs w:val="24"/>
        </w:rPr>
        <w:t>Kč.</w:t>
      </w:r>
    </w:p>
    <w:p w14:paraId="5D1E0015" w14:textId="2E6509C6" w:rsidR="00163BC7" w:rsidRPr="002C310E" w:rsidRDefault="00F04DCF" w:rsidP="0015690E">
      <w:pPr>
        <w:spacing w:after="0" w:line="240" w:lineRule="auto"/>
        <w:jc w:val="both"/>
        <w:rPr>
          <w:rFonts w:eastAsia="Times New Roman" w:cstheme="minorHAnsi"/>
          <w:sz w:val="24"/>
          <w:szCs w:val="24"/>
        </w:rPr>
      </w:pPr>
      <w:r w:rsidRPr="0015690E">
        <w:rPr>
          <w:rFonts w:eastAsia="Times New Roman" w:cstheme="minorHAnsi"/>
          <w:b/>
          <w:color w:val="000000"/>
          <w:sz w:val="24"/>
          <w:szCs w:val="24"/>
        </w:rPr>
        <w:t>2.</w:t>
      </w:r>
      <w:r w:rsidR="009741DB" w:rsidRPr="0015690E">
        <w:rPr>
          <w:rFonts w:eastAsia="Times New Roman" w:cstheme="minorHAnsi"/>
          <w:b/>
          <w:color w:val="000000"/>
          <w:sz w:val="24"/>
          <w:szCs w:val="24"/>
        </w:rPr>
        <w:t>4</w:t>
      </w:r>
      <w:r w:rsidRPr="002C310E">
        <w:rPr>
          <w:rFonts w:eastAsia="Times New Roman" w:cstheme="minorHAnsi"/>
          <w:color w:val="000000"/>
          <w:sz w:val="24"/>
          <w:szCs w:val="24"/>
        </w:rPr>
        <w:t xml:space="preserve"> </w:t>
      </w:r>
      <w:r w:rsidR="00BC7817" w:rsidRPr="002C310E">
        <w:rPr>
          <w:rFonts w:eastAsia="Times New Roman" w:cstheme="minorHAnsi"/>
          <w:color w:val="000000"/>
          <w:sz w:val="24"/>
          <w:szCs w:val="24"/>
        </w:rPr>
        <w:t xml:space="preserve">Zásady migrační politiky jsou definovány ve </w:t>
      </w:r>
      <w:r w:rsidR="00BC7817" w:rsidRPr="002C310E">
        <w:rPr>
          <w:rFonts w:eastAsia="Times New Roman" w:cstheme="minorHAnsi"/>
          <w:i/>
          <w:color w:val="000000"/>
          <w:sz w:val="24"/>
          <w:szCs w:val="24"/>
        </w:rPr>
        <w:t>Strategii migrační politiky České republiky</w:t>
      </w:r>
      <w:r w:rsidR="00397378" w:rsidRPr="002C310E">
        <w:rPr>
          <w:rFonts w:eastAsia="Times New Roman" w:cstheme="minorHAnsi"/>
          <w:color w:val="000000"/>
          <w:sz w:val="24"/>
          <w:szCs w:val="24"/>
        </w:rPr>
        <w:t xml:space="preserve"> (dále t</w:t>
      </w:r>
      <w:r w:rsidR="007408BB" w:rsidRPr="002C310E">
        <w:rPr>
          <w:rFonts w:eastAsia="Times New Roman" w:cstheme="minorHAnsi"/>
          <w:color w:val="000000"/>
          <w:sz w:val="24"/>
          <w:szCs w:val="24"/>
        </w:rPr>
        <w:t>éž</w:t>
      </w:r>
      <w:r w:rsidR="00397378" w:rsidRPr="002C310E">
        <w:rPr>
          <w:rFonts w:eastAsia="Times New Roman" w:cstheme="minorHAnsi"/>
          <w:color w:val="000000"/>
          <w:sz w:val="24"/>
          <w:szCs w:val="24"/>
        </w:rPr>
        <w:t xml:space="preserve"> „Strategie“)</w:t>
      </w:r>
      <w:r>
        <w:rPr>
          <w:rFonts w:eastAsia="Times New Roman" w:cstheme="minorHAnsi"/>
          <w:color w:val="000000"/>
          <w:sz w:val="24"/>
          <w:szCs w:val="24"/>
          <w:vertAlign w:val="superscript"/>
        </w:rPr>
        <w:footnoteReference w:id="11"/>
      </w:r>
      <w:r w:rsidR="002B0098" w:rsidRPr="002C310E">
        <w:rPr>
          <w:rFonts w:eastAsia="Times New Roman" w:cstheme="minorHAnsi"/>
          <w:color w:val="000000"/>
          <w:sz w:val="24"/>
          <w:szCs w:val="24"/>
        </w:rPr>
        <w:t xml:space="preserve"> v sedmi </w:t>
      </w:r>
      <w:r w:rsidR="002C1422" w:rsidRPr="002C310E">
        <w:rPr>
          <w:rFonts w:eastAsia="Times New Roman" w:cstheme="minorHAnsi"/>
          <w:sz w:val="24"/>
          <w:szCs w:val="24"/>
        </w:rPr>
        <w:t>tematických oblast</w:t>
      </w:r>
      <w:r w:rsidR="002B0098" w:rsidRPr="002C310E">
        <w:rPr>
          <w:rFonts w:eastAsia="Times New Roman" w:cstheme="minorHAnsi"/>
          <w:sz w:val="24"/>
          <w:szCs w:val="24"/>
        </w:rPr>
        <w:t>ech</w:t>
      </w:r>
      <w:r w:rsidR="002C1422" w:rsidRPr="002C310E">
        <w:rPr>
          <w:rFonts w:eastAsia="Times New Roman" w:cstheme="minorHAnsi"/>
          <w:sz w:val="24"/>
          <w:szCs w:val="24"/>
        </w:rPr>
        <w:t xml:space="preserve"> </w:t>
      </w:r>
      <w:r w:rsidR="007B483E" w:rsidRPr="002C310E">
        <w:rPr>
          <w:rFonts w:eastAsia="Times New Roman" w:cstheme="minorHAnsi"/>
          <w:sz w:val="24"/>
          <w:szCs w:val="24"/>
        </w:rPr>
        <w:t>vymezuj</w:t>
      </w:r>
      <w:r w:rsidR="002C1422" w:rsidRPr="002C310E">
        <w:rPr>
          <w:rFonts w:eastAsia="Times New Roman" w:cstheme="minorHAnsi"/>
          <w:sz w:val="24"/>
          <w:szCs w:val="24"/>
        </w:rPr>
        <w:t>ících priority ČR v oblasti migrace, integrace a mezinárodní ochrany</w:t>
      </w:r>
      <w:r w:rsidR="00397378" w:rsidRPr="002C310E">
        <w:rPr>
          <w:rFonts w:eastAsia="Times New Roman" w:cstheme="minorHAnsi"/>
          <w:sz w:val="24"/>
          <w:szCs w:val="24"/>
        </w:rPr>
        <w:t xml:space="preserve">. </w:t>
      </w:r>
      <w:r w:rsidR="002C1422" w:rsidRPr="002C310E">
        <w:rPr>
          <w:rFonts w:eastAsia="Times New Roman" w:cstheme="minorHAnsi"/>
          <w:sz w:val="24"/>
          <w:szCs w:val="24"/>
        </w:rPr>
        <w:t xml:space="preserve">Strategie formuluje obecné cíle, kterých chce ČR dosáhnout v daných oblastech </w:t>
      </w:r>
      <w:r w:rsidR="002C08BA" w:rsidRPr="002C310E">
        <w:rPr>
          <w:rFonts w:eastAsia="Times New Roman" w:cstheme="minorHAnsi"/>
          <w:sz w:val="24"/>
          <w:szCs w:val="24"/>
        </w:rPr>
        <w:t>n</w:t>
      </w:r>
      <w:r w:rsidR="002C1422" w:rsidRPr="002C310E">
        <w:rPr>
          <w:rFonts w:eastAsia="Times New Roman" w:cstheme="minorHAnsi"/>
          <w:sz w:val="24"/>
          <w:szCs w:val="24"/>
        </w:rPr>
        <w:t>a národní</w:t>
      </w:r>
      <w:r w:rsidR="002C08BA" w:rsidRPr="002C310E">
        <w:rPr>
          <w:rFonts w:eastAsia="Times New Roman" w:cstheme="minorHAnsi"/>
          <w:sz w:val="24"/>
          <w:szCs w:val="24"/>
        </w:rPr>
        <w:t xml:space="preserve"> i </w:t>
      </w:r>
      <w:r w:rsidR="00FA0B9A" w:rsidRPr="002C310E">
        <w:rPr>
          <w:rFonts w:eastAsia="Times New Roman" w:cstheme="minorHAnsi"/>
          <w:sz w:val="24"/>
          <w:szCs w:val="24"/>
        </w:rPr>
        <w:t>unijní úrovni, a </w:t>
      </w:r>
      <w:r w:rsidR="002C1422" w:rsidRPr="002C310E">
        <w:rPr>
          <w:rFonts w:eastAsia="Times New Roman" w:cstheme="minorHAnsi"/>
          <w:sz w:val="24"/>
          <w:szCs w:val="24"/>
        </w:rPr>
        <w:t>stanoví nástroje, které k tomu p</w:t>
      </w:r>
      <w:r w:rsidR="002C08BA" w:rsidRPr="002C310E">
        <w:rPr>
          <w:rFonts w:eastAsia="Times New Roman" w:cstheme="minorHAnsi"/>
          <w:sz w:val="24"/>
          <w:szCs w:val="24"/>
        </w:rPr>
        <w:t>ředpokládá</w:t>
      </w:r>
      <w:r w:rsidR="002C1422" w:rsidRPr="002C310E">
        <w:rPr>
          <w:rFonts w:eastAsia="Times New Roman" w:cstheme="minorHAnsi"/>
          <w:sz w:val="24"/>
          <w:szCs w:val="24"/>
        </w:rPr>
        <w:t xml:space="preserve"> využít. </w:t>
      </w:r>
      <w:r w:rsidR="00397378" w:rsidRPr="002C310E">
        <w:rPr>
          <w:rFonts w:eastAsia="Times New Roman" w:cstheme="minorHAnsi"/>
          <w:sz w:val="24"/>
          <w:szCs w:val="24"/>
        </w:rPr>
        <w:t xml:space="preserve">Kontrola NKÚ byla zaměřena na </w:t>
      </w:r>
      <w:r w:rsidR="007408BB" w:rsidRPr="002C310E">
        <w:rPr>
          <w:rFonts w:eastAsia="Times New Roman" w:cstheme="minorHAnsi"/>
          <w:sz w:val="24"/>
          <w:szCs w:val="24"/>
        </w:rPr>
        <w:t xml:space="preserve">čtyři </w:t>
      </w:r>
      <w:r w:rsidR="00346B38" w:rsidRPr="002C310E">
        <w:rPr>
          <w:rFonts w:eastAsia="Times New Roman" w:cstheme="minorHAnsi"/>
          <w:sz w:val="24"/>
          <w:szCs w:val="24"/>
        </w:rPr>
        <w:t xml:space="preserve">z </w:t>
      </w:r>
      <w:r w:rsidR="002C08BA" w:rsidRPr="002C310E">
        <w:rPr>
          <w:rFonts w:eastAsia="Times New Roman" w:cstheme="minorHAnsi"/>
          <w:sz w:val="24"/>
          <w:szCs w:val="24"/>
        </w:rPr>
        <w:t>tematick</w:t>
      </w:r>
      <w:r w:rsidR="00346B38" w:rsidRPr="002C310E">
        <w:rPr>
          <w:rFonts w:eastAsia="Times New Roman" w:cstheme="minorHAnsi"/>
          <w:sz w:val="24"/>
          <w:szCs w:val="24"/>
        </w:rPr>
        <w:t>ých</w:t>
      </w:r>
      <w:r w:rsidR="002C08BA" w:rsidRPr="002C310E">
        <w:rPr>
          <w:rFonts w:eastAsia="Times New Roman" w:cstheme="minorHAnsi"/>
          <w:sz w:val="24"/>
          <w:szCs w:val="24"/>
        </w:rPr>
        <w:t xml:space="preserve"> </w:t>
      </w:r>
      <w:r w:rsidR="002C1422" w:rsidRPr="002C310E">
        <w:rPr>
          <w:rFonts w:eastAsia="Times New Roman" w:cstheme="minorHAnsi"/>
          <w:sz w:val="24"/>
          <w:szCs w:val="24"/>
        </w:rPr>
        <w:t>oblast</w:t>
      </w:r>
      <w:r w:rsidRPr="002C310E">
        <w:rPr>
          <w:rFonts w:eastAsia="Times New Roman" w:cstheme="minorHAnsi"/>
          <w:sz w:val="24"/>
          <w:szCs w:val="24"/>
        </w:rPr>
        <w:t>í</w:t>
      </w:r>
      <w:r w:rsidR="002C1422" w:rsidRPr="002C310E">
        <w:rPr>
          <w:rFonts w:eastAsia="Times New Roman" w:cstheme="minorHAnsi"/>
          <w:sz w:val="24"/>
          <w:szCs w:val="24"/>
        </w:rPr>
        <w:t>:</w:t>
      </w:r>
    </w:p>
    <w:p w14:paraId="62F61053" w14:textId="77777777" w:rsidR="00DC5463" w:rsidRPr="002C310E" w:rsidRDefault="00F04DCF" w:rsidP="00F15056">
      <w:pPr>
        <w:pStyle w:val="Odstavecseseznamem"/>
        <w:numPr>
          <w:ilvl w:val="0"/>
          <w:numId w:val="1"/>
        </w:numPr>
        <w:spacing w:after="0" w:line="240" w:lineRule="auto"/>
        <w:jc w:val="both"/>
        <w:rPr>
          <w:rFonts w:eastAsia="Calibri" w:cstheme="minorHAnsi"/>
          <w:sz w:val="24"/>
          <w:szCs w:val="24"/>
        </w:rPr>
      </w:pPr>
      <w:r w:rsidRPr="002C310E">
        <w:rPr>
          <w:rFonts w:eastAsia="Calibri" w:cstheme="minorHAnsi"/>
          <w:sz w:val="24"/>
          <w:szCs w:val="24"/>
        </w:rPr>
        <w:t>volný pohyb osob v EU a schengenská spolupráce (dále též „schengenská spolupráce“),</w:t>
      </w:r>
    </w:p>
    <w:p w14:paraId="14DD332C" w14:textId="77777777" w:rsidR="00DC5463" w:rsidRPr="002C310E" w:rsidRDefault="00F04DCF" w:rsidP="00F15056">
      <w:pPr>
        <w:pStyle w:val="Odstavecseseznamem"/>
        <w:numPr>
          <w:ilvl w:val="0"/>
          <w:numId w:val="1"/>
        </w:numPr>
        <w:spacing w:after="0" w:line="240" w:lineRule="auto"/>
        <w:jc w:val="both"/>
        <w:rPr>
          <w:rFonts w:eastAsia="Calibri" w:cstheme="minorHAnsi"/>
          <w:sz w:val="24"/>
          <w:szCs w:val="24"/>
        </w:rPr>
      </w:pPr>
      <w:r w:rsidRPr="002C310E">
        <w:rPr>
          <w:rFonts w:eastAsia="Times New Roman" w:cstheme="minorHAnsi"/>
          <w:sz w:val="24"/>
          <w:szCs w:val="24"/>
        </w:rPr>
        <w:t>i</w:t>
      </w:r>
      <w:r w:rsidR="002C1422" w:rsidRPr="002C310E">
        <w:rPr>
          <w:rFonts w:eastAsia="Calibri" w:cstheme="minorHAnsi"/>
          <w:sz w:val="24"/>
          <w:szCs w:val="24"/>
        </w:rPr>
        <w:t>ntegrace,</w:t>
      </w:r>
    </w:p>
    <w:p w14:paraId="0500CB7F" w14:textId="77777777" w:rsidR="00DC5463" w:rsidRPr="002C310E" w:rsidRDefault="00F04DCF" w:rsidP="00F15056">
      <w:pPr>
        <w:pStyle w:val="Odstavecseseznamem"/>
        <w:numPr>
          <w:ilvl w:val="0"/>
          <w:numId w:val="1"/>
        </w:numPr>
        <w:spacing w:after="0" w:line="240" w:lineRule="auto"/>
        <w:jc w:val="both"/>
        <w:rPr>
          <w:rFonts w:eastAsia="Calibri" w:cstheme="minorHAnsi"/>
          <w:sz w:val="24"/>
          <w:szCs w:val="24"/>
        </w:rPr>
      </w:pPr>
      <w:r w:rsidRPr="002C310E">
        <w:rPr>
          <w:rFonts w:eastAsia="Calibri" w:cstheme="minorHAnsi"/>
          <w:sz w:val="24"/>
          <w:szCs w:val="24"/>
        </w:rPr>
        <w:t>a</w:t>
      </w:r>
      <w:r w:rsidR="00346B38" w:rsidRPr="002C310E">
        <w:rPr>
          <w:rFonts w:eastAsia="Calibri" w:cstheme="minorHAnsi"/>
          <w:sz w:val="24"/>
          <w:szCs w:val="24"/>
        </w:rPr>
        <w:t>zyl</w:t>
      </w:r>
      <w:r w:rsidRPr="002C310E">
        <w:rPr>
          <w:rFonts w:eastAsia="Calibri" w:cstheme="minorHAnsi"/>
          <w:sz w:val="24"/>
          <w:szCs w:val="24"/>
        </w:rPr>
        <w:t>,</w:t>
      </w:r>
    </w:p>
    <w:p w14:paraId="0A8B7692" w14:textId="77777777" w:rsidR="002C1422" w:rsidRPr="002C310E" w:rsidRDefault="00F04DCF" w:rsidP="00F15056">
      <w:pPr>
        <w:pStyle w:val="Odstavecseseznamem"/>
        <w:numPr>
          <w:ilvl w:val="0"/>
          <w:numId w:val="1"/>
        </w:numPr>
        <w:spacing w:after="120" w:line="240" w:lineRule="auto"/>
        <w:ind w:left="714" w:hanging="357"/>
        <w:contextualSpacing w:val="0"/>
        <w:jc w:val="both"/>
        <w:rPr>
          <w:rFonts w:eastAsia="Calibri" w:cstheme="minorHAnsi"/>
          <w:sz w:val="24"/>
          <w:szCs w:val="24"/>
        </w:rPr>
      </w:pPr>
      <w:r w:rsidRPr="002C310E">
        <w:rPr>
          <w:rFonts w:eastAsia="Calibri" w:cstheme="minorHAnsi"/>
          <w:sz w:val="24"/>
          <w:szCs w:val="24"/>
        </w:rPr>
        <w:t>vnější dimenze migrační politiky (dále též „vnější migrace“)</w:t>
      </w:r>
      <w:r w:rsidR="00DC5463" w:rsidRPr="002C310E">
        <w:rPr>
          <w:rFonts w:eastAsia="Calibri" w:cstheme="minorHAnsi"/>
          <w:sz w:val="24"/>
          <w:szCs w:val="24"/>
        </w:rPr>
        <w:t>.</w:t>
      </w:r>
    </w:p>
    <w:p w14:paraId="235071B1" w14:textId="4B6F9C07" w:rsidR="001516B6" w:rsidRPr="00694B3F" w:rsidRDefault="00F04DCF" w:rsidP="00CA3D82">
      <w:pPr>
        <w:spacing w:after="120" w:line="240" w:lineRule="auto"/>
        <w:jc w:val="both"/>
        <w:rPr>
          <w:rFonts w:eastAsia="Times New Roman" w:cstheme="minorHAnsi"/>
          <w:sz w:val="24"/>
          <w:szCs w:val="24"/>
          <w:lang w:val="fr-FR"/>
        </w:rPr>
      </w:pPr>
      <w:r w:rsidRPr="0015690E">
        <w:rPr>
          <w:rFonts w:eastAsia="Times New Roman" w:cstheme="minorHAnsi"/>
          <w:b/>
          <w:color w:val="000000"/>
          <w:sz w:val="24"/>
          <w:szCs w:val="24"/>
        </w:rPr>
        <w:t>2.5</w:t>
      </w:r>
      <w:r w:rsidRPr="002C310E">
        <w:rPr>
          <w:rFonts w:eastAsia="Times New Roman" w:cstheme="minorHAnsi"/>
          <w:color w:val="000000"/>
          <w:sz w:val="24"/>
          <w:szCs w:val="24"/>
        </w:rPr>
        <w:t xml:space="preserve"> V oblasti schengenské spolupráce je prioritou ČR </w:t>
      </w:r>
      <w:r w:rsidRPr="002C310E">
        <w:rPr>
          <w:rFonts w:eastAsia="Calibri" w:cstheme="minorHAnsi"/>
          <w:bCs/>
          <w:sz w:val="24"/>
          <w:szCs w:val="24"/>
        </w:rPr>
        <w:t xml:space="preserve">udržet výhody volného pohybu osob v rámci schengenského prostoru, jež </w:t>
      </w:r>
      <w:r w:rsidRPr="002C310E">
        <w:rPr>
          <w:rFonts w:cstheme="minorHAnsi"/>
          <w:sz w:val="24"/>
          <w:szCs w:val="24"/>
          <w:lang w:val="fr-FR"/>
        </w:rPr>
        <w:t xml:space="preserve">umožňuje občanům EU i jejich rodinným příslušníkům svobodně se pohybovat a žít v jakékoli zemi EU. </w:t>
      </w:r>
      <w:r w:rsidRPr="002C310E">
        <w:rPr>
          <w:rFonts w:eastAsia="Calibri" w:cstheme="minorHAnsi"/>
          <w:bCs/>
          <w:sz w:val="24"/>
          <w:szCs w:val="24"/>
        </w:rPr>
        <w:t xml:space="preserve">Vychází z </w:t>
      </w:r>
      <w:r w:rsidRPr="002C310E">
        <w:rPr>
          <w:rFonts w:eastAsia="Times New Roman" w:cstheme="minorHAnsi"/>
          <w:i/>
          <w:sz w:val="24"/>
          <w:szCs w:val="24"/>
          <w:lang w:val="fr-FR"/>
        </w:rPr>
        <w:t>Národního schengenského plánu 2014</w:t>
      </w:r>
      <w:r w:rsidRPr="002C310E">
        <w:rPr>
          <w:rFonts w:eastAsia="Times New Roman" w:cstheme="minorHAnsi"/>
          <w:b/>
          <w:i/>
          <w:sz w:val="24"/>
          <w:szCs w:val="24"/>
          <w:lang w:val="fr-FR"/>
        </w:rPr>
        <w:t xml:space="preserve"> </w:t>
      </w:r>
      <w:r w:rsidRPr="002C310E">
        <w:rPr>
          <w:rFonts w:eastAsia="Times New Roman" w:cstheme="minorHAnsi"/>
          <w:sz w:val="24"/>
          <w:szCs w:val="24"/>
          <w:lang w:val="fr-FR"/>
        </w:rPr>
        <w:t xml:space="preserve">(dále též </w:t>
      </w:r>
      <w:r w:rsidRPr="002C310E">
        <w:rPr>
          <w:rFonts w:eastAsia="Times New Roman" w:cstheme="minorHAnsi"/>
          <w:iCs/>
          <w:sz w:val="24"/>
          <w:szCs w:val="24"/>
          <w:lang w:eastAsia="cs-CZ"/>
        </w:rPr>
        <w:t>„</w:t>
      </w:r>
      <w:r w:rsidRPr="002C310E">
        <w:rPr>
          <w:rFonts w:eastAsia="Times New Roman" w:cstheme="minorHAnsi"/>
          <w:sz w:val="24"/>
          <w:szCs w:val="24"/>
          <w:lang w:val="fr-FR"/>
        </w:rPr>
        <w:t>NSP2014</w:t>
      </w:r>
      <w:r w:rsidRPr="002C310E">
        <w:rPr>
          <w:rFonts w:eastAsia="Times New Roman" w:cstheme="minorHAnsi"/>
          <w:iCs/>
          <w:sz w:val="24"/>
          <w:szCs w:val="24"/>
          <w:lang w:eastAsia="cs-CZ"/>
        </w:rPr>
        <w:t>“)</w:t>
      </w:r>
      <w:r>
        <w:rPr>
          <w:rFonts w:eastAsia="Times New Roman" w:cstheme="minorHAnsi"/>
          <w:sz w:val="24"/>
          <w:szCs w:val="24"/>
          <w:vertAlign w:val="superscript"/>
          <w:lang w:val="fr-FR"/>
        </w:rPr>
        <w:footnoteReference w:id="12"/>
      </w:r>
      <w:r w:rsidRPr="002C310E">
        <w:rPr>
          <w:rFonts w:eastAsia="Times New Roman" w:cstheme="minorHAnsi"/>
          <w:sz w:val="24"/>
          <w:szCs w:val="24"/>
          <w:lang w:val="fr-FR"/>
        </w:rPr>
        <w:t>, jehož cílem je zajistit správné provádění schengenského acquis</w:t>
      </w:r>
      <w:r>
        <w:rPr>
          <w:rFonts w:eastAsia="Times New Roman" w:cstheme="minorHAnsi"/>
          <w:sz w:val="24"/>
          <w:szCs w:val="24"/>
          <w:vertAlign w:val="superscript"/>
          <w:lang w:val="fr-FR"/>
        </w:rPr>
        <w:footnoteReference w:id="13"/>
      </w:r>
      <w:r w:rsidRPr="002C310E">
        <w:rPr>
          <w:rFonts w:eastAsia="Times New Roman" w:cstheme="minorHAnsi"/>
          <w:sz w:val="24"/>
          <w:szCs w:val="24"/>
          <w:lang w:val="fr-FR"/>
        </w:rPr>
        <w:t xml:space="preserve"> v ČR a přípravu na schengenské hodnocení. </w:t>
      </w:r>
      <w:r w:rsidR="009475BF" w:rsidRPr="002C310E">
        <w:rPr>
          <w:rFonts w:eastAsia="Times New Roman" w:cstheme="minorHAnsi"/>
          <w:sz w:val="24"/>
          <w:szCs w:val="24"/>
          <w:lang w:val="fr-FR"/>
        </w:rPr>
        <w:t>Od roku 2020</w:t>
      </w:r>
      <w:r w:rsidRPr="002C310E">
        <w:rPr>
          <w:rFonts w:eastAsia="Times New Roman" w:cstheme="minorHAnsi"/>
          <w:sz w:val="24"/>
          <w:szCs w:val="24"/>
        </w:rPr>
        <w:t xml:space="preserve"> d</w:t>
      </w:r>
      <w:r w:rsidRPr="002C310E">
        <w:rPr>
          <w:rFonts w:eastAsia="Calibri" w:cstheme="minorHAnsi"/>
          <w:sz w:val="24"/>
          <w:szCs w:val="24"/>
        </w:rPr>
        <w:t xml:space="preserve">efinuje strategické priority ČR v oblasti správy vnějších hranic </w:t>
      </w:r>
      <w:r w:rsidRPr="002C310E">
        <w:rPr>
          <w:rFonts w:eastAsia="Times New Roman" w:cstheme="minorHAnsi"/>
          <w:i/>
          <w:sz w:val="24"/>
          <w:szCs w:val="24"/>
          <w:lang w:val="fr-FR"/>
        </w:rPr>
        <w:t>Strategie České republiky pro evropskou integrovanou správu hranic 2020–2024</w:t>
      </w:r>
      <w:r w:rsidRPr="00694B3F">
        <w:rPr>
          <w:rFonts w:eastAsia="Times New Roman" w:cstheme="minorHAnsi"/>
          <w:sz w:val="24"/>
          <w:szCs w:val="24"/>
          <w:vertAlign w:val="superscript"/>
          <w:lang w:val="fr-FR"/>
        </w:rPr>
        <w:footnoteReference w:id="14"/>
      </w:r>
      <w:r w:rsidRPr="00694B3F">
        <w:rPr>
          <w:rFonts w:eastAsia="Times New Roman" w:cstheme="minorHAnsi"/>
          <w:sz w:val="24"/>
          <w:szCs w:val="24"/>
          <w:lang w:val="fr-FR"/>
        </w:rPr>
        <w:t xml:space="preserve">. </w:t>
      </w:r>
    </w:p>
    <w:p w14:paraId="6026650C" w14:textId="580F3095" w:rsidR="00797B1E" w:rsidRPr="002C310E" w:rsidRDefault="00F04DCF" w:rsidP="00CA3D82">
      <w:pPr>
        <w:spacing w:after="120" w:line="240" w:lineRule="auto"/>
        <w:jc w:val="both"/>
        <w:rPr>
          <w:rFonts w:eastAsia="Times New Roman" w:cstheme="minorHAnsi"/>
          <w:sz w:val="24"/>
          <w:szCs w:val="24"/>
        </w:rPr>
      </w:pPr>
      <w:r w:rsidRPr="0015690E">
        <w:rPr>
          <w:rFonts w:eastAsia="Times New Roman" w:cstheme="minorHAnsi"/>
          <w:b/>
          <w:color w:val="000000"/>
          <w:sz w:val="24"/>
          <w:szCs w:val="24"/>
        </w:rPr>
        <w:lastRenderedPageBreak/>
        <w:t>2.</w:t>
      </w:r>
      <w:r w:rsidR="001516B6" w:rsidRPr="0015690E">
        <w:rPr>
          <w:rFonts w:eastAsia="Times New Roman" w:cstheme="minorHAnsi"/>
          <w:b/>
          <w:color w:val="000000"/>
          <w:sz w:val="24"/>
          <w:szCs w:val="24"/>
        </w:rPr>
        <w:t>6</w:t>
      </w:r>
      <w:r w:rsidR="00DA3F34" w:rsidRPr="002C310E">
        <w:rPr>
          <w:rFonts w:eastAsia="Times New Roman" w:cstheme="minorHAnsi"/>
          <w:color w:val="000000"/>
          <w:sz w:val="24"/>
          <w:szCs w:val="24"/>
        </w:rPr>
        <w:t xml:space="preserve"> </w:t>
      </w:r>
      <w:r w:rsidR="005953C2" w:rsidRPr="002C310E">
        <w:rPr>
          <w:rFonts w:eastAsia="Times New Roman" w:cstheme="minorHAnsi"/>
          <w:color w:val="000000"/>
          <w:sz w:val="24"/>
          <w:szCs w:val="24"/>
        </w:rPr>
        <w:t>V o</w:t>
      </w:r>
      <w:r w:rsidR="0031566D" w:rsidRPr="002C310E">
        <w:rPr>
          <w:rFonts w:eastAsia="Calibri" w:cstheme="minorHAnsi"/>
          <w:bCs/>
          <w:sz w:val="24"/>
          <w:szCs w:val="24"/>
        </w:rPr>
        <w:t>blast</w:t>
      </w:r>
      <w:r w:rsidR="005953C2" w:rsidRPr="002C310E">
        <w:rPr>
          <w:rFonts w:eastAsia="Calibri" w:cstheme="minorHAnsi"/>
          <w:bCs/>
          <w:sz w:val="24"/>
          <w:szCs w:val="24"/>
        </w:rPr>
        <w:t>i</w:t>
      </w:r>
      <w:r w:rsidR="0031566D" w:rsidRPr="002C310E">
        <w:rPr>
          <w:rFonts w:eastAsia="Calibri" w:cstheme="minorHAnsi"/>
          <w:bCs/>
          <w:sz w:val="24"/>
          <w:szCs w:val="24"/>
        </w:rPr>
        <w:t xml:space="preserve"> integrace je </w:t>
      </w:r>
      <w:r w:rsidR="005953C2" w:rsidRPr="002C310E">
        <w:rPr>
          <w:rFonts w:eastAsia="Calibri" w:cstheme="minorHAnsi"/>
          <w:bCs/>
          <w:sz w:val="24"/>
          <w:szCs w:val="24"/>
        </w:rPr>
        <w:t xml:space="preserve">prioritou </w:t>
      </w:r>
      <w:r w:rsidR="00021594" w:rsidRPr="002C310E">
        <w:rPr>
          <w:rFonts w:eastAsia="Calibri" w:cstheme="minorHAnsi"/>
          <w:bCs/>
          <w:sz w:val="24"/>
          <w:szCs w:val="24"/>
        </w:rPr>
        <w:t xml:space="preserve">ČR </w:t>
      </w:r>
      <w:r w:rsidR="005953C2" w:rsidRPr="002C310E">
        <w:rPr>
          <w:rFonts w:eastAsia="Calibri" w:cstheme="minorHAnsi"/>
          <w:bCs/>
          <w:sz w:val="24"/>
          <w:szCs w:val="24"/>
        </w:rPr>
        <w:t>z</w:t>
      </w:r>
      <w:r w:rsidR="0031566D" w:rsidRPr="002C310E">
        <w:rPr>
          <w:rFonts w:eastAsia="Calibri" w:cstheme="minorHAnsi"/>
          <w:bCs/>
          <w:sz w:val="24"/>
          <w:szCs w:val="24"/>
        </w:rPr>
        <w:t xml:space="preserve">ajistit </w:t>
      </w:r>
      <w:r w:rsidR="00021594" w:rsidRPr="002C310E">
        <w:rPr>
          <w:rFonts w:eastAsia="Calibri" w:cstheme="minorHAnsi"/>
          <w:bCs/>
          <w:sz w:val="24"/>
          <w:szCs w:val="24"/>
        </w:rPr>
        <w:t xml:space="preserve">jejím </w:t>
      </w:r>
      <w:r w:rsidR="0031566D" w:rsidRPr="002C310E">
        <w:rPr>
          <w:rFonts w:eastAsia="Calibri" w:cstheme="minorHAnsi"/>
          <w:bCs/>
          <w:sz w:val="24"/>
          <w:szCs w:val="24"/>
        </w:rPr>
        <w:t>občanům klidné soužití s</w:t>
      </w:r>
      <w:r w:rsidR="006F0817" w:rsidRPr="002C310E">
        <w:rPr>
          <w:rFonts w:eastAsia="Calibri" w:cstheme="minorHAnsi"/>
          <w:bCs/>
          <w:sz w:val="24"/>
          <w:szCs w:val="24"/>
        </w:rPr>
        <w:t> </w:t>
      </w:r>
      <w:r w:rsidR="0031566D" w:rsidRPr="002C310E">
        <w:rPr>
          <w:rFonts w:eastAsia="Calibri" w:cstheme="minorHAnsi"/>
          <w:bCs/>
          <w:sz w:val="24"/>
          <w:szCs w:val="24"/>
        </w:rPr>
        <w:t>cizinci</w:t>
      </w:r>
      <w:r w:rsidR="006F0817" w:rsidRPr="002C310E">
        <w:rPr>
          <w:rFonts w:eastAsia="Calibri" w:cstheme="minorHAnsi"/>
          <w:bCs/>
          <w:sz w:val="24"/>
          <w:szCs w:val="24"/>
        </w:rPr>
        <w:t xml:space="preserve"> a</w:t>
      </w:r>
      <w:r w:rsidR="0031566D" w:rsidRPr="002C310E">
        <w:rPr>
          <w:rFonts w:eastAsia="Calibri" w:cstheme="minorHAnsi"/>
          <w:bCs/>
          <w:sz w:val="24"/>
          <w:szCs w:val="24"/>
        </w:rPr>
        <w:t> zabránit vzniku negativních sociálních jevů</w:t>
      </w:r>
      <w:r w:rsidR="00FA0B9A" w:rsidRPr="002C310E">
        <w:rPr>
          <w:rFonts w:eastAsia="Calibri" w:cstheme="minorHAnsi"/>
          <w:bCs/>
          <w:sz w:val="24"/>
          <w:szCs w:val="24"/>
        </w:rPr>
        <w:t xml:space="preserve">. Základním dokumentem integrační politiky je </w:t>
      </w:r>
      <w:r w:rsidR="005953C2" w:rsidRPr="002C310E">
        <w:rPr>
          <w:rFonts w:eastAsia="Times New Roman" w:cstheme="minorHAnsi"/>
          <w:i/>
          <w:sz w:val="24"/>
          <w:szCs w:val="24"/>
        </w:rPr>
        <w:t>K</w:t>
      </w:r>
      <w:r w:rsidR="005953C2" w:rsidRPr="002C310E">
        <w:rPr>
          <w:rFonts w:eastAsia="Times New Roman" w:cstheme="minorHAnsi"/>
          <w:i/>
          <w:iCs/>
          <w:sz w:val="24"/>
          <w:szCs w:val="24"/>
          <w:lang w:eastAsia="cs-CZ"/>
        </w:rPr>
        <w:t>oncepc</w:t>
      </w:r>
      <w:r w:rsidR="00FA0B9A" w:rsidRPr="002C310E">
        <w:rPr>
          <w:rFonts w:eastAsia="Times New Roman" w:cstheme="minorHAnsi"/>
          <w:i/>
          <w:iCs/>
          <w:sz w:val="24"/>
          <w:szCs w:val="24"/>
          <w:lang w:eastAsia="cs-CZ"/>
        </w:rPr>
        <w:t>e</w:t>
      </w:r>
      <w:r w:rsidR="005953C2" w:rsidRPr="002C310E">
        <w:rPr>
          <w:rFonts w:eastAsia="Times New Roman" w:cstheme="minorHAnsi"/>
          <w:i/>
          <w:iCs/>
          <w:sz w:val="24"/>
          <w:szCs w:val="24"/>
          <w:lang w:eastAsia="cs-CZ"/>
        </w:rPr>
        <w:t xml:space="preserve"> integrace cizinců</w:t>
      </w:r>
      <w:r w:rsidR="005953C2" w:rsidRPr="002C310E">
        <w:rPr>
          <w:rFonts w:eastAsia="Times New Roman" w:cstheme="minorHAnsi"/>
          <w:i/>
          <w:sz w:val="24"/>
          <w:szCs w:val="24"/>
          <w:lang w:eastAsia="cs-CZ"/>
        </w:rPr>
        <w:t xml:space="preserve"> </w:t>
      </w:r>
      <w:r w:rsidR="005953C2" w:rsidRPr="002C310E">
        <w:rPr>
          <w:rFonts w:eastAsia="Times New Roman" w:cstheme="minorHAnsi"/>
          <w:i/>
          <w:iCs/>
          <w:sz w:val="24"/>
          <w:szCs w:val="24"/>
          <w:lang w:eastAsia="cs-CZ"/>
        </w:rPr>
        <w:t>– Ve vzájemném respektu</w:t>
      </w:r>
      <w:r w:rsidR="007408BB" w:rsidRPr="002C310E">
        <w:rPr>
          <w:rFonts w:eastAsia="Times New Roman" w:cstheme="minorHAnsi"/>
          <w:i/>
          <w:iCs/>
          <w:sz w:val="24"/>
          <w:szCs w:val="24"/>
          <w:lang w:eastAsia="cs-CZ"/>
        </w:rPr>
        <w:t xml:space="preserve"> </w:t>
      </w:r>
      <w:r w:rsidR="007408BB" w:rsidRPr="002C310E">
        <w:rPr>
          <w:rFonts w:eastAsia="Times New Roman" w:cstheme="minorHAnsi"/>
          <w:iCs/>
          <w:sz w:val="24"/>
          <w:szCs w:val="24"/>
          <w:lang w:eastAsia="cs-CZ"/>
        </w:rPr>
        <w:t>(dále též „KIC“)</w:t>
      </w:r>
      <w:r>
        <w:rPr>
          <w:rFonts w:eastAsia="Times New Roman" w:cstheme="minorHAnsi"/>
          <w:iCs/>
          <w:sz w:val="24"/>
          <w:szCs w:val="24"/>
          <w:vertAlign w:val="superscript"/>
          <w:lang w:eastAsia="cs-CZ"/>
        </w:rPr>
        <w:footnoteReference w:id="15"/>
      </w:r>
      <w:r w:rsidR="005953C2" w:rsidRPr="002C310E">
        <w:rPr>
          <w:rFonts w:eastAsia="Times New Roman" w:cstheme="minorHAnsi"/>
          <w:iCs/>
          <w:sz w:val="24"/>
          <w:szCs w:val="24"/>
          <w:lang w:eastAsia="cs-CZ"/>
        </w:rPr>
        <w:t>.</w:t>
      </w:r>
      <w:r w:rsidR="00854D3D" w:rsidRPr="002C310E">
        <w:rPr>
          <w:rFonts w:eastAsia="Times New Roman" w:cstheme="minorHAnsi"/>
          <w:sz w:val="24"/>
          <w:szCs w:val="24"/>
        </w:rPr>
        <w:t xml:space="preserve"> Prováděné a</w:t>
      </w:r>
      <w:r w:rsidR="00DA57A2" w:rsidRPr="002C310E">
        <w:rPr>
          <w:rFonts w:eastAsia="Times New Roman" w:cstheme="minorHAnsi"/>
          <w:sz w:val="24"/>
          <w:szCs w:val="24"/>
        </w:rPr>
        <w:t xml:space="preserve">ktivity cílí na </w:t>
      </w:r>
      <w:r w:rsidR="005953C2" w:rsidRPr="002C310E">
        <w:rPr>
          <w:rFonts w:eastAsia="Times New Roman" w:cstheme="minorHAnsi"/>
          <w:sz w:val="24"/>
          <w:szCs w:val="24"/>
        </w:rPr>
        <w:t>legálně pobývající občan</w:t>
      </w:r>
      <w:r w:rsidR="00DA57A2" w:rsidRPr="002C310E">
        <w:rPr>
          <w:rFonts w:eastAsia="Times New Roman" w:cstheme="minorHAnsi"/>
          <w:sz w:val="24"/>
          <w:szCs w:val="24"/>
        </w:rPr>
        <w:t>y</w:t>
      </w:r>
      <w:r w:rsidR="005953C2" w:rsidRPr="002C310E">
        <w:rPr>
          <w:rFonts w:eastAsia="Times New Roman" w:cstheme="minorHAnsi"/>
          <w:sz w:val="24"/>
          <w:szCs w:val="24"/>
        </w:rPr>
        <w:t xml:space="preserve"> třetích zemí</w:t>
      </w:r>
      <w:r w:rsidR="00F26C1A" w:rsidRPr="002C310E">
        <w:rPr>
          <w:rFonts w:eastAsia="Times New Roman" w:cstheme="minorHAnsi"/>
          <w:sz w:val="24"/>
          <w:szCs w:val="24"/>
        </w:rPr>
        <w:t xml:space="preserve">, </w:t>
      </w:r>
      <w:r w:rsidR="005953C2" w:rsidRPr="002C310E">
        <w:rPr>
          <w:rFonts w:eastAsia="Times New Roman" w:cstheme="minorHAnsi"/>
          <w:sz w:val="24"/>
          <w:szCs w:val="24"/>
        </w:rPr>
        <w:t>kteří ne</w:t>
      </w:r>
      <w:r w:rsidR="00241324" w:rsidRPr="002C310E">
        <w:rPr>
          <w:rFonts w:eastAsia="Times New Roman" w:cstheme="minorHAnsi"/>
          <w:sz w:val="24"/>
          <w:szCs w:val="24"/>
        </w:rPr>
        <w:t xml:space="preserve">jsou </w:t>
      </w:r>
      <w:r w:rsidR="00B16E64" w:rsidRPr="002C310E">
        <w:rPr>
          <w:rFonts w:eastAsia="Times New Roman" w:cstheme="minorHAnsi"/>
          <w:sz w:val="24"/>
          <w:szCs w:val="24"/>
        </w:rPr>
        <w:t>ž</w:t>
      </w:r>
      <w:r w:rsidR="00627759" w:rsidRPr="002C310E">
        <w:rPr>
          <w:rFonts w:eastAsia="Times New Roman" w:cstheme="minorHAnsi"/>
          <w:sz w:val="24"/>
          <w:szCs w:val="24"/>
        </w:rPr>
        <w:t>a</w:t>
      </w:r>
      <w:r w:rsidR="00B16E64" w:rsidRPr="002C310E">
        <w:rPr>
          <w:rFonts w:eastAsia="Times New Roman" w:cstheme="minorHAnsi"/>
          <w:sz w:val="24"/>
          <w:szCs w:val="24"/>
        </w:rPr>
        <w:t>da</w:t>
      </w:r>
      <w:r w:rsidR="00241324" w:rsidRPr="002C310E">
        <w:rPr>
          <w:rFonts w:eastAsia="Times New Roman" w:cstheme="minorHAnsi"/>
          <w:sz w:val="24"/>
          <w:szCs w:val="24"/>
        </w:rPr>
        <w:t>teli</w:t>
      </w:r>
      <w:r w:rsidR="00B16E64" w:rsidRPr="002C310E">
        <w:rPr>
          <w:rFonts w:eastAsia="Times New Roman" w:cstheme="minorHAnsi"/>
          <w:sz w:val="24"/>
          <w:szCs w:val="24"/>
        </w:rPr>
        <w:t xml:space="preserve"> </w:t>
      </w:r>
      <w:r w:rsidR="005953C2" w:rsidRPr="002C310E">
        <w:rPr>
          <w:rFonts w:eastAsia="Times New Roman" w:cstheme="minorHAnsi"/>
          <w:sz w:val="24"/>
          <w:szCs w:val="24"/>
        </w:rPr>
        <w:t>o mezinárodní ochranu</w:t>
      </w:r>
      <w:r w:rsidR="00F26C1A" w:rsidRPr="002C310E">
        <w:rPr>
          <w:rFonts w:eastAsia="Times New Roman" w:cstheme="minorHAnsi"/>
          <w:sz w:val="24"/>
          <w:szCs w:val="24"/>
        </w:rPr>
        <w:t>,</w:t>
      </w:r>
      <w:r w:rsidR="00DA57A2" w:rsidRPr="002C310E">
        <w:rPr>
          <w:rFonts w:eastAsia="Times New Roman" w:cstheme="minorHAnsi"/>
          <w:sz w:val="24"/>
          <w:szCs w:val="24"/>
        </w:rPr>
        <w:t xml:space="preserve"> a také na </w:t>
      </w:r>
      <w:r w:rsidR="005953C2" w:rsidRPr="002C310E">
        <w:rPr>
          <w:rFonts w:eastAsia="Times New Roman" w:cstheme="minorHAnsi"/>
          <w:sz w:val="24"/>
          <w:szCs w:val="24"/>
        </w:rPr>
        <w:t>azylant</w:t>
      </w:r>
      <w:r w:rsidR="00DA57A2" w:rsidRPr="002C310E">
        <w:rPr>
          <w:rFonts w:eastAsia="Times New Roman" w:cstheme="minorHAnsi"/>
          <w:sz w:val="24"/>
          <w:szCs w:val="24"/>
        </w:rPr>
        <w:t>y</w:t>
      </w:r>
      <w:r w:rsidR="005953C2" w:rsidRPr="002C310E">
        <w:rPr>
          <w:rFonts w:eastAsia="Times New Roman" w:cstheme="minorHAnsi"/>
          <w:sz w:val="24"/>
          <w:szCs w:val="24"/>
        </w:rPr>
        <w:t xml:space="preserve"> a držitel</w:t>
      </w:r>
      <w:r w:rsidR="00DA57A2" w:rsidRPr="002C310E">
        <w:rPr>
          <w:rFonts w:eastAsia="Times New Roman" w:cstheme="minorHAnsi"/>
          <w:sz w:val="24"/>
          <w:szCs w:val="24"/>
        </w:rPr>
        <w:t>e</w:t>
      </w:r>
      <w:r w:rsidR="005953C2" w:rsidRPr="002C310E">
        <w:rPr>
          <w:rFonts w:eastAsia="Times New Roman" w:cstheme="minorHAnsi"/>
          <w:sz w:val="24"/>
          <w:szCs w:val="24"/>
        </w:rPr>
        <w:t xml:space="preserve"> doplňkové ochrany</w:t>
      </w:r>
      <w:r w:rsidR="00730BBD" w:rsidRPr="002C310E">
        <w:rPr>
          <w:rFonts w:eastAsia="Times New Roman" w:cstheme="minorHAnsi"/>
          <w:sz w:val="24"/>
          <w:szCs w:val="24"/>
        </w:rPr>
        <w:t>.</w:t>
      </w:r>
      <w:r w:rsidR="005953C2" w:rsidRPr="002C310E">
        <w:rPr>
          <w:rFonts w:eastAsia="Times New Roman" w:cstheme="minorHAnsi"/>
          <w:sz w:val="24"/>
          <w:szCs w:val="24"/>
        </w:rPr>
        <w:t xml:space="preserve"> </w:t>
      </w:r>
      <w:r w:rsidR="00730BBD" w:rsidRPr="002C310E">
        <w:rPr>
          <w:rFonts w:eastAsia="Calibri" w:cstheme="minorHAnsi"/>
          <w:sz w:val="24"/>
          <w:szCs w:val="24"/>
        </w:rPr>
        <w:t>Cizincům musí být umožněno, aby</w:t>
      </w:r>
      <w:r w:rsidR="00B16E64" w:rsidRPr="002C310E">
        <w:rPr>
          <w:rFonts w:eastAsia="Calibri" w:cstheme="minorHAnsi"/>
          <w:sz w:val="24"/>
          <w:szCs w:val="24"/>
        </w:rPr>
        <w:t xml:space="preserve"> </w:t>
      </w:r>
      <w:r w:rsidR="005953C2" w:rsidRPr="002C310E">
        <w:rPr>
          <w:rFonts w:eastAsia="Times New Roman" w:cstheme="minorHAnsi"/>
          <w:sz w:val="24"/>
          <w:szCs w:val="24"/>
        </w:rPr>
        <w:t>znali svá práva</w:t>
      </w:r>
      <w:r w:rsidR="00F26C1A" w:rsidRPr="002C310E">
        <w:rPr>
          <w:rFonts w:eastAsia="Times New Roman" w:cstheme="minorHAnsi"/>
          <w:sz w:val="24"/>
          <w:szCs w:val="24"/>
        </w:rPr>
        <w:t xml:space="preserve">, </w:t>
      </w:r>
      <w:r w:rsidR="005953C2" w:rsidRPr="002C310E">
        <w:rPr>
          <w:rFonts w:eastAsia="Times New Roman" w:cstheme="minorHAnsi"/>
          <w:sz w:val="24"/>
          <w:szCs w:val="24"/>
        </w:rPr>
        <w:t>byli schopni dostát svým povinnostem,</w:t>
      </w:r>
      <w:r w:rsidR="00B16E64" w:rsidRPr="002C310E">
        <w:rPr>
          <w:rFonts w:eastAsia="Times New Roman" w:cstheme="minorHAnsi"/>
          <w:sz w:val="24"/>
          <w:szCs w:val="24"/>
        </w:rPr>
        <w:t xml:space="preserve"> </w:t>
      </w:r>
      <w:r w:rsidR="005953C2" w:rsidRPr="002C310E">
        <w:rPr>
          <w:rFonts w:eastAsia="Times New Roman" w:cstheme="minorHAnsi"/>
          <w:sz w:val="24"/>
          <w:szCs w:val="24"/>
        </w:rPr>
        <w:t>o</w:t>
      </w:r>
      <w:r w:rsidR="00B16E64" w:rsidRPr="002C310E">
        <w:rPr>
          <w:rFonts w:eastAsia="Times New Roman" w:cstheme="minorHAnsi"/>
          <w:sz w:val="24"/>
          <w:szCs w:val="24"/>
        </w:rPr>
        <w:t>rientovali se v novém prostředí</w:t>
      </w:r>
      <w:r w:rsidR="00241324" w:rsidRPr="002C310E">
        <w:rPr>
          <w:rFonts w:eastAsia="Times New Roman" w:cstheme="minorHAnsi"/>
          <w:sz w:val="24"/>
          <w:szCs w:val="24"/>
        </w:rPr>
        <w:t xml:space="preserve">, </w:t>
      </w:r>
      <w:r w:rsidR="005953C2" w:rsidRPr="002C310E">
        <w:rPr>
          <w:rFonts w:eastAsia="Times New Roman" w:cstheme="minorHAnsi"/>
          <w:sz w:val="24"/>
          <w:szCs w:val="24"/>
        </w:rPr>
        <w:t>poznali způsob života v ČR, byli schopni komunikovat v českém jazyce,</w:t>
      </w:r>
      <w:r w:rsidR="00B16E64" w:rsidRPr="002C310E">
        <w:rPr>
          <w:rFonts w:eastAsia="Times New Roman" w:cstheme="minorHAnsi"/>
          <w:sz w:val="24"/>
          <w:szCs w:val="24"/>
        </w:rPr>
        <w:t xml:space="preserve"> </w:t>
      </w:r>
      <w:r w:rsidR="002651DD" w:rsidRPr="002C310E">
        <w:rPr>
          <w:rFonts w:eastAsia="Times New Roman" w:cstheme="minorHAnsi"/>
          <w:sz w:val="24"/>
          <w:szCs w:val="24"/>
        </w:rPr>
        <w:t>byli samostatnými a </w:t>
      </w:r>
      <w:r w:rsidR="005953C2" w:rsidRPr="002C310E">
        <w:rPr>
          <w:rFonts w:eastAsia="Times New Roman" w:cstheme="minorHAnsi"/>
          <w:sz w:val="24"/>
          <w:szCs w:val="24"/>
        </w:rPr>
        <w:t>soběstačnými p</w:t>
      </w:r>
      <w:r w:rsidR="00B16E64" w:rsidRPr="002C310E">
        <w:rPr>
          <w:rFonts w:eastAsia="Times New Roman" w:cstheme="minorHAnsi"/>
          <w:sz w:val="24"/>
          <w:szCs w:val="24"/>
        </w:rPr>
        <w:t xml:space="preserve">o stránce sociální i ekonomické a </w:t>
      </w:r>
      <w:r w:rsidR="00F26C1A" w:rsidRPr="002C310E">
        <w:rPr>
          <w:rFonts w:eastAsia="Times New Roman" w:cstheme="minorHAnsi"/>
          <w:sz w:val="24"/>
          <w:szCs w:val="24"/>
        </w:rPr>
        <w:t xml:space="preserve">rovněž </w:t>
      </w:r>
      <w:r w:rsidR="005953C2" w:rsidRPr="002C310E">
        <w:rPr>
          <w:rFonts w:eastAsia="Times New Roman" w:cstheme="minorHAnsi"/>
          <w:sz w:val="24"/>
          <w:szCs w:val="24"/>
        </w:rPr>
        <w:t>měli dostatek informací o tom, kde naleznou pomoc a podporu v případě potřeby.</w:t>
      </w:r>
    </w:p>
    <w:p w14:paraId="3BFF5DB8" w14:textId="59C7A77C" w:rsidR="00797B1E" w:rsidRPr="002C310E" w:rsidRDefault="00F04DCF" w:rsidP="00CA3D82">
      <w:pPr>
        <w:spacing w:after="120" w:line="240" w:lineRule="auto"/>
        <w:jc w:val="both"/>
        <w:rPr>
          <w:rFonts w:eastAsia="Calibri" w:cstheme="minorHAnsi"/>
          <w:sz w:val="24"/>
          <w:szCs w:val="24"/>
        </w:rPr>
      </w:pPr>
      <w:r w:rsidRPr="0015690E">
        <w:rPr>
          <w:rFonts w:eastAsia="Times New Roman" w:cstheme="minorHAnsi"/>
          <w:b/>
          <w:sz w:val="24"/>
          <w:szCs w:val="24"/>
        </w:rPr>
        <w:t>2.</w:t>
      </w:r>
      <w:r w:rsidR="001516B6" w:rsidRPr="0015690E">
        <w:rPr>
          <w:rFonts w:eastAsia="Times New Roman" w:cstheme="minorHAnsi"/>
          <w:b/>
          <w:sz w:val="24"/>
          <w:szCs w:val="24"/>
        </w:rPr>
        <w:t>7</w:t>
      </w:r>
      <w:r w:rsidRPr="002C310E">
        <w:rPr>
          <w:rFonts w:eastAsia="Times New Roman" w:cstheme="minorHAnsi"/>
          <w:sz w:val="24"/>
          <w:szCs w:val="24"/>
        </w:rPr>
        <w:t xml:space="preserve"> </w:t>
      </w:r>
      <w:r w:rsidR="00B16E64" w:rsidRPr="002C310E">
        <w:rPr>
          <w:rFonts w:eastAsia="Times New Roman" w:cstheme="minorHAnsi"/>
          <w:sz w:val="24"/>
          <w:szCs w:val="24"/>
        </w:rPr>
        <w:t xml:space="preserve">V oblasti azylu </w:t>
      </w:r>
      <w:r w:rsidR="006E5421" w:rsidRPr="002C310E">
        <w:rPr>
          <w:rFonts w:eastAsia="Times New Roman" w:cstheme="minorHAnsi"/>
          <w:sz w:val="24"/>
          <w:szCs w:val="24"/>
        </w:rPr>
        <w:t>vychází národní systém ČR ze společného evropského azylového systému a</w:t>
      </w:r>
      <w:r w:rsidR="00A63CC0">
        <w:rPr>
          <w:rFonts w:eastAsia="Times New Roman" w:cstheme="minorHAnsi"/>
          <w:sz w:val="24"/>
          <w:szCs w:val="24"/>
        </w:rPr>
        <w:t> </w:t>
      </w:r>
      <w:r w:rsidR="006E5421" w:rsidRPr="002C310E">
        <w:rPr>
          <w:rFonts w:eastAsia="Times New Roman" w:cstheme="minorHAnsi"/>
          <w:sz w:val="24"/>
          <w:szCs w:val="24"/>
        </w:rPr>
        <w:t xml:space="preserve">využívá právní a praktické nástroje spoluvytvářené </w:t>
      </w:r>
      <w:r w:rsidR="006E5421" w:rsidRPr="002C310E">
        <w:rPr>
          <w:rFonts w:eastAsia="Calibri" w:cstheme="minorHAnsi"/>
          <w:bCs/>
          <w:sz w:val="24"/>
          <w:szCs w:val="24"/>
        </w:rPr>
        <w:t xml:space="preserve">členskými státy a institucemi EU. Má zajistit </w:t>
      </w:r>
      <w:r w:rsidR="00B16E64" w:rsidRPr="002C310E">
        <w:rPr>
          <w:rFonts w:eastAsia="Calibri" w:cstheme="minorHAnsi"/>
          <w:bCs/>
          <w:sz w:val="24"/>
          <w:szCs w:val="24"/>
        </w:rPr>
        <w:t xml:space="preserve">flexibilní kapacity </w:t>
      </w:r>
      <w:r w:rsidR="006E5421" w:rsidRPr="002C310E">
        <w:rPr>
          <w:rFonts w:eastAsia="Calibri" w:cstheme="minorHAnsi"/>
          <w:bCs/>
          <w:sz w:val="24"/>
          <w:szCs w:val="24"/>
        </w:rPr>
        <w:t xml:space="preserve">připravené na </w:t>
      </w:r>
      <w:r w:rsidR="00B16E64" w:rsidRPr="002C310E">
        <w:rPr>
          <w:rFonts w:eastAsia="Calibri" w:cstheme="minorHAnsi"/>
          <w:sz w:val="24"/>
          <w:szCs w:val="24"/>
        </w:rPr>
        <w:t>přijetí většího množství žadatelů o azyl</w:t>
      </w:r>
      <w:r w:rsidR="00BB41DC">
        <w:rPr>
          <w:rFonts w:eastAsia="Calibri" w:cstheme="minorHAnsi"/>
          <w:sz w:val="24"/>
          <w:szCs w:val="24"/>
        </w:rPr>
        <w:t xml:space="preserve"> </w:t>
      </w:r>
      <w:r w:rsidR="00B16E64" w:rsidRPr="002C310E">
        <w:rPr>
          <w:rFonts w:eastAsia="Calibri" w:cstheme="minorHAnsi"/>
          <w:sz w:val="24"/>
          <w:szCs w:val="24"/>
        </w:rPr>
        <w:t>/</w:t>
      </w:r>
      <w:r w:rsidR="00BB41DC">
        <w:rPr>
          <w:rFonts w:eastAsia="Calibri" w:cstheme="minorHAnsi"/>
          <w:sz w:val="24"/>
          <w:szCs w:val="24"/>
        </w:rPr>
        <w:t xml:space="preserve"> </w:t>
      </w:r>
      <w:r w:rsidR="00B16E64" w:rsidRPr="002C310E">
        <w:rPr>
          <w:rFonts w:eastAsia="Calibri" w:cstheme="minorHAnsi"/>
          <w:sz w:val="24"/>
          <w:szCs w:val="24"/>
        </w:rPr>
        <w:t>uprchlíků</w:t>
      </w:r>
      <w:r w:rsidR="006E5421" w:rsidRPr="002C310E">
        <w:rPr>
          <w:rFonts w:eastAsia="Calibri" w:cstheme="minorHAnsi"/>
          <w:sz w:val="24"/>
          <w:szCs w:val="24"/>
        </w:rPr>
        <w:t xml:space="preserve"> a </w:t>
      </w:r>
      <w:r w:rsidR="00F26C1A" w:rsidRPr="002C310E">
        <w:rPr>
          <w:rFonts w:eastAsia="Calibri" w:cstheme="minorHAnsi"/>
          <w:sz w:val="24"/>
          <w:szCs w:val="24"/>
        </w:rPr>
        <w:t xml:space="preserve">zajistit </w:t>
      </w:r>
      <w:r w:rsidRPr="002C310E">
        <w:rPr>
          <w:rFonts w:eastAsia="Calibri" w:cstheme="minorHAnsi"/>
          <w:sz w:val="24"/>
          <w:szCs w:val="24"/>
        </w:rPr>
        <w:t>důstojné zacházení s</w:t>
      </w:r>
      <w:r w:rsidR="006E5421" w:rsidRPr="002C310E">
        <w:rPr>
          <w:rFonts w:eastAsia="Calibri" w:cstheme="minorHAnsi"/>
          <w:sz w:val="24"/>
          <w:szCs w:val="24"/>
        </w:rPr>
        <w:t> </w:t>
      </w:r>
      <w:r w:rsidR="00B16E64" w:rsidRPr="002C310E">
        <w:rPr>
          <w:rFonts w:eastAsia="Calibri" w:cstheme="minorHAnsi"/>
          <w:sz w:val="24"/>
          <w:szCs w:val="24"/>
        </w:rPr>
        <w:t>žadate</w:t>
      </w:r>
      <w:r w:rsidR="00F26C1A" w:rsidRPr="002C310E">
        <w:rPr>
          <w:rFonts w:eastAsia="Calibri" w:cstheme="minorHAnsi"/>
          <w:sz w:val="24"/>
          <w:szCs w:val="24"/>
        </w:rPr>
        <w:t>li</w:t>
      </w:r>
      <w:r w:rsidR="006E5421" w:rsidRPr="002C310E">
        <w:rPr>
          <w:rFonts w:eastAsia="Calibri" w:cstheme="minorHAnsi"/>
          <w:sz w:val="24"/>
          <w:szCs w:val="24"/>
        </w:rPr>
        <w:t xml:space="preserve">, </w:t>
      </w:r>
      <w:r w:rsidR="00B16E64" w:rsidRPr="002C310E">
        <w:rPr>
          <w:rFonts w:eastAsia="Calibri" w:cstheme="minorHAnsi"/>
          <w:sz w:val="24"/>
          <w:szCs w:val="24"/>
        </w:rPr>
        <w:t>azylanty a osobami s udělenou doplňkovou ochranou a</w:t>
      </w:r>
      <w:r w:rsidRPr="002C310E">
        <w:rPr>
          <w:rFonts w:eastAsia="Calibri" w:cstheme="minorHAnsi"/>
          <w:sz w:val="24"/>
          <w:szCs w:val="24"/>
        </w:rPr>
        <w:t xml:space="preserve"> </w:t>
      </w:r>
      <w:r w:rsidR="00241324" w:rsidRPr="002C310E">
        <w:rPr>
          <w:rFonts w:eastAsia="Calibri" w:cstheme="minorHAnsi"/>
          <w:sz w:val="24"/>
          <w:szCs w:val="24"/>
        </w:rPr>
        <w:t xml:space="preserve">také </w:t>
      </w:r>
      <w:r w:rsidRPr="002C310E">
        <w:rPr>
          <w:rFonts w:eastAsia="Calibri" w:cstheme="minorHAnsi"/>
          <w:sz w:val="24"/>
          <w:szCs w:val="24"/>
        </w:rPr>
        <w:t>zvyšování kvality a </w:t>
      </w:r>
      <w:r w:rsidR="00B16E64" w:rsidRPr="002C310E">
        <w:rPr>
          <w:rFonts w:eastAsia="Calibri" w:cstheme="minorHAnsi"/>
          <w:sz w:val="24"/>
          <w:szCs w:val="24"/>
        </w:rPr>
        <w:t>efektivity</w:t>
      </w:r>
      <w:r w:rsidR="00F26C1A" w:rsidRPr="002C310E">
        <w:rPr>
          <w:rFonts w:eastAsia="Calibri" w:cstheme="minorHAnsi"/>
          <w:sz w:val="24"/>
          <w:szCs w:val="24"/>
        </w:rPr>
        <w:t xml:space="preserve"> systému</w:t>
      </w:r>
      <w:r w:rsidR="006E5421" w:rsidRPr="002C310E">
        <w:rPr>
          <w:rFonts w:eastAsia="Calibri" w:cstheme="minorHAnsi"/>
          <w:sz w:val="24"/>
          <w:szCs w:val="24"/>
        </w:rPr>
        <w:t>.</w:t>
      </w:r>
    </w:p>
    <w:p w14:paraId="4EBB25F2" w14:textId="5B711457" w:rsidR="005953C2" w:rsidRPr="002C310E" w:rsidRDefault="00F04DCF" w:rsidP="00CA3D82">
      <w:pPr>
        <w:spacing w:after="120" w:line="240" w:lineRule="auto"/>
        <w:jc w:val="both"/>
        <w:rPr>
          <w:rFonts w:eastAsia="Times New Roman" w:cstheme="minorHAnsi"/>
          <w:sz w:val="24"/>
          <w:szCs w:val="24"/>
          <w:lang w:eastAsia="cs-CZ"/>
        </w:rPr>
      </w:pPr>
      <w:r w:rsidRPr="0015690E">
        <w:rPr>
          <w:rFonts w:eastAsia="Times New Roman" w:cstheme="minorHAnsi"/>
          <w:b/>
          <w:sz w:val="24"/>
          <w:szCs w:val="24"/>
          <w:lang w:val="fr-FR"/>
        </w:rPr>
        <w:t>2.</w:t>
      </w:r>
      <w:r w:rsidR="001516B6" w:rsidRPr="0015690E">
        <w:rPr>
          <w:rFonts w:eastAsia="Times New Roman" w:cstheme="minorHAnsi"/>
          <w:b/>
          <w:sz w:val="24"/>
          <w:szCs w:val="24"/>
          <w:lang w:val="fr-FR"/>
        </w:rPr>
        <w:t>8</w:t>
      </w:r>
      <w:r w:rsidR="00DA57A2" w:rsidRPr="002C310E">
        <w:rPr>
          <w:rFonts w:eastAsia="Times New Roman" w:cstheme="minorHAnsi"/>
          <w:sz w:val="24"/>
          <w:szCs w:val="24"/>
          <w:lang w:val="fr-FR"/>
        </w:rPr>
        <w:t xml:space="preserve"> </w:t>
      </w:r>
      <w:r w:rsidR="00DA57A2" w:rsidRPr="002C310E">
        <w:rPr>
          <w:rFonts w:eastAsia="Calibri" w:cstheme="minorHAnsi"/>
          <w:bCs/>
          <w:sz w:val="24"/>
          <w:szCs w:val="24"/>
        </w:rPr>
        <w:t xml:space="preserve">V oblasti vnější migrace je prioritou </w:t>
      </w:r>
      <w:r w:rsidR="00F26C1A" w:rsidRPr="002C310E">
        <w:rPr>
          <w:rFonts w:eastAsia="Calibri" w:cstheme="minorHAnsi"/>
          <w:bCs/>
          <w:sz w:val="24"/>
          <w:szCs w:val="24"/>
        </w:rPr>
        <w:t xml:space="preserve">ČR </w:t>
      </w:r>
      <w:r w:rsidR="00DA57A2" w:rsidRPr="002C310E">
        <w:rPr>
          <w:rFonts w:eastAsia="Calibri" w:cstheme="minorHAnsi"/>
          <w:bCs/>
          <w:sz w:val="24"/>
          <w:szCs w:val="24"/>
        </w:rPr>
        <w:t xml:space="preserve">pomoci uprchlíkům v zahraničí a tím přispět k prevenci dalších migračních toků a rozvoji postižených zemí při zvládání migračních krizí. </w:t>
      </w:r>
      <w:r w:rsidR="005122FF" w:rsidRPr="002C310E">
        <w:rPr>
          <w:rFonts w:eastAsia="Calibri" w:cstheme="minorHAnsi"/>
          <w:bCs/>
          <w:sz w:val="24"/>
          <w:szCs w:val="24"/>
        </w:rPr>
        <w:t xml:space="preserve">Podpora vychází z </w:t>
      </w:r>
      <w:r w:rsidR="00DA57A2" w:rsidRPr="002C310E">
        <w:rPr>
          <w:rFonts w:eastAsia="Times New Roman" w:cstheme="minorHAnsi"/>
          <w:i/>
          <w:sz w:val="24"/>
          <w:szCs w:val="24"/>
          <w:lang w:val="fr-FR"/>
        </w:rPr>
        <w:t>Koncepce Ministerstva vnitra pro asistenci uprchlíkům a státům pod silnými migračními tlaky</w:t>
      </w:r>
      <w:r w:rsidR="00DA57A2" w:rsidRPr="002C310E">
        <w:rPr>
          <w:rFonts w:eastAsia="Times New Roman" w:cstheme="minorHAnsi"/>
          <w:b/>
          <w:i/>
          <w:sz w:val="24"/>
          <w:szCs w:val="24"/>
          <w:lang w:val="fr-FR"/>
        </w:rPr>
        <w:t xml:space="preserve"> </w:t>
      </w:r>
      <w:r w:rsidR="00DA57A2" w:rsidRPr="002C310E">
        <w:rPr>
          <w:rFonts w:eastAsia="Times New Roman" w:cstheme="minorHAnsi"/>
          <w:sz w:val="24"/>
          <w:szCs w:val="24"/>
          <w:lang w:val="fr-FR"/>
        </w:rPr>
        <w:t>(dále té</w:t>
      </w:r>
      <w:r w:rsidR="00F26C1A" w:rsidRPr="002C310E">
        <w:rPr>
          <w:rFonts w:eastAsia="Times New Roman" w:cstheme="minorHAnsi"/>
          <w:sz w:val="24"/>
          <w:szCs w:val="24"/>
          <w:lang w:val="fr-FR"/>
        </w:rPr>
        <w:t>ž</w:t>
      </w:r>
      <w:r w:rsidR="00DA57A2" w:rsidRPr="002C310E">
        <w:rPr>
          <w:rFonts w:eastAsia="Times New Roman" w:cstheme="minorHAnsi"/>
          <w:sz w:val="24"/>
          <w:szCs w:val="24"/>
          <w:lang w:val="fr-FR"/>
        </w:rPr>
        <w:t xml:space="preserve"> </w:t>
      </w:r>
      <w:r w:rsidR="00DA57A2" w:rsidRPr="002C310E">
        <w:rPr>
          <w:rFonts w:eastAsia="Times New Roman" w:cstheme="minorHAnsi"/>
          <w:iCs/>
          <w:sz w:val="24"/>
          <w:szCs w:val="24"/>
          <w:lang w:eastAsia="cs-CZ"/>
        </w:rPr>
        <w:t>„Koncepce“</w:t>
      </w:r>
      <w:r w:rsidR="00DA57A2" w:rsidRPr="002C310E">
        <w:rPr>
          <w:rFonts w:eastAsia="Times New Roman" w:cstheme="minorHAnsi"/>
          <w:sz w:val="24"/>
          <w:szCs w:val="24"/>
          <w:lang w:val="fr-FR"/>
        </w:rPr>
        <w:t>)</w:t>
      </w:r>
      <w:r>
        <w:rPr>
          <w:rFonts w:eastAsia="Times New Roman" w:cstheme="minorHAnsi"/>
          <w:sz w:val="24"/>
          <w:szCs w:val="24"/>
          <w:vertAlign w:val="superscript"/>
          <w:lang w:val="fr-FR"/>
        </w:rPr>
        <w:footnoteReference w:id="16"/>
      </w:r>
      <w:r w:rsidR="00DA57A2" w:rsidRPr="002C310E">
        <w:rPr>
          <w:rFonts w:eastAsia="Times New Roman" w:cstheme="minorHAnsi"/>
          <w:sz w:val="24"/>
          <w:szCs w:val="24"/>
          <w:lang w:val="fr-FR"/>
        </w:rPr>
        <w:t xml:space="preserve">, jejímž hlavním cílem </w:t>
      </w:r>
      <w:r w:rsidR="00DA57A2" w:rsidRPr="002C310E">
        <w:rPr>
          <w:rFonts w:eastAsia="Times New Roman" w:cstheme="minorHAnsi"/>
          <w:sz w:val="24"/>
          <w:szCs w:val="24"/>
          <w:lang w:eastAsia="cs-CZ"/>
        </w:rPr>
        <w:t>je boj proti nelegální migraci, posilování azylových systémů a přímá pomoc uprchlíkům v ze</w:t>
      </w:r>
      <w:r w:rsidR="006E5421" w:rsidRPr="002C310E">
        <w:rPr>
          <w:rFonts w:eastAsia="Times New Roman" w:cstheme="minorHAnsi"/>
          <w:sz w:val="24"/>
          <w:szCs w:val="24"/>
          <w:lang w:eastAsia="cs-CZ"/>
        </w:rPr>
        <w:t>mích původu i tranzitu migrace.</w:t>
      </w:r>
    </w:p>
    <w:p w14:paraId="7CABA767" w14:textId="4E2EA93D" w:rsidR="00B3528E" w:rsidRPr="002C310E" w:rsidRDefault="00F04DCF" w:rsidP="0015690E">
      <w:pPr>
        <w:tabs>
          <w:tab w:val="left" w:pos="975"/>
        </w:tabs>
        <w:spacing w:after="0" w:line="240" w:lineRule="auto"/>
        <w:jc w:val="both"/>
        <w:rPr>
          <w:rFonts w:eastAsia="Times New Roman" w:cstheme="minorHAnsi"/>
          <w:sz w:val="24"/>
          <w:szCs w:val="24"/>
        </w:rPr>
      </w:pPr>
      <w:r w:rsidRPr="0015690E">
        <w:rPr>
          <w:rFonts w:eastAsia="Times New Roman" w:cstheme="minorHAnsi"/>
          <w:b/>
          <w:color w:val="000000"/>
          <w:sz w:val="24"/>
          <w:szCs w:val="24"/>
        </w:rPr>
        <w:t>2.</w:t>
      </w:r>
      <w:r w:rsidR="009741DB" w:rsidRPr="0015690E">
        <w:rPr>
          <w:rFonts w:eastAsia="Times New Roman" w:cstheme="minorHAnsi"/>
          <w:b/>
          <w:color w:val="000000"/>
          <w:sz w:val="24"/>
          <w:szCs w:val="24"/>
        </w:rPr>
        <w:t>9</w:t>
      </w:r>
      <w:r w:rsidRPr="002C310E">
        <w:rPr>
          <w:rFonts w:eastAsia="Times New Roman" w:cstheme="minorHAnsi"/>
          <w:color w:val="000000"/>
          <w:sz w:val="24"/>
          <w:szCs w:val="24"/>
        </w:rPr>
        <w:t xml:space="preserve"> </w:t>
      </w:r>
      <w:r w:rsidR="006E5421" w:rsidRPr="002C310E">
        <w:rPr>
          <w:rFonts w:eastAsia="Times New Roman" w:cstheme="minorHAnsi"/>
          <w:sz w:val="24"/>
          <w:szCs w:val="24"/>
        </w:rPr>
        <w:t>K naplnění cílů migrační politiky výše uvedených</w:t>
      </w:r>
      <w:r w:rsidR="00807A7A" w:rsidRPr="002C310E">
        <w:rPr>
          <w:rFonts w:eastAsia="Times New Roman" w:cstheme="minorHAnsi"/>
          <w:sz w:val="24"/>
          <w:szCs w:val="24"/>
        </w:rPr>
        <w:t xml:space="preserve"> tematických oblastí (viz odst.</w:t>
      </w:r>
      <w:r w:rsidR="00057174" w:rsidRPr="002C310E">
        <w:rPr>
          <w:rFonts w:eastAsia="Times New Roman" w:cstheme="minorHAnsi"/>
          <w:sz w:val="24"/>
          <w:szCs w:val="24"/>
        </w:rPr>
        <w:t xml:space="preserve"> 2.4</w:t>
      </w:r>
      <w:r w:rsidR="006E5421" w:rsidRPr="002C310E">
        <w:rPr>
          <w:rFonts w:eastAsia="Times New Roman" w:cstheme="minorHAnsi"/>
          <w:sz w:val="24"/>
          <w:szCs w:val="24"/>
        </w:rPr>
        <w:t>)</w:t>
      </w:r>
      <w:r w:rsidR="007B79FE" w:rsidRPr="002C310E">
        <w:rPr>
          <w:rFonts w:eastAsia="Times New Roman" w:cstheme="minorHAnsi"/>
          <w:sz w:val="24"/>
          <w:szCs w:val="24"/>
        </w:rPr>
        <w:t xml:space="preserve"> vynakládá MV </w:t>
      </w:r>
      <w:r w:rsidR="00581D34">
        <w:rPr>
          <w:rFonts w:eastAsia="Times New Roman" w:cstheme="minorHAnsi"/>
          <w:sz w:val="24"/>
          <w:szCs w:val="24"/>
        </w:rPr>
        <w:t xml:space="preserve">peněžní </w:t>
      </w:r>
      <w:r w:rsidR="007B79FE" w:rsidRPr="002C310E">
        <w:rPr>
          <w:rFonts w:eastAsia="Times New Roman" w:cstheme="minorHAnsi"/>
          <w:sz w:val="24"/>
          <w:szCs w:val="24"/>
        </w:rPr>
        <w:t>prostředky z</w:t>
      </w:r>
      <w:r w:rsidR="00581D34">
        <w:rPr>
          <w:rFonts w:eastAsia="Times New Roman" w:cstheme="minorHAnsi"/>
          <w:sz w:val="24"/>
          <w:szCs w:val="24"/>
        </w:rPr>
        <w:t>e</w:t>
      </w:r>
      <w:r w:rsidR="007B79FE" w:rsidRPr="002C310E">
        <w:rPr>
          <w:rFonts w:eastAsia="Times New Roman" w:cstheme="minorHAnsi"/>
          <w:sz w:val="24"/>
          <w:szCs w:val="24"/>
        </w:rPr>
        <w:t xml:space="preserve"> S</w:t>
      </w:r>
      <w:r w:rsidR="005526B2" w:rsidRPr="002C310E">
        <w:rPr>
          <w:rFonts w:eastAsia="Times New Roman" w:cstheme="minorHAnsi"/>
          <w:sz w:val="24"/>
          <w:szCs w:val="24"/>
        </w:rPr>
        <w:t>R</w:t>
      </w:r>
      <w:r w:rsidR="00581D34">
        <w:rPr>
          <w:rFonts w:eastAsia="Times New Roman" w:cstheme="minorHAnsi"/>
          <w:sz w:val="24"/>
          <w:szCs w:val="24"/>
        </w:rPr>
        <w:t xml:space="preserve"> a fondů EU</w:t>
      </w:r>
      <w:r w:rsidR="005526B2" w:rsidRPr="002C310E">
        <w:rPr>
          <w:rFonts w:eastAsia="Times New Roman" w:cstheme="minorHAnsi"/>
          <w:sz w:val="24"/>
          <w:szCs w:val="24"/>
        </w:rPr>
        <w:t xml:space="preserve"> </w:t>
      </w:r>
      <w:r w:rsidR="00C45DE1" w:rsidRPr="002C310E">
        <w:rPr>
          <w:rFonts w:eastAsia="Times New Roman" w:cstheme="minorHAnsi"/>
          <w:sz w:val="24"/>
          <w:szCs w:val="24"/>
        </w:rPr>
        <w:t xml:space="preserve">mj. </w:t>
      </w:r>
      <w:r w:rsidRPr="002C310E">
        <w:rPr>
          <w:rFonts w:eastAsia="Times New Roman" w:cstheme="minorHAnsi"/>
          <w:sz w:val="24"/>
          <w:szCs w:val="24"/>
        </w:rPr>
        <w:t>prostřednictvím čtyř programů</w:t>
      </w:r>
      <w:r w:rsidR="007133F8" w:rsidRPr="002C310E">
        <w:rPr>
          <w:rFonts w:eastAsia="Times New Roman" w:cstheme="minorHAnsi"/>
          <w:sz w:val="24"/>
          <w:szCs w:val="24"/>
        </w:rPr>
        <w:t xml:space="preserve"> (dále též „kontrolované programy“)</w:t>
      </w:r>
      <w:r w:rsidRPr="002C310E">
        <w:rPr>
          <w:rFonts w:eastAsia="Times New Roman" w:cstheme="minorHAnsi"/>
          <w:sz w:val="24"/>
          <w:szCs w:val="24"/>
        </w:rPr>
        <w:t>:</w:t>
      </w:r>
    </w:p>
    <w:p w14:paraId="6042093C" w14:textId="77777777" w:rsidR="00B3528E" w:rsidRPr="002C310E" w:rsidRDefault="00F04DCF" w:rsidP="00F15056">
      <w:pPr>
        <w:pStyle w:val="Odstavecseseznamem"/>
        <w:numPr>
          <w:ilvl w:val="0"/>
          <w:numId w:val="2"/>
        </w:numPr>
        <w:tabs>
          <w:tab w:val="left" w:pos="975"/>
        </w:tabs>
        <w:spacing w:after="0" w:line="240" w:lineRule="auto"/>
        <w:jc w:val="both"/>
        <w:rPr>
          <w:rFonts w:eastAsia="Times New Roman" w:cstheme="minorHAnsi"/>
          <w:sz w:val="24"/>
          <w:szCs w:val="24"/>
        </w:rPr>
      </w:pPr>
      <w:r w:rsidRPr="002C310E">
        <w:rPr>
          <w:rFonts w:eastAsia="Times New Roman" w:cstheme="minorHAnsi"/>
          <w:i/>
          <w:color w:val="000000"/>
          <w:sz w:val="24"/>
          <w:szCs w:val="24"/>
        </w:rPr>
        <w:t xml:space="preserve">Národní program – Fond pro vnitřní bezpečnost </w:t>
      </w:r>
      <w:r w:rsidRPr="002C310E">
        <w:rPr>
          <w:rFonts w:eastAsia="Times New Roman" w:cstheme="minorHAnsi"/>
          <w:color w:val="000000"/>
          <w:sz w:val="24"/>
          <w:szCs w:val="24"/>
        </w:rPr>
        <w:t xml:space="preserve">– část </w:t>
      </w:r>
      <w:r w:rsidRPr="002C310E">
        <w:rPr>
          <w:rFonts w:eastAsia="Times New Roman" w:cstheme="minorHAnsi"/>
          <w:i/>
          <w:color w:val="000000"/>
          <w:sz w:val="24"/>
          <w:szCs w:val="24"/>
        </w:rPr>
        <w:t>Hranice</w:t>
      </w:r>
      <w:r w:rsidR="00A63CC0">
        <w:rPr>
          <w:rFonts w:eastAsia="Times New Roman" w:cstheme="minorHAnsi"/>
          <w:i/>
          <w:color w:val="000000"/>
          <w:sz w:val="24"/>
          <w:szCs w:val="24"/>
        </w:rPr>
        <w:t>;</w:t>
      </w:r>
    </w:p>
    <w:p w14:paraId="60693583" w14:textId="77777777" w:rsidR="00B3528E" w:rsidRPr="002C310E" w:rsidRDefault="00F04DCF" w:rsidP="00F15056">
      <w:pPr>
        <w:pStyle w:val="Odstavecseseznamem"/>
        <w:numPr>
          <w:ilvl w:val="0"/>
          <w:numId w:val="2"/>
        </w:numPr>
        <w:tabs>
          <w:tab w:val="left" w:pos="975"/>
        </w:tabs>
        <w:spacing w:after="0" w:line="240" w:lineRule="auto"/>
        <w:jc w:val="both"/>
        <w:rPr>
          <w:rFonts w:eastAsia="Times New Roman" w:cstheme="minorHAnsi"/>
          <w:sz w:val="24"/>
          <w:szCs w:val="24"/>
        </w:rPr>
      </w:pPr>
      <w:r w:rsidRPr="002C310E">
        <w:rPr>
          <w:rFonts w:eastAsia="Times New Roman" w:cstheme="minorHAnsi"/>
          <w:i/>
          <w:color w:val="000000"/>
          <w:sz w:val="24"/>
          <w:szCs w:val="24"/>
        </w:rPr>
        <w:t>Národní program – Azylový, migrační a integrační fond</w:t>
      </w:r>
      <w:r w:rsidRPr="002C310E">
        <w:rPr>
          <w:rFonts w:eastAsia="Times New Roman" w:cstheme="minorHAnsi"/>
          <w:color w:val="000000"/>
          <w:sz w:val="24"/>
          <w:szCs w:val="24"/>
        </w:rPr>
        <w:t>;</w:t>
      </w:r>
    </w:p>
    <w:p w14:paraId="3F36BFF3" w14:textId="77777777" w:rsidR="00B3528E" w:rsidRPr="002C310E" w:rsidRDefault="00F04DCF" w:rsidP="00F15056">
      <w:pPr>
        <w:pStyle w:val="Odstavecseseznamem"/>
        <w:numPr>
          <w:ilvl w:val="0"/>
          <w:numId w:val="2"/>
        </w:numPr>
        <w:tabs>
          <w:tab w:val="left" w:pos="975"/>
        </w:tabs>
        <w:spacing w:after="0" w:line="240" w:lineRule="auto"/>
        <w:jc w:val="both"/>
        <w:rPr>
          <w:rFonts w:eastAsia="Times New Roman" w:cstheme="minorHAnsi"/>
          <w:sz w:val="24"/>
          <w:szCs w:val="24"/>
        </w:rPr>
      </w:pPr>
      <w:r w:rsidRPr="002C310E">
        <w:rPr>
          <w:rFonts w:eastAsia="Times New Roman" w:cstheme="minorHAnsi"/>
          <w:i/>
          <w:color w:val="000000"/>
          <w:sz w:val="24"/>
          <w:szCs w:val="24"/>
        </w:rPr>
        <w:t>Státní integrační program</w:t>
      </w:r>
      <w:r w:rsidRPr="002C310E">
        <w:rPr>
          <w:rFonts w:eastAsia="Times New Roman" w:cstheme="minorHAnsi"/>
          <w:color w:val="000000"/>
          <w:sz w:val="24"/>
          <w:szCs w:val="24"/>
        </w:rPr>
        <w:t>;</w:t>
      </w:r>
    </w:p>
    <w:p w14:paraId="326EB38E" w14:textId="77777777" w:rsidR="004A738C" w:rsidRPr="002C310E" w:rsidRDefault="00F04DCF" w:rsidP="00F15056">
      <w:pPr>
        <w:pStyle w:val="Odstavecseseznamem"/>
        <w:numPr>
          <w:ilvl w:val="0"/>
          <w:numId w:val="2"/>
        </w:numPr>
        <w:tabs>
          <w:tab w:val="left" w:pos="975"/>
        </w:tabs>
        <w:spacing w:after="120" w:line="240" w:lineRule="auto"/>
        <w:contextualSpacing w:val="0"/>
        <w:jc w:val="both"/>
        <w:rPr>
          <w:rFonts w:eastAsia="Times New Roman" w:cstheme="minorHAnsi"/>
          <w:sz w:val="24"/>
          <w:szCs w:val="24"/>
        </w:rPr>
      </w:pPr>
      <w:r w:rsidRPr="002C310E">
        <w:rPr>
          <w:rFonts w:eastAsia="Times New Roman" w:cstheme="minorHAnsi"/>
          <w:i/>
          <w:color w:val="000000"/>
          <w:sz w:val="24"/>
          <w:szCs w:val="24"/>
        </w:rPr>
        <w:t>Program Ministerstva vnitra na asistenci uprchlíkům v regionech původu a prevenci velkých migračních pohybů.</w:t>
      </w:r>
    </w:p>
    <w:p w14:paraId="5BEB261A" w14:textId="6F1F5ECD" w:rsidR="006F1299" w:rsidRPr="002C310E" w:rsidRDefault="00F04DCF" w:rsidP="00CA3D82">
      <w:pPr>
        <w:tabs>
          <w:tab w:val="left" w:pos="975"/>
        </w:tabs>
        <w:spacing w:after="120" w:line="240" w:lineRule="auto"/>
        <w:jc w:val="both"/>
        <w:rPr>
          <w:rFonts w:eastAsia="Times New Roman" w:cstheme="minorHAnsi"/>
          <w:color w:val="000000"/>
          <w:sz w:val="24"/>
          <w:szCs w:val="24"/>
        </w:rPr>
      </w:pPr>
      <w:r w:rsidRPr="00A77E3A">
        <w:rPr>
          <w:rFonts w:eastAsia="Times New Roman" w:cstheme="minorHAnsi"/>
          <w:b/>
          <w:sz w:val="24"/>
          <w:szCs w:val="24"/>
        </w:rPr>
        <w:t>2.10</w:t>
      </w:r>
      <w:r w:rsidRPr="002C310E">
        <w:rPr>
          <w:rFonts w:eastAsia="Times New Roman" w:cstheme="minorHAnsi"/>
          <w:sz w:val="24"/>
          <w:szCs w:val="24"/>
        </w:rPr>
        <w:t xml:space="preserve"> </w:t>
      </w:r>
      <w:r w:rsidRPr="002C310E">
        <w:rPr>
          <w:rFonts w:eastAsia="Times New Roman" w:cstheme="minorHAnsi"/>
          <w:iCs/>
          <w:sz w:val="24"/>
          <w:szCs w:val="24"/>
          <w:lang w:eastAsia="cs-CZ"/>
        </w:rPr>
        <w:t xml:space="preserve">Obecným cílem </w:t>
      </w:r>
      <w:r w:rsidRPr="002C310E">
        <w:rPr>
          <w:rFonts w:eastAsia="Times New Roman" w:cstheme="minorHAnsi"/>
          <w:color w:val="000000"/>
          <w:sz w:val="24"/>
          <w:szCs w:val="24"/>
        </w:rPr>
        <w:t>NP ISF</w:t>
      </w:r>
      <w:r w:rsidR="008402A5" w:rsidRPr="002C310E">
        <w:rPr>
          <w:rFonts w:eastAsia="Times New Roman" w:cstheme="minorHAnsi"/>
          <w:color w:val="000000"/>
          <w:sz w:val="24"/>
          <w:szCs w:val="24"/>
        </w:rPr>
        <w:t xml:space="preserve"> </w:t>
      </w:r>
      <w:r w:rsidRPr="002C310E">
        <w:rPr>
          <w:rFonts w:eastAsia="Times New Roman" w:cstheme="minorHAnsi"/>
          <w:color w:val="000000"/>
          <w:sz w:val="24"/>
          <w:szCs w:val="24"/>
        </w:rPr>
        <w:t xml:space="preserve">– části </w:t>
      </w:r>
      <w:r w:rsidRPr="002C310E">
        <w:rPr>
          <w:rFonts w:eastAsia="Times New Roman" w:cstheme="minorHAnsi"/>
          <w:i/>
          <w:color w:val="000000"/>
          <w:sz w:val="24"/>
          <w:szCs w:val="24"/>
        </w:rPr>
        <w:t>Hranice</w:t>
      </w:r>
      <w:r>
        <w:rPr>
          <w:rStyle w:val="Znakapoznpodarou"/>
          <w:rFonts w:eastAsia="Times New Roman" w:cstheme="minorHAnsi"/>
          <w:i/>
          <w:color w:val="000000"/>
          <w:sz w:val="24"/>
          <w:szCs w:val="24"/>
        </w:rPr>
        <w:footnoteReference w:id="17"/>
      </w:r>
      <w:r w:rsidRPr="002C310E">
        <w:rPr>
          <w:rFonts w:eastAsia="Times New Roman" w:cstheme="minorHAnsi"/>
          <w:color w:val="000000"/>
          <w:sz w:val="24"/>
          <w:szCs w:val="24"/>
        </w:rPr>
        <w:t xml:space="preserve"> </w:t>
      </w:r>
      <w:r w:rsidRPr="002C310E">
        <w:rPr>
          <w:rFonts w:eastAsia="Times New Roman" w:cstheme="minorHAnsi"/>
          <w:iCs/>
          <w:sz w:val="24"/>
          <w:szCs w:val="24"/>
          <w:lang w:eastAsia="cs-CZ"/>
        </w:rPr>
        <w:t xml:space="preserve">je podpora společné vízové politiky a ochrana vnějších hranic členských států schengenského prostoru. NP ISF byl schválen rozhodnutím Evropské komise (dále též „EK“) dne 19. března 2015. Programovým obdobím </w:t>
      </w:r>
      <w:r w:rsidR="009475BF" w:rsidRPr="002C310E">
        <w:rPr>
          <w:rFonts w:eastAsia="Times New Roman" w:cstheme="minorHAnsi"/>
          <w:iCs/>
          <w:sz w:val="24"/>
          <w:szCs w:val="24"/>
          <w:lang w:eastAsia="cs-CZ"/>
        </w:rPr>
        <w:t>byly</w:t>
      </w:r>
      <w:r w:rsidRPr="002C310E">
        <w:rPr>
          <w:rFonts w:eastAsia="Times New Roman" w:cstheme="minorHAnsi"/>
          <w:iCs/>
          <w:sz w:val="24"/>
          <w:szCs w:val="24"/>
          <w:lang w:eastAsia="cs-CZ"/>
        </w:rPr>
        <w:t xml:space="preserve"> roky</w:t>
      </w:r>
      <w:r w:rsidR="0019759E">
        <w:rPr>
          <w:rFonts w:eastAsia="Times New Roman" w:cstheme="minorHAnsi"/>
          <w:iCs/>
          <w:sz w:val="24"/>
          <w:szCs w:val="24"/>
          <w:lang w:eastAsia="cs-CZ"/>
        </w:rPr>
        <w:br/>
      </w:r>
      <w:r w:rsidRPr="002C310E">
        <w:rPr>
          <w:rFonts w:eastAsia="Times New Roman" w:cstheme="minorHAnsi"/>
          <w:iCs/>
          <w:sz w:val="24"/>
          <w:szCs w:val="24"/>
          <w:lang w:eastAsia="cs-CZ"/>
        </w:rPr>
        <w:t xml:space="preserve">2014–2020, </w:t>
      </w:r>
      <w:r w:rsidR="008402A5" w:rsidRPr="002C310E">
        <w:rPr>
          <w:rFonts w:eastAsia="Times New Roman" w:cstheme="minorHAnsi"/>
          <w:iCs/>
          <w:sz w:val="24"/>
          <w:szCs w:val="24"/>
          <w:lang w:eastAsia="cs-CZ"/>
        </w:rPr>
        <w:t>realizace</w:t>
      </w:r>
      <w:r w:rsidRPr="002C310E">
        <w:rPr>
          <w:rFonts w:eastAsia="Times New Roman" w:cstheme="minorHAnsi"/>
          <w:iCs/>
          <w:sz w:val="24"/>
          <w:szCs w:val="24"/>
          <w:lang w:eastAsia="cs-CZ"/>
        </w:rPr>
        <w:t xml:space="preserve"> programu </w:t>
      </w:r>
      <w:r w:rsidR="00DF7BE6" w:rsidRPr="002C310E">
        <w:rPr>
          <w:rFonts w:eastAsia="Times New Roman" w:cstheme="minorHAnsi"/>
          <w:iCs/>
          <w:sz w:val="24"/>
          <w:szCs w:val="24"/>
          <w:lang w:eastAsia="cs-CZ"/>
        </w:rPr>
        <w:t>s</w:t>
      </w:r>
      <w:r w:rsidRPr="002C310E">
        <w:rPr>
          <w:rFonts w:eastAsia="Times New Roman" w:cstheme="minorHAnsi"/>
          <w:iCs/>
          <w:sz w:val="24"/>
          <w:szCs w:val="24"/>
          <w:lang w:eastAsia="cs-CZ"/>
        </w:rPr>
        <w:t xml:space="preserve">končí v roce 2022. </w:t>
      </w:r>
      <w:r w:rsidR="004A738C" w:rsidRPr="002C310E">
        <w:rPr>
          <w:rFonts w:eastAsia="Times New Roman" w:cstheme="minorHAnsi"/>
          <w:iCs/>
          <w:sz w:val="24"/>
          <w:szCs w:val="24"/>
          <w:lang w:eastAsia="cs-CZ"/>
        </w:rPr>
        <w:t xml:space="preserve">Do června 2020 bylo schváleno k realizaci celkem </w:t>
      </w:r>
      <w:r w:rsidR="002B6F73" w:rsidRPr="002C310E">
        <w:rPr>
          <w:rFonts w:eastAsia="Times New Roman" w:cstheme="minorHAnsi"/>
          <w:iCs/>
          <w:sz w:val="24"/>
          <w:szCs w:val="24"/>
          <w:lang w:eastAsia="cs-CZ"/>
        </w:rPr>
        <w:t xml:space="preserve">11 </w:t>
      </w:r>
      <w:r w:rsidR="004A738C" w:rsidRPr="002C310E">
        <w:rPr>
          <w:rFonts w:eastAsia="Times New Roman" w:cstheme="minorHAnsi"/>
          <w:iCs/>
          <w:sz w:val="24"/>
          <w:szCs w:val="24"/>
          <w:lang w:eastAsia="cs-CZ"/>
        </w:rPr>
        <w:t>projektů</w:t>
      </w:r>
      <w:r w:rsidR="00612210" w:rsidRPr="002C310E">
        <w:rPr>
          <w:rFonts w:eastAsia="Times New Roman" w:cstheme="minorHAnsi"/>
          <w:iCs/>
          <w:sz w:val="24"/>
          <w:szCs w:val="24"/>
          <w:lang w:eastAsia="cs-CZ"/>
        </w:rPr>
        <w:t xml:space="preserve"> </w:t>
      </w:r>
      <w:r w:rsidR="004A738C" w:rsidRPr="002C310E">
        <w:rPr>
          <w:rFonts w:eastAsia="Times New Roman" w:cstheme="minorHAnsi"/>
          <w:iCs/>
          <w:sz w:val="24"/>
          <w:szCs w:val="24"/>
          <w:lang w:eastAsia="cs-CZ"/>
        </w:rPr>
        <w:t xml:space="preserve">za </w:t>
      </w:r>
      <w:r w:rsidR="002B6F73" w:rsidRPr="002C310E">
        <w:rPr>
          <w:rFonts w:eastAsia="Times New Roman" w:cstheme="minorHAnsi"/>
          <w:iCs/>
          <w:sz w:val="24"/>
          <w:szCs w:val="24"/>
          <w:lang w:eastAsia="cs-CZ"/>
        </w:rPr>
        <w:t>453,</w:t>
      </w:r>
      <w:r w:rsidR="002D4FB6" w:rsidRPr="002C310E">
        <w:rPr>
          <w:rFonts w:eastAsia="Times New Roman" w:cstheme="minorHAnsi"/>
          <w:iCs/>
          <w:sz w:val="24"/>
          <w:szCs w:val="24"/>
          <w:lang w:eastAsia="cs-CZ"/>
        </w:rPr>
        <w:t>6</w:t>
      </w:r>
      <w:r w:rsidR="004A738C" w:rsidRPr="002C310E">
        <w:rPr>
          <w:rFonts w:eastAsia="Times New Roman" w:cstheme="minorHAnsi"/>
          <w:iCs/>
          <w:sz w:val="24"/>
          <w:szCs w:val="24"/>
          <w:lang w:eastAsia="cs-CZ"/>
        </w:rPr>
        <w:t xml:space="preserve"> mil. Kč</w:t>
      </w:r>
      <w:r w:rsidR="00D77BBA" w:rsidRPr="002C310E">
        <w:rPr>
          <w:rFonts w:eastAsia="Times New Roman" w:cstheme="minorHAnsi"/>
          <w:iCs/>
          <w:sz w:val="24"/>
          <w:szCs w:val="24"/>
          <w:lang w:eastAsia="cs-CZ"/>
        </w:rPr>
        <w:t xml:space="preserve"> (z toho </w:t>
      </w:r>
      <w:r w:rsidR="002D4FB6" w:rsidRPr="002C310E">
        <w:rPr>
          <w:rFonts w:eastAsia="Times New Roman" w:cstheme="minorHAnsi"/>
          <w:iCs/>
          <w:sz w:val="24"/>
          <w:szCs w:val="24"/>
          <w:lang w:eastAsia="cs-CZ"/>
        </w:rPr>
        <w:t>365,4</w:t>
      </w:r>
      <w:r w:rsidR="00D77BBA" w:rsidRPr="002C310E">
        <w:rPr>
          <w:rFonts w:eastAsia="Times New Roman" w:cstheme="minorHAnsi"/>
          <w:iCs/>
          <w:sz w:val="24"/>
          <w:szCs w:val="24"/>
          <w:lang w:eastAsia="cs-CZ"/>
        </w:rPr>
        <w:t xml:space="preserve"> mil. Kč z </w:t>
      </w:r>
      <w:r w:rsidR="00612210" w:rsidRPr="002C310E">
        <w:rPr>
          <w:rFonts w:eastAsia="Times New Roman" w:cstheme="minorHAnsi"/>
          <w:iCs/>
          <w:sz w:val="24"/>
          <w:szCs w:val="24"/>
          <w:lang w:eastAsia="cs-CZ"/>
        </w:rPr>
        <w:t>prostředků</w:t>
      </w:r>
      <w:r w:rsidR="00D77BBA" w:rsidRPr="002C310E">
        <w:rPr>
          <w:rFonts w:eastAsia="Times New Roman" w:cstheme="minorHAnsi"/>
          <w:iCs/>
          <w:sz w:val="24"/>
          <w:szCs w:val="24"/>
          <w:lang w:eastAsia="cs-CZ"/>
        </w:rPr>
        <w:t xml:space="preserve"> EU)</w:t>
      </w:r>
      <w:r>
        <w:rPr>
          <w:rStyle w:val="Znakapoznpodarou"/>
          <w:rFonts w:eastAsia="Times New Roman" w:cstheme="minorHAnsi"/>
          <w:iCs/>
          <w:sz w:val="24"/>
          <w:szCs w:val="24"/>
          <w:lang w:eastAsia="cs-CZ"/>
        </w:rPr>
        <w:footnoteReference w:id="18"/>
      </w:r>
      <w:r w:rsidR="00D77BBA" w:rsidRPr="002C310E">
        <w:rPr>
          <w:rFonts w:eastAsia="Times New Roman" w:cstheme="minorHAnsi"/>
          <w:iCs/>
          <w:sz w:val="24"/>
          <w:szCs w:val="24"/>
          <w:lang w:eastAsia="cs-CZ"/>
        </w:rPr>
        <w:t>.</w:t>
      </w:r>
      <w:r w:rsidR="004A738C" w:rsidRPr="002C310E">
        <w:rPr>
          <w:rFonts w:eastAsia="Times New Roman" w:cstheme="minorHAnsi"/>
          <w:iCs/>
          <w:sz w:val="24"/>
          <w:szCs w:val="24"/>
          <w:lang w:eastAsia="cs-CZ"/>
        </w:rPr>
        <w:t xml:space="preserve"> </w:t>
      </w:r>
      <w:r w:rsidRPr="002C310E">
        <w:rPr>
          <w:rFonts w:eastAsia="Times New Roman" w:cstheme="minorHAnsi"/>
          <w:iCs/>
          <w:sz w:val="24"/>
          <w:szCs w:val="24"/>
          <w:lang w:eastAsia="cs-CZ"/>
        </w:rPr>
        <w:t>Celková</w:t>
      </w:r>
      <w:r w:rsidR="008402A5" w:rsidRPr="002C310E">
        <w:rPr>
          <w:rFonts w:eastAsia="Times New Roman" w:cstheme="minorHAnsi"/>
          <w:iCs/>
          <w:sz w:val="24"/>
          <w:szCs w:val="24"/>
          <w:lang w:eastAsia="cs-CZ"/>
        </w:rPr>
        <w:t xml:space="preserve"> </w:t>
      </w:r>
      <w:r w:rsidRPr="002C310E">
        <w:rPr>
          <w:rFonts w:eastAsia="Times New Roman" w:cstheme="minorHAnsi"/>
          <w:iCs/>
          <w:sz w:val="24"/>
          <w:szCs w:val="24"/>
          <w:lang w:eastAsia="cs-CZ"/>
        </w:rPr>
        <w:t xml:space="preserve">alokace </w:t>
      </w:r>
      <w:r w:rsidR="002B6F73" w:rsidRPr="002C310E">
        <w:rPr>
          <w:rFonts w:eastAsia="Times New Roman" w:cstheme="minorHAnsi"/>
          <w:iCs/>
          <w:sz w:val="24"/>
          <w:szCs w:val="24"/>
          <w:lang w:eastAsia="cs-CZ"/>
        </w:rPr>
        <w:t xml:space="preserve">z rozpočtu EU </w:t>
      </w:r>
      <w:r w:rsidR="00D77BBA" w:rsidRPr="002C310E">
        <w:rPr>
          <w:rFonts w:eastAsia="Times New Roman" w:cstheme="minorHAnsi"/>
          <w:iCs/>
          <w:sz w:val="24"/>
          <w:szCs w:val="24"/>
          <w:lang w:eastAsia="cs-CZ"/>
        </w:rPr>
        <w:t xml:space="preserve">činí </w:t>
      </w:r>
      <w:r w:rsidR="00612210" w:rsidRPr="002C310E">
        <w:rPr>
          <w:rFonts w:eastAsia="Times New Roman" w:cstheme="minorHAnsi"/>
          <w:iCs/>
          <w:sz w:val="24"/>
          <w:szCs w:val="24"/>
          <w:lang w:eastAsia="cs-CZ"/>
        </w:rPr>
        <w:t>1 212,3 mil. Kč</w:t>
      </w:r>
      <w:r>
        <w:rPr>
          <w:rStyle w:val="Znakapoznpodarou"/>
          <w:rFonts w:eastAsia="Times New Roman" w:cstheme="minorHAnsi"/>
          <w:iCs/>
          <w:sz w:val="24"/>
          <w:szCs w:val="24"/>
          <w:lang w:eastAsia="cs-CZ"/>
        </w:rPr>
        <w:footnoteReference w:id="19"/>
      </w:r>
      <w:r w:rsidR="00612210" w:rsidRPr="002C310E">
        <w:rPr>
          <w:rFonts w:eastAsia="Times New Roman" w:cstheme="minorHAnsi"/>
          <w:iCs/>
          <w:sz w:val="24"/>
          <w:szCs w:val="24"/>
          <w:lang w:eastAsia="cs-CZ"/>
        </w:rPr>
        <w:t xml:space="preserve">, z toho pro část </w:t>
      </w:r>
      <w:r w:rsidR="00612210" w:rsidRPr="002C310E">
        <w:rPr>
          <w:rFonts w:eastAsia="Times New Roman" w:cstheme="minorHAnsi"/>
          <w:i/>
          <w:iCs/>
          <w:sz w:val="24"/>
          <w:szCs w:val="24"/>
          <w:lang w:eastAsia="cs-CZ"/>
        </w:rPr>
        <w:t>Hranice</w:t>
      </w:r>
      <w:r w:rsidR="00612210" w:rsidRPr="002C310E">
        <w:rPr>
          <w:rFonts w:eastAsia="Times New Roman" w:cstheme="minorHAnsi"/>
          <w:iCs/>
          <w:sz w:val="24"/>
          <w:szCs w:val="24"/>
          <w:lang w:eastAsia="cs-CZ"/>
        </w:rPr>
        <w:t xml:space="preserve"> </w:t>
      </w:r>
      <w:r w:rsidR="002D4FB6" w:rsidRPr="002C310E">
        <w:rPr>
          <w:rFonts w:eastAsia="Times New Roman" w:cstheme="minorHAnsi"/>
          <w:iCs/>
          <w:sz w:val="24"/>
          <w:szCs w:val="24"/>
          <w:lang w:eastAsia="cs-CZ"/>
        </w:rPr>
        <w:t xml:space="preserve">je </w:t>
      </w:r>
      <w:r w:rsidR="00797B11" w:rsidRPr="002C310E">
        <w:rPr>
          <w:rFonts w:eastAsia="Times New Roman" w:cstheme="minorHAnsi"/>
          <w:iCs/>
          <w:sz w:val="24"/>
          <w:szCs w:val="24"/>
          <w:lang w:eastAsia="cs-CZ"/>
        </w:rPr>
        <w:t xml:space="preserve">alokováno celkem </w:t>
      </w:r>
      <w:r w:rsidR="00612210" w:rsidRPr="002C310E">
        <w:rPr>
          <w:rFonts w:eastAsia="Times New Roman" w:cstheme="minorHAnsi"/>
          <w:iCs/>
          <w:sz w:val="24"/>
          <w:szCs w:val="24"/>
          <w:lang w:eastAsia="cs-CZ"/>
        </w:rPr>
        <w:t xml:space="preserve">717,7 mil. Kč. </w:t>
      </w:r>
      <w:r w:rsidR="00DF7BE6" w:rsidRPr="002C310E">
        <w:rPr>
          <w:rFonts w:eastAsia="Times New Roman" w:cstheme="minorHAnsi"/>
          <w:iCs/>
          <w:sz w:val="24"/>
          <w:szCs w:val="24"/>
          <w:lang w:eastAsia="cs-CZ"/>
        </w:rPr>
        <w:t xml:space="preserve">Čerpání prostředků NP ISF </w:t>
      </w:r>
      <w:r w:rsidR="0017104D">
        <w:rPr>
          <w:rFonts w:eastAsia="Times New Roman" w:cstheme="minorHAnsi"/>
          <w:iCs/>
          <w:sz w:val="24"/>
          <w:szCs w:val="24"/>
          <w:lang w:eastAsia="cs-CZ"/>
        </w:rPr>
        <w:t xml:space="preserve">– části </w:t>
      </w:r>
      <w:r w:rsidR="0017104D" w:rsidRPr="00AF2905">
        <w:rPr>
          <w:rFonts w:eastAsia="Times New Roman" w:cstheme="minorHAnsi"/>
          <w:i/>
          <w:iCs/>
          <w:sz w:val="24"/>
          <w:szCs w:val="24"/>
          <w:lang w:eastAsia="cs-CZ"/>
        </w:rPr>
        <w:t>Hranice</w:t>
      </w:r>
      <w:r w:rsidR="0017104D">
        <w:rPr>
          <w:rFonts w:eastAsia="Times New Roman" w:cstheme="minorHAnsi"/>
          <w:iCs/>
          <w:sz w:val="24"/>
          <w:szCs w:val="24"/>
          <w:lang w:eastAsia="cs-CZ"/>
        </w:rPr>
        <w:t xml:space="preserve"> </w:t>
      </w:r>
      <w:r w:rsidR="00DF7BE6" w:rsidRPr="002C310E">
        <w:rPr>
          <w:rFonts w:eastAsia="Times New Roman" w:cstheme="minorHAnsi"/>
          <w:iCs/>
          <w:sz w:val="24"/>
          <w:szCs w:val="24"/>
          <w:lang w:eastAsia="cs-CZ"/>
        </w:rPr>
        <w:t>v letech 2017 až 2019 je uvedeno v příloze č. 1</w:t>
      </w:r>
      <w:r w:rsidR="001426EA">
        <w:rPr>
          <w:rFonts w:eastAsia="Times New Roman" w:cstheme="minorHAnsi"/>
          <w:iCs/>
          <w:sz w:val="24"/>
          <w:szCs w:val="24"/>
          <w:lang w:eastAsia="cs-CZ"/>
        </w:rPr>
        <w:t xml:space="preserve"> </w:t>
      </w:r>
      <w:r w:rsidR="001426EA">
        <w:rPr>
          <w:rFonts w:eastAsia="Times New Roman" w:cstheme="minorHAnsi"/>
          <w:sz w:val="24"/>
          <w:szCs w:val="24"/>
        </w:rPr>
        <w:t>tohoto kontrolního závěru</w:t>
      </w:r>
      <w:r w:rsidR="00DF7BE6" w:rsidRPr="002C310E">
        <w:rPr>
          <w:rFonts w:eastAsia="Times New Roman" w:cstheme="minorHAnsi"/>
          <w:iCs/>
          <w:sz w:val="24"/>
          <w:szCs w:val="24"/>
          <w:lang w:eastAsia="cs-CZ"/>
        </w:rPr>
        <w:t>.</w:t>
      </w:r>
    </w:p>
    <w:p w14:paraId="67219347" w14:textId="2A224A01" w:rsidR="006F1299" w:rsidRPr="002C310E" w:rsidRDefault="00F04DCF" w:rsidP="000E1AD1">
      <w:pPr>
        <w:tabs>
          <w:tab w:val="left" w:pos="975"/>
        </w:tabs>
        <w:spacing w:after="120" w:line="240" w:lineRule="auto"/>
        <w:jc w:val="both"/>
        <w:rPr>
          <w:rFonts w:eastAsia="Times New Roman" w:cstheme="minorHAnsi"/>
          <w:iCs/>
          <w:sz w:val="24"/>
          <w:szCs w:val="24"/>
          <w:lang w:eastAsia="cs-CZ"/>
        </w:rPr>
      </w:pPr>
      <w:r w:rsidRPr="00A77E3A">
        <w:rPr>
          <w:rFonts w:eastAsia="Times New Roman" w:cstheme="minorHAnsi"/>
          <w:b/>
          <w:color w:val="000000"/>
          <w:sz w:val="24"/>
          <w:szCs w:val="24"/>
        </w:rPr>
        <w:lastRenderedPageBreak/>
        <w:t>2.</w:t>
      </w:r>
      <w:r w:rsidR="00797B1E" w:rsidRPr="00A77E3A">
        <w:rPr>
          <w:rFonts w:eastAsia="Times New Roman" w:cstheme="minorHAnsi"/>
          <w:b/>
          <w:color w:val="000000"/>
          <w:sz w:val="24"/>
          <w:szCs w:val="24"/>
        </w:rPr>
        <w:t>1</w:t>
      </w:r>
      <w:r w:rsidR="00797B11" w:rsidRPr="00A77E3A">
        <w:rPr>
          <w:rFonts w:eastAsia="Times New Roman" w:cstheme="minorHAnsi"/>
          <w:b/>
          <w:color w:val="000000"/>
          <w:sz w:val="24"/>
          <w:szCs w:val="24"/>
        </w:rPr>
        <w:t>1</w:t>
      </w:r>
      <w:r w:rsidRPr="002C310E">
        <w:rPr>
          <w:rFonts w:eastAsia="Times New Roman" w:cstheme="minorHAnsi"/>
          <w:color w:val="000000"/>
          <w:sz w:val="24"/>
          <w:szCs w:val="24"/>
        </w:rPr>
        <w:t xml:space="preserve"> </w:t>
      </w:r>
      <w:r w:rsidRPr="002C310E">
        <w:rPr>
          <w:rFonts w:eastAsia="Times New Roman" w:cstheme="minorHAnsi"/>
          <w:sz w:val="24"/>
          <w:szCs w:val="24"/>
        </w:rPr>
        <w:t>Obecným cílem</w:t>
      </w:r>
      <w:r w:rsidRPr="002C310E">
        <w:rPr>
          <w:rFonts w:eastAsia="Times New Roman" w:cstheme="minorHAnsi"/>
          <w:iCs/>
          <w:sz w:val="24"/>
          <w:szCs w:val="24"/>
          <w:lang w:eastAsia="cs-CZ"/>
        </w:rPr>
        <w:t xml:space="preserve"> </w:t>
      </w:r>
      <w:r w:rsidR="001443E3" w:rsidRPr="002C310E">
        <w:rPr>
          <w:rFonts w:eastAsia="Times New Roman" w:cstheme="minorHAnsi"/>
          <w:iCs/>
          <w:color w:val="000000"/>
          <w:sz w:val="24"/>
          <w:szCs w:val="24"/>
        </w:rPr>
        <w:t>NP AMIF</w:t>
      </w:r>
      <w:r w:rsidRPr="002C310E">
        <w:rPr>
          <w:rFonts w:eastAsia="Times New Roman" w:cstheme="minorHAnsi"/>
          <w:i/>
          <w:color w:val="000000"/>
          <w:sz w:val="24"/>
          <w:szCs w:val="24"/>
        </w:rPr>
        <w:t xml:space="preserve"> </w:t>
      </w:r>
      <w:r w:rsidRPr="002C310E">
        <w:rPr>
          <w:rFonts w:eastAsia="Times New Roman" w:cstheme="minorHAnsi"/>
          <w:iCs/>
          <w:sz w:val="24"/>
          <w:szCs w:val="24"/>
          <w:lang w:eastAsia="cs-CZ"/>
        </w:rPr>
        <w:t xml:space="preserve">je přispívat k účinnému řízení migračních toků, podpoře integrace státních příslušníků třetích zemí do společnosti, provádění společné azylové politiky a podpoře účinné návratové politiky. NP AMIF byl schválen rozhodnutím EK dne 24. března 2015. Programovým obdobím </w:t>
      </w:r>
      <w:r w:rsidR="009475BF" w:rsidRPr="002C310E">
        <w:rPr>
          <w:rFonts w:eastAsia="Times New Roman" w:cstheme="minorHAnsi"/>
          <w:iCs/>
          <w:sz w:val="24"/>
          <w:szCs w:val="24"/>
          <w:lang w:eastAsia="cs-CZ"/>
        </w:rPr>
        <w:t>byly</w:t>
      </w:r>
      <w:r w:rsidRPr="002C310E">
        <w:rPr>
          <w:rFonts w:eastAsia="Times New Roman" w:cstheme="minorHAnsi"/>
          <w:iCs/>
          <w:sz w:val="24"/>
          <w:szCs w:val="24"/>
          <w:lang w:eastAsia="cs-CZ"/>
        </w:rPr>
        <w:t xml:space="preserve"> roky 2014–2020, </w:t>
      </w:r>
      <w:r w:rsidR="001443E3" w:rsidRPr="002C310E">
        <w:rPr>
          <w:rFonts w:eastAsia="Times New Roman" w:cstheme="minorHAnsi"/>
          <w:iCs/>
          <w:sz w:val="24"/>
          <w:szCs w:val="24"/>
          <w:lang w:eastAsia="cs-CZ"/>
        </w:rPr>
        <w:t>realizace</w:t>
      </w:r>
      <w:r w:rsidRPr="002C310E">
        <w:rPr>
          <w:rFonts w:eastAsia="Times New Roman" w:cstheme="minorHAnsi"/>
          <w:iCs/>
          <w:sz w:val="24"/>
          <w:szCs w:val="24"/>
          <w:lang w:eastAsia="cs-CZ"/>
        </w:rPr>
        <w:t xml:space="preserve"> programu </w:t>
      </w:r>
      <w:r w:rsidR="00DF7BE6" w:rsidRPr="002C310E">
        <w:rPr>
          <w:rFonts w:eastAsia="Times New Roman" w:cstheme="minorHAnsi"/>
          <w:iCs/>
          <w:sz w:val="24"/>
          <w:szCs w:val="24"/>
          <w:lang w:eastAsia="cs-CZ"/>
        </w:rPr>
        <w:t>s</w:t>
      </w:r>
      <w:r w:rsidRPr="002C310E">
        <w:rPr>
          <w:rFonts w:eastAsia="Times New Roman" w:cstheme="minorHAnsi"/>
          <w:iCs/>
          <w:sz w:val="24"/>
          <w:szCs w:val="24"/>
          <w:lang w:eastAsia="cs-CZ"/>
        </w:rPr>
        <w:t>končí v roce 2022.</w:t>
      </w:r>
      <w:r w:rsidR="00797B11" w:rsidRPr="002C310E">
        <w:rPr>
          <w:rFonts w:eastAsia="Times New Roman" w:cstheme="minorHAnsi"/>
          <w:iCs/>
          <w:sz w:val="24"/>
          <w:szCs w:val="24"/>
          <w:lang w:eastAsia="cs-CZ"/>
        </w:rPr>
        <w:t xml:space="preserve"> Do června 2020 bylo schváleno k realizaci celkem 50 projektů za 847,6 mil. Kč (z toho 635,7</w:t>
      </w:r>
      <w:r w:rsidR="00884775">
        <w:rPr>
          <w:rFonts w:eastAsia="Times New Roman" w:cstheme="minorHAnsi"/>
          <w:iCs/>
          <w:sz w:val="24"/>
          <w:szCs w:val="24"/>
          <w:lang w:eastAsia="cs-CZ"/>
        </w:rPr>
        <w:t> </w:t>
      </w:r>
      <w:r w:rsidR="00797B11" w:rsidRPr="002C310E">
        <w:rPr>
          <w:rFonts w:eastAsia="Times New Roman" w:cstheme="minorHAnsi"/>
          <w:iCs/>
          <w:sz w:val="24"/>
          <w:szCs w:val="24"/>
          <w:lang w:eastAsia="cs-CZ"/>
        </w:rPr>
        <w:t>mil.</w:t>
      </w:r>
      <w:r w:rsidR="00884775">
        <w:rPr>
          <w:rFonts w:eastAsia="Times New Roman" w:cstheme="minorHAnsi"/>
          <w:iCs/>
          <w:sz w:val="24"/>
          <w:szCs w:val="24"/>
          <w:lang w:eastAsia="cs-CZ"/>
        </w:rPr>
        <w:t> </w:t>
      </w:r>
      <w:r w:rsidR="00797B11" w:rsidRPr="002C310E">
        <w:rPr>
          <w:rFonts w:eastAsia="Times New Roman" w:cstheme="minorHAnsi"/>
          <w:iCs/>
          <w:sz w:val="24"/>
          <w:szCs w:val="24"/>
          <w:lang w:eastAsia="cs-CZ"/>
        </w:rPr>
        <w:t>Kč z prostředků EU)</w:t>
      </w:r>
      <w:r>
        <w:rPr>
          <w:rStyle w:val="Znakapoznpodarou"/>
          <w:rFonts w:eastAsia="Times New Roman" w:cstheme="minorHAnsi"/>
          <w:iCs/>
          <w:sz w:val="24"/>
          <w:szCs w:val="24"/>
          <w:lang w:eastAsia="cs-CZ"/>
        </w:rPr>
        <w:footnoteReference w:id="20"/>
      </w:r>
      <w:r w:rsidR="00797B11" w:rsidRPr="002C310E">
        <w:rPr>
          <w:rFonts w:eastAsia="Times New Roman" w:cstheme="minorHAnsi"/>
          <w:iCs/>
          <w:sz w:val="24"/>
          <w:szCs w:val="24"/>
          <w:lang w:eastAsia="cs-CZ"/>
        </w:rPr>
        <w:t>.</w:t>
      </w:r>
      <w:r w:rsidR="001443E3" w:rsidRPr="002C310E">
        <w:rPr>
          <w:rFonts w:eastAsia="Times New Roman" w:cstheme="minorHAnsi"/>
          <w:iCs/>
          <w:sz w:val="24"/>
          <w:szCs w:val="24"/>
          <w:lang w:eastAsia="cs-CZ"/>
        </w:rPr>
        <w:t xml:space="preserve"> </w:t>
      </w:r>
      <w:r w:rsidRPr="002C310E">
        <w:rPr>
          <w:rFonts w:eastAsia="Times New Roman" w:cstheme="minorHAnsi"/>
          <w:iCs/>
          <w:sz w:val="24"/>
          <w:szCs w:val="24"/>
          <w:lang w:eastAsia="cs-CZ"/>
        </w:rPr>
        <w:t xml:space="preserve">Celková alokace </w:t>
      </w:r>
      <w:r w:rsidR="00BB55AD" w:rsidRPr="002C310E">
        <w:rPr>
          <w:rFonts w:eastAsia="Times New Roman" w:cstheme="minorHAnsi"/>
          <w:iCs/>
          <w:sz w:val="24"/>
          <w:szCs w:val="24"/>
          <w:lang w:eastAsia="cs-CZ"/>
        </w:rPr>
        <w:t xml:space="preserve">z rozpočtu EU </w:t>
      </w:r>
      <w:r w:rsidRPr="002C310E">
        <w:rPr>
          <w:rFonts w:eastAsia="Times New Roman" w:cstheme="minorHAnsi"/>
          <w:iCs/>
          <w:sz w:val="24"/>
          <w:szCs w:val="24"/>
          <w:lang w:eastAsia="cs-CZ"/>
        </w:rPr>
        <w:t xml:space="preserve">pro realizaci NP AMIF </w:t>
      </w:r>
      <w:r w:rsidR="001443E3" w:rsidRPr="002C310E">
        <w:rPr>
          <w:rFonts w:eastAsia="Times New Roman" w:cstheme="minorHAnsi"/>
          <w:iCs/>
          <w:sz w:val="24"/>
          <w:szCs w:val="24"/>
          <w:lang w:eastAsia="cs-CZ"/>
        </w:rPr>
        <w:t>činí</w:t>
      </w:r>
      <w:r w:rsidRPr="002C310E">
        <w:rPr>
          <w:rFonts w:eastAsia="Times New Roman" w:cstheme="minorHAnsi"/>
          <w:iCs/>
          <w:sz w:val="24"/>
          <w:szCs w:val="24"/>
          <w:lang w:eastAsia="cs-CZ"/>
        </w:rPr>
        <w:t xml:space="preserve"> </w:t>
      </w:r>
      <w:r w:rsidR="00BB55AD" w:rsidRPr="002C310E">
        <w:rPr>
          <w:rFonts w:eastAsia="Times New Roman" w:cstheme="minorHAnsi"/>
          <w:iCs/>
          <w:sz w:val="24"/>
          <w:szCs w:val="24"/>
          <w:lang w:eastAsia="cs-CZ"/>
        </w:rPr>
        <w:t>868,9</w:t>
      </w:r>
      <w:r w:rsidR="00884775">
        <w:rPr>
          <w:rFonts w:eastAsia="Times New Roman" w:cstheme="minorHAnsi"/>
          <w:iCs/>
          <w:sz w:val="24"/>
          <w:szCs w:val="24"/>
          <w:lang w:eastAsia="cs-CZ"/>
        </w:rPr>
        <w:t> mil. </w:t>
      </w:r>
      <w:r w:rsidR="00BB55AD" w:rsidRPr="002C310E">
        <w:rPr>
          <w:rFonts w:eastAsia="Times New Roman" w:cstheme="minorHAnsi"/>
          <w:iCs/>
          <w:sz w:val="24"/>
          <w:szCs w:val="24"/>
          <w:lang w:eastAsia="cs-CZ"/>
        </w:rPr>
        <w:t>Kč</w:t>
      </w:r>
      <w:r w:rsidR="00BB55AD" w:rsidRPr="002C310E">
        <w:rPr>
          <w:rFonts w:eastAsia="Times New Roman" w:cstheme="minorHAnsi"/>
          <w:iCs/>
          <w:sz w:val="24"/>
          <w:szCs w:val="24"/>
          <w:vertAlign w:val="superscript"/>
          <w:lang w:eastAsia="cs-CZ"/>
        </w:rPr>
        <w:t>1</w:t>
      </w:r>
      <w:r w:rsidR="003D6D63">
        <w:rPr>
          <w:rFonts w:eastAsia="Times New Roman" w:cstheme="minorHAnsi"/>
          <w:iCs/>
          <w:sz w:val="24"/>
          <w:szCs w:val="24"/>
          <w:vertAlign w:val="superscript"/>
          <w:lang w:eastAsia="cs-CZ"/>
        </w:rPr>
        <w:t>8</w:t>
      </w:r>
      <w:r w:rsidRPr="002C310E">
        <w:rPr>
          <w:rFonts w:eastAsia="Times New Roman" w:cstheme="minorHAnsi"/>
          <w:iCs/>
          <w:sz w:val="24"/>
          <w:szCs w:val="24"/>
          <w:lang w:eastAsia="cs-CZ"/>
        </w:rPr>
        <w:t>.</w:t>
      </w:r>
      <w:r w:rsidR="00DF7BE6" w:rsidRPr="002C310E">
        <w:rPr>
          <w:rFonts w:eastAsia="Times New Roman" w:cstheme="minorHAnsi"/>
          <w:iCs/>
          <w:sz w:val="24"/>
          <w:szCs w:val="24"/>
          <w:lang w:eastAsia="cs-CZ"/>
        </w:rPr>
        <w:t xml:space="preserve"> Čerpání prostředků NP AMIF v letech 2017 až 2019 je uvedeno v příloze č. 1</w:t>
      </w:r>
      <w:r w:rsidR="009018BA" w:rsidRPr="009018BA">
        <w:rPr>
          <w:rFonts w:eastAsia="Times New Roman" w:cstheme="minorHAnsi"/>
          <w:color w:val="000000"/>
          <w:sz w:val="24"/>
          <w:szCs w:val="24"/>
        </w:rPr>
        <w:t xml:space="preserve"> </w:t>
      </w:r>
      <w:r w:rsidR="009018BA">
        <w:rPr>
          <w:rFonts w:eastAsia="Times New Roman" w:cstheme="minorHAnsi"/>
          <w:color w:val="000000"/>
          <w:sz w:val="24"/>
          <w:szCs w:val="24"/>
        </w:rPr>
        <w:t>tohoto kontrolního závěru</w:t>
      </w:r>
      <w:r w:rsidR="00DF7BE6" w:rsidRPr="002C310E">
        <w:rPr>
          <w:rFonts w:eastAsia="Times New Roman" w:cstheme="minorHAnsi"/>
          <w:iCs/>
          <w:sz w:val="24"/>
          <w:szCs w:val="24"/>
          <w:lang w:eastAsia="cs-CZ"/>
        </w:rPr>
        <w:t>.</w:t>
      </w:r>
    </w:p>
    <w:p w14:paraId="0E1BF0D9" w14:textId="007DD206" w:rsidR="002839A5" w:rsidRPr="002C310E" w:rsidRDefault="00F04DCF" w:rsidP="00745FC6">
      <w:pPr>
        <w:spacing w:after="120" w:line="240" w:lineRule="auto"/>
        <w:jc w:val="both"/>
        <w:rPr>
          <w:rFonts w:eastAsia="Times New Roman" w:cstheme="minorHAnsi"/>
          <w:iCs/>
          <w:sz w:val="24"/>
          <w:szCs w:val="24"/>
          <w:lang w:eastAsia="cs-CZ"/>
        </w:rPr>
      </w:pPr>
      <w:r w:rsidRPr="00A77E3A">
        <w:rPr>
          <w:rFonts w:eastAsia="Times New Roman" w:cstheme="minorHAnsi"/>
          <w:b/>
          <w:color w:val="000000"/>
          <w:sz w:val="24"/>
          <w:szCs w:val="24"/>
        </w:rPr>
        <w:t>2.</w:t>
      </w:r>
      <w:r w:rsidR="00797B1E" w:rsidRPr="00A77E3A">
        <w:rPr>
          <w:rFonts w:eastAsia="Times New Roman" w:cstheme="minorHAnsi"/>
          <w:b/>
          <w:color w:val="000000"/>
          <w:sz w:val="24"/>
          <w:szCs w:val="24"/>
        </w:rPr>
        <w:t>1</w:t>
      </w:r>
      <w:r w:rsidR="00416700" w:rsidRPr="00A77E3A">
        <w:rPr>
          <w:rFonts w:eastAsia="Times New Roman" w:cstheme="minorHAnsi"/>
          <w:b/>
          <w:color w:val="000000"/>
          <w:sz w:val="24"/>
          <w:szCs w:val="24"/>
        </w:rPr>
        <w:t>2</w:t>
      </w:r>
      <w:r w:rsidR="00B02338" w:rsidRPr="002C310E">
        <w:rPr>
          <w:rFonts w:eastAsia="Times New Roman" w:cstheme="minorHAnsi"/>
          <w:color w:val="000000"/>
          <w:sz w:val="24"/>
          <w:szCs w:val="24"/>
        </w:rPr>
        <w:t xml:space="preserve"> </w:t>
      </w:r>
      <w:r w:rsidR="003B66ED" w:rsidRPr="002C310E">
        <w:rPr>
          <w:rFonts w:eastAsia="Times New Roman" w:cstheme="minorHAnsi"/>
          <w:iCs/>
          <w:sz w:val="24"/>
          <w:szCs w:val="24"/>
          <w:lang w:eastAsia="cs-CZ"/>
        </w:rPr>
        <w:t xml:space="preserve">Cílem </w:t>
      </w:r>
      <w:r w:rsidR="001443E3" w:rsidRPr="002C310E">
        <w:rPr>
          <w:rFonts w:eastAsia="Times New Roman" w:cstheme="minorHAnsi"/>
          <w:iCs/>
          <w:color w:val="000000"/>
          <w:sz w:val="24"/>
          <w:szCs w:val="24"/>
        </w:rPr>
        <w:t>SIP</w:t>
      </w:r>
      <w:r w:rsidR="003B66ED" w:rsidRPr="002C310E">
        <w:rPr>
          <w:rFonts w:eastAsia="Times New Roman" w:cstheme="minorHAnsi"/>
          <w:color w:val="000000"/>
          <w:sz w:val="24"/>
          <w:szCs w:val="24"/>
        </w:rPr>
        <w:t xml:space="preserve"> je </w:t>
      </w:r>
      <w:r w:rsidR="003B66ED" w:rsidRPr="002C310E">
        <w:rPr>
          <w:rFonts w:eastAsia="Times New Roman" w:cstheme="minorHAnsi"/>
          <w:iCs/>
          <w:sz w:val="24"/>
          <w:szCs w:val="24"/>
          <w:lang w:eastAsia="cs-CZ"/>
        </w:rPr>
        <w:t>pomoci osobám s uděleným azylem nebo doplňkovou ochranou</w:t>
      </w:r>
      <w:r>
        <w:rPr>
          <w:rStyle w:val="Znakapoznpodarou"/>
          <w:rFonts w:eastAsia="Times New Roman" w:cstheme="minorHAnsi"/>
          <w:iCs/>
          <w:sz w:val="24"/>
          <w:szCs w:val="24"/>
          <w:lang w:eastAsia="cs-CZ"/>
        </w:rPr>
        <w:footnoteReference w:id="21"/>
      </w:r>
      <w:r w:rsidR="003B66ED" w:rsidRPr="002C310E">
        <w:rPr>
          <w:rFonts w:eastAsia="Times New Roman" w:cstheme="minorHAnsi"/>
          <w:iCs/>
          <w:sz w:val="24"/>
          <w:szCs w:val="24"/>
          <w:lang w:eastAsia="cs-CZ"/>
        </w:rPr>
        <w:t xml:space="preserve"> při jejich začlenění do </w:t>
      </w:r>
      <w:r w:rsidR="00544B4E" w:rsidRPr="002C310E">
        <w:rPr>
          <w:rFonts w:eastAsia="Times New Roman" w:cstheme="minorHAnsi"/>
          <w:iCs/>
          <w:sz w:val="24"/>
          <w:szCs w:val="24"/>
          <w:lang w:eastAsia="cs-CZ"/>
        </w:rPr>
        <w:t xml:space="preserve">české </w:t>
      </w:r>
      <w:r w:rsidR="003B66ED" w:rsidRPr="002C310E">
        <w:rPr>
          <w:rFonts w:eastAsia="Times New Roman" w:cstheme="minorHAnsi"/>
          <w:iCs/>
          <w:sz w:val="24"/>
          <w:szCs w:val="24"/>
          <w:lang w:eastAsia="cs-CZ"/>
        </w:rPr>
        <w:t xml:space="preserve">společnosti. </w:t>
      </w:r>
      <w:r w:rsidR="00C004B3" w:rsidRPr="002C310E">
        <w:rPr>
          <w:rFonts w:eastAsia="Times New Roman" w:cstheme="minorHAnsi"/>
          <w:iCs/>
          <w:sz w:val="24"/>
          <w:szCs w:val="24"/>
          <w:lang w:eastAsia="cs-CZ"/>
        </w:rPr>
        <w:t xml:space="preserve">Hlavními oblastmi podpory je bydlení, zaměstnání, vzdělávání, oblast sociální a zdravotní. </w:t>
      </w:r>
      <w:r w:rsidR="001E359B" w:rsidRPr="002C310E">
        <w:rPr>
          <w:rFonts w:eastAsia="Times New Roman" w:cstheme="minorHAnsi"/>
          <w:iCs/>
          <w:sz w:val="24"/>
          <w:szCs w:val="24"/>
          <w:lang w:eastAsia="cs-CZ"/>
        </w:rPr>
        <w:t>SIP</w:t>
      </w:r>
      <w:r w:rsidR="003B66ED" w:rsidRPr="002C310E">
        <w:rPr>
          <w:rFonts w:eastAsia="Times New Roman" w:cstheme="minorHAnsi"/>
          <w:iCs/>
          <w:sz w:val="24"/>
          <w:szCs w:val="24"/>
          <w:lang w:eastAsia="cs-CZ"/>
        </w:rPr>
        <w:t xml:space="preserve"> </w:t>
      </w:r>
      <w:r w:rsidR="002F6B55" w:rsidRPr="002C310E">
        <w:rPr>
          <w:rFonts w:eastAsia="Times New Roman" w:cstheme="minorHAnsi"/>
          <w:iCs/>
          <w:sz w:val="24"/>
          <w:szCs w:val="24"/>
          <w:lang w:eastAsia="cs-CZ"/>
        </w:rPr>
        <w:t xml:space="preserve">je upraven v ustanoveních § 68 až 70 zákona </w:t>
      </w:r>
      <w:r w:rsidR="00735D79" w:rsidRPr="002C310E">
        <w:rPr>
          <w:rFonts w:eastAsia="Times New Roman" w:cstheme="minorHAnsi"/>
          <w:iCs/>
          <w:sz w:val="24"/>
          <w:szCs w:val="24"/>
          <w:lang w:eastAsia="cs-CZ"/>
        </w:rPr>
        <w:t>č. 325/1999 Sb.</w:t>
      </w:r>
      <w:r w:rsidR="003B66ED" w:rsidRPr="002C310E">
        <w:rPr>
          <w:rFonts w:eastAsia="Times New Roman" w:cstheme="minorHAnsi"/>
          <w:iCs/>
          <w:sz w:val="24"/>
          <w:szCs w:val="24"/>
          <w:lang w:eastAsia="cs-CZ"/>
        </w:rPr>
        <w:t xml:space="preserve"> a</w:t>
      </w:r>
      <w:r w:rsidR="0017104D">
        <w:rPr>
          <w:rFonts w:eastAsia="Times New Roman" w:cstheme="minorHAnsi"/>
          <w:iCs/>
          <w:sz w:val="24"/>
          <w:szCs w:val="24"/>
          <w:lang w:eastAsia="cs-CZ"/>
        </w:rPr>
        <w:t> </w:t>
      </w:r>
      <w:r w:rsidR="00544B4E" w:rsidRPr="002C310E">
        <w:rPr>
          <w:rFonts w:eastAsia="Times New Roman" w:cstheme="minorHAnsi"/>
          <w:iCs/>
          <w:sz w:val="24"/>
          <w:szCs w:val="24"/>
          <w:lang w:eastAsia="cs-CZ"/>
        </w:rPr>
        <w:t>byl schválen usnesením vlády č. </w:t>
      </w:r>
      <w:r w:rsidR="002F6B55" w:rsidRPr="002C310E">
        <w:rPr>
          <w:rFonts w:eastAsia="Times New Roman" w:cstheme="minorHAnsi"/>
          <w:iCs/>
          <w:sz w:val="24"/>
          <w:szCs w:val="24"/>
          <w:lang w:eastAsia="cs-CZ"/>
        </w:rPr>
        <w:t>954/2015</w:t>
      </w:r>
      <w:r>
        <w:rPr>
          <w:rFonts w:cstheme="minorHAnsi"/>
          <w:sz w:val="24"/>
          <w:szCs w:val="24"/>
          <w:vertAlign w:val="superscript"/>
          <w:lang w:eastAsia="cs-CZ"/>
        </w:rPr>
        <w:footnoteReference w:id="22"/>
      </w:r>
      <w:r w:rsidR="00C004B3" w:rsidRPr="002C310E">
        <w:rPr>
          <w:rFonts w:eastAsia="Times New Roman" w:cstheme="minorHAnsi"/>
          <w:iCs/>
          <w:sz w:val="24"/>
          <w:szCs w:val="24"/>
          <w:lang w:eastAsia="cs-CZ"/>
        </w:rPr>
        <w:t>. U</w:t>
      </w:r>
      <w:r w:rsidR="002F6B55" w:rsidRPr="002C310E">
        <w:rPr>
          <w:rFonts w:eastAsia="Times New Roman" w:cstheme="minorHAnsi"/>
          <w:iCs/>
          <w:sz w:val="24"/>
          <w:szCs w:val="24"/>
          <w:lang w:eastAsia="cs-CZ"/>
        </w:rPr>
        <w:t>snesením vlády č. 36/2017</w:t>
      </w:r>
      <w:r>
        <w:rPr>
          <w:rFonts w:cstheme="minorHAnsi"/>
          <w:sz w:val="24"/>
          <w:szCs w:val="24"/>
          <w:vertAlign w:val="superscript"/>
          <w:lang w:eastAsia="cs-CZ"/>
        </w:rPr>
        <w:footnoteReference w:id="23"/>
      </w:r>
      <w:r w:rsidR="002F6B55" w:rsidRPr="002C310E">
        <w:rPr>
          <w:rFonts w:eastAsia="Times New Roman" w:cstheme="minorHAnsi"/>
          <w:iCs/>
          <w:sz w:val="24"/>
          <w:szCs w:val="24"/>
          <w:lang w:eastAsia="cs-CZ"/>
        </w:rPr>
        <w:t xml:space="preserve"> byla </w:t>
      </w:r>
      <w:r w:rsidR="00C004B3" w:rsidRPr="002C310E">
        <w:rPr>
          <w:rFonts w:eastAsia="Times New Roman" w:cstheme="minorHAnsi"/>
          <w:iCs/>
          <w:sz w:val="24"/>
          <w:szCs w:val="24"/>
          <w:lang w:eastAsia="cs-CZ"/>
        </w:rPr>
        <w:t xml:space="preserve">aktualizována pravidla pro poskytování </w:t>
      </w:r>
      <w:r w:rsidR="00581D34">
        <w:rPr>
          <w:rFonts w:eastAsia="Times New Roman" w:cstheme="minorHAnsi"/>
          <w:iCs/>
          <w:sz w:val="24"/>
          <w:szCs w:val="24"/>
          <w:lang w:eastAsia="cs-CZ"/>
        </w:rPr>
        <w:t xml:space="preserve">peněžních </w:t>
      </w:r>
      <w:r w:rsidR="00C004B3" w:rsidRPr="002C310E">
        <w:rPr>
          <w:rFonts w:eastAsia="Times New Roman" w:cstheme="minorHAnsi"/>
          <w:iCs/>
          <w:sz w:val="24"/>
          <w:szCs w:val="24"/>
          <w:lang w:eastAsia="cs-CZ"/>
        </w:rPr>
        <w:t>prostředků</w:t>
      </w:r>
      <w:r w:rsidR="002F6B55" w:rsidRPr="002C310E">
        <w:rPr>
          <w:rFonts w:eastAsia="Times New Roman" w:cstheme="minorHAnsi"/>
          <w:iCs/>
          <w:sz w:val="24"/>
          <w:szCs w:val="24"/>
          <w:lang w:eastAsia="cs-CZ"/>
        </w:rPr>
        <w:t xml:space="preserve">. </w:t>
      </w:r>
      <w:r w:rsidR="00E544A2" w:rsidRPr="002C310E">
        <w:rPr>
          <w:rFonts w:eastAsia="Times New Roman" w:cstheme="minorHAnsi"/>
          <w:iCs/>
          <w:sz w:val="24"/>
          <w:szCs w:val="24"/>
          <w:lang w:eastAsia="cs-CZ"/>
        </w:rPr>
        <w:t>Klíčovým dokumentem realizac</w:t>
      </w:r>
      <w:r w:rsidR="00C004B3" w:rsidRPr="002C310E">
        <w:rPr>
          <w:rFonts w:eastAsia="Times New Roman" w:cstheme="minorHAnsi"/>
          <w:iCs/>
          <w:sz w:val="24"/>
          <w:szCs w:val="24"/>
          <w:lang w:eastAsia="cs-CZ"/>
        </w:rPr>
        <w:t>e</w:t>
      </w:r>
      <w:r w:rsidR="00E544A2" w:rsidRPr="002C310E">
        <w:rPr>
          <w:rFonts w:eastAsia="Times New Roman" w:cstheme="minorHAnsi"/>
          <w:iCs/>
          <w:sz w:val="24"/>
          <w:szCs w:val="24"/>
          <w:lang w:eastAsia="cs-CZ"/>
        </w:rPr>
        <w:t xml:space="preserve"> </w:t>
      </w:r>
      <w:r w:rsidR="00C004B3" w:rsidRPr="002C310E">
        <w:rPr>
          <w:rFonts w:eastAsia="Times New Roman" w:cstheme="minorHAnsi"/>
          <w:iCs/>
          <w:sz w:val="24"/>
          <w:szCs w:val="24"/>
          <w:lang w:eastAsia="cs-CZ"/>
        </w:rPr>
        <w:t xml:space="preserve">SIP </w:t>
      </w:r>
      <w:r w:rsidR="00E544A2" w:rsidRPr="002C310E">
        <w:rPr>
          <w:rFonts w:eastAsia="Times New Roman" w:cstheme="minorHAnsi"/>
          <w:iCs/>
          <w:sz w:val="24"/>
          <w:szCs w:val="24"/>
          <w:lang w:eastAsia="cs-CZ"/>
        </w:rPr>
        <w:t xml:space="preserve">je integrační plán </w:t>
      </w:r>
      <w:r w:rsidR="001A0738" w:rsidRPr="002C310E">
        <w:rPr>
          <w:rFonts w:eastAsia="Times New Roman" w:cstheme="minorHAnsi"/>
          <w:iCs/>
          <w:sz w:val="24"/>
          <w:szCs w:val="24"/>
          <w:lang w:eastAsia="cs-CZ"/>
        </w:rPr>
        <w:t xml:space="preserve">oprávněné osoby nebo </w:t>
      </w:r>
      <w:r w:rsidR="00E544A2" w:rsidRPr="002C310E">
        <w:rPr>
          <w:rFonts w:eastAsia="Times New Roman" w:cstheme="minorHAnsi"/>
          <w:iCs/>
          <w:sz w:val="24"/>
          <w:szCs w:val="24"/>
          <w:lang w:eastAsia="cs-CZ"/>
        </w:rPr>
        <w:t>oprávněných osob</w:t>
      </w:r>
      <w:r>
        <w:rPr>
          <w:rStyle w:val="Znakapoznpodarou"/>
          <w:rFonts w:eastAsia="Times New Roman" w:cstheme="minorHAnsi"/>
          <w:iCs/>
          <w:sz w:val="24"/>
          <w:szCs w:val="24"/>
          <w:lang w:eastAsia="cs-CZ"/>
        </w:rPr>
        <w:footnoteReference w:id="24"/>
      </w:r>
      <w:r w:rsidR="00E544A2" w:rsidRPr="002C310E">
        <w:rPr>
          <w:rFonts w:eastAsia="Times New Roman" w:cstheme="minorHAnsi"/>
          <w:iCs/>
          <w:sz w:val="24"/>
          <w:szCs w:val="24"/>
          <w:lang w:eastAsia="cs-CZ"/>
        </w:rPr>
        <w:t xml:space="preserve"> žijících </w:t>
      </w:r>
      <w:r w:rsidR="001A0738" w:rsidRPr="002C310E">
        <w:rPr>
          <w:rFonts w:eastAsia="Times New Roman" w:cstheme="minorHAnsi"/>
          <w:iCs/>
          <w:sz w:val="24"/>
          <w:szCs w:val="24"/>
          <w:lang w:eastAsia="cs-CZ"/>
        </w:rPr>
        <w:t xml:space="preserve">ve společné </w:t>
      </w:r>
      <w:r w:rsidR="00E544A2" w:rsidRPr="002C310E">
        <w:rPr>
          <w:rFonts w:eastAsia="Times New Roman" w:cstheme="minorHAnsi"/>
          <w:iCs/>
          <w:sz w:val="24"/>
          <w:szCs w:val="24"/>
          <w:lang w:eastAsia="cs-CZ"/>
        </w:rPr>
        <w:t xml:space="preserve">domácnosti. </w:t>
      </w:r>
      <w:r w:rsidR="00854D3D" w:rsidRPr="002C310E">
        <w:rPr>
          <w:rFonts w:eastAsia="Times New Roman" w:cstheme="minorHAnsi"/>
          <w:iCs/>
          <w:sz w:val="24"/>
          <w:szCs w:val="24"/>
          <w:lang w:eastAsia="cs-CZ"/>
        </w:rPr>
        <w:t xml:space="preserve">MV na </w:t>
      </w:r>
      <w:r w:rsidR="001E359B" w:rsidRPr="002C310E">
        <w:rPr>
          <w:rFonts w:eastAsia="Times New Roman" w:cstheme="minorHAnsi"/>
          <w:iCs/>
          <w:sz w:val="24"/>
          <w:szCs w:val="24"/>
          <w:lang w:eastAsia="cs-CZ"/>
        </w:rPr>
        <w:t>realizaci poskytuje peněžní prostředky ve prospěch generální</w:t>
      </w:r>
      <w:r w:rsidR="00B709CB" w:rsidRPr="002C310E">
        <w:rPr>
          <w:rFonts w:eastAsia="Times New Roman" w:cstheme="minorHAnsi"/>
          <w:iCs/>
          <w:sz w:val="24"/>
          <w:szCs w:val="24"/>
          <w:lang w:eastAsia="cs-CZ"/>
        </w:rPr>
        <w:t>ho</w:t>
      </w:r>
      <w:r w:rsidR="001E359B" w:rsidRPr="002C310E">
        <w:rPr>
          <w:rFonts w:eastAsia="Times New Roman" w:cstheme="minorHAnsi"/>
          <w:iCs/>
          <w:sz w:val="24"/>
          <w:szCs w:val="24"/>
          <w:lang w:eastAsia="cs-CZ"/>
        </w:rPr>
        <w:t xml:space="preserve"> poskytovatele integračních služeb, kterým je od roku 2017 SUZ MV</w:t>
      </w:r>
      <w:r w:rsidR="00B709CB" w:rsidRPr="002C310E">
        <w:rPr>
          <w:rFonts w:eastAsia="Times New Roman" w:cstheme="minorHAnsi"/>
          <w:iCs/>
          <w:sz w:val="24"/>
          <w:szCs w:val="24"/>
          <w:lang w:eastAsia="cs-CZ"/>
        </w:rPr>
        <w:t xml:space="preserve">. </w:t>
      </w:r>
      <w:r w:rsidR="00533102">
        <w:rPr>
          <w:rFonts w:eastAsia="Times New Roman" w:cstheme="minorHAnsi"/>
          <w:iCs/>
          <w:sz w:val="24"/>
          <w:szCs w:val="24"/>
          <w:lang w:eastAsia="cs-CZ"/>
        </w:rPr>
        <w:t>Objem</w:t>
      </w:r>
      <w:r w:rsidR="00533102" w:rsidRPr="002C310E">
        <w:rPr>
          <w:rFonts w:eastAsia="Times New Roman" w:cstheme="minorHAnsi"/>
          <w:iCs/>
          <w:sz w:val="24"/>
          <w:szCs w:val="24"/>
          <w:lang w:eastAsia="cs-CZ"/>
        </w:rPr>
        <w:t xml:space="preserve"> </w:t>
      </w:r>
      <w:r w:rsidR="00B709CB" w:rsidRPr="002C310E">
        <w:rPr>
          <w:rFonts w:eastAsia="Times New Roman" w:cstheme="minorHAnsi"/>
          <w:iCs/>
          <w:sz w:val="24"/>
          <w:szCs w:val="24"/>
          <w:lang w:eastAsia="cs-CZ"/>
        </w:rPr>
        <w:t xml:space="preserve">těchto prostředků je stanoven </w:t>
      </w:r>
      <w:r w:rsidR="001E359B" w:rsidRPr="002C310E">
        <w:rPr>
          <w:rFonts w:eastAsia="Times New Roman" w:cstheme="minorHAnsi"/>
          <w:iCs/>
          <w:sz w:val="24"/>
          <w:szCs w:val="24"/>
          <w:lang w:eastAsia="cs-CZ"/>
        </w:rPr>
        <w:t>podle počtu op</w:t>
      </w:r>
      <w:r w:rsidR="00B709CB" w:rsidRPr="002C310E">
        <w:rPr>
          <w:rFonts w:eastAsia="Times New Roman" w:cstheme="minorHAnsi"/>
          <w:iCs/>
          <w:sz w:val="24"/>
          <w:szCs w:val="24"/>
          <w:lang w:eastAsia="cs-CZ"/>
        </w:rPr>
        <w:t xml:space="preserve">rávněných osob žijících v jedné </w:t>
      </w:r>
      <w:r w:rsidR="00416700" w:rsidRPr="002C310E">
        <w:rPr>
          <w:rFonts w:eastAsia="Times New Roman" w:cstheme="minorHAnsi"/>
          <w:iCs/>
          <w:sz w:val="24"/>
          <w:szCs w:val="24"/>
          <w:lang w:eastAsia="cs-CZ"/>
        </w:rPr>
        <w:t>domácnosti</w:t>
      </w:r>
      <w:r>
        <w:rPr>
          <w:rStyle w:val="Znakapoznpodarou"/>
          <w:rFonts w:eastAsia="Times New Roman" w:cstheme="minorHAnsi"/>
          <w:iCs/>
          <w:sz w:val="24"/>
          <w:szCs w:val="24"/>
          <w:lang w:eastAsia="cs-CZ"/>
        </w:rPr>
        <w:footnoteReference w:id="25"/>
      </w:r>
      <w:r w:rsidR="00854D3D" w:rsidRPr="002C310E">
        <w:rPr>
          <w:rFonts w:eastAsia="Times New Roman" w:cstheme="minorHAnsi"/>
          <w:iCs/>
          <w:sz w:val="24"/>
          <w:szCs w:val="24"/>
          <w:lang w:eastAsia="cs-CZ"/>
        </w:rPr>
        <w:t>.</w:t>
      </w:r>
      <w:r w:rsidR="00416700" w:rsidRPr="002C310E">
        <w:rPr>
          <w:rFonts w:eastAsia="Times New Roman" w:cstheme="minorHAnsi"/>
          <w:iCs/>
          <w:sz w:val="24"/>
          <w:szCs w:val="24"/>
          <w:lang w:eastAsia="cs-CZ"/>
        </w:rPr>
        <w:t xml:space="preserve"> </w:t>
      </w:r>
      <w:r w:rsidR="00E544A2" w:rsidRPr="002C310E">
        <w:rPr>
          <w:rFonts w:eastAsia="Times New Roman" w:cstheme="minorHAnsi"/>
          <w:iCs/>
          <w:sz w:val="24"/>
          <w:szCs w:val="24"/>
          <w:lang w:eastAsia="cs-CZ"/>
        </w:rPr>
        <w:t xml:space="preserve">Čerpání prostředků </w:t>
      </w:r>
      <w:r w:rsidR="001A0738" w:rsidRPr="002C310E">
        <w:rPr>
          <w:rFonts w:eastAsia="Times New Roman" w:cstheme="minorHAnsi"/>
          <w:iCs/>
          <w:sz w:val="24"/>
          <w:szCs w:val="24"/>
          <w:lang w:eastAsia="cs-CZ"/>
        </w:rPr>
        <w:t>SIP v letech 2017</w:t>
      </w:r>
      <w:r w:rsidR="00F80DC6" w:rsidRPr="002C310E">
        <w:rPr>
          <w:rFonts w:eastAsia="Times New Roman" w:cstheme="minorHAnsi"/>
          <w:iCs/>
          <w:sz w:val="24"/>
          <w:szCs w:val="24"/>
          <w:lang w:eastAsia="cs-CZ"/>
        </w:rPr>
        <w:t xml:space="preserve"> až </w:t>
      </w:r>
      <w:r w:rsidR="00416700" w:rsidRPr="002C310E">
        <w:rPr>
          <w:rFonts w:eastAsia="Times New Roman" w:cstheme="minorHAnsi"/>
          <w:iCs/>
          <w:sz w:val="24"/>
          <w:szCs w:val="24"/>
          <w:lang w:eastAsia="cs-CZ"/>
        </w:rPr>
        <w:t>2019 je uvedeno v příloze č. </w:t>
      </w:r>
      <w:r w:rsidR="001A0738" w:rsidRPr="002C310E">
        <w:rPr>
          <w:rFonts w:eastAsia="Times New Roman" w:cstheme="minorHAnsi"/>
          <w:iCs/>
          <w:sz w:val="24"/>
          <w:szCs w:val="24"/>
          <w:lang w:eastAsia="cs-CZ"/>
        </w:rPr>
        <w:t>1</w:t>
      </w:r>
      <w:r w:rsidR="009018BA" w:rsidRPr="009018BA">
        <w:rPr>
          <w:rFonts w:eastAsia="Times New Roman" w:cstheme="minorHAnsi"/>
          <w:color w:val="000000"/>
          <w:sz w:val="24"/>
          <w:szCs w:val="24"/>
        </w:rPr>
        <w:t xml:space="preserve"> </w:t>
      </w:r>
      <w:r w:rsidR="009018BA">
        <w:rPr>
          <w:rFonts w:eastAsia="Times New Roman" w:cstheme="minorHAnsi"/>
          <w:color w:val="000000"/>
          <w:sz w:val="24"/>
          <w:szCs w:val="24"/>
        </w:rPr>
        <w:t>tohoto kontrolního závěru</w:t>
      </w:r>
      <w:r w:rsidR="001A0738" w:rsidRPr="002C310E">
        <w:rPr>
          <w:rFonts w:eastAsia="Times New Roman" w:cstheme="minorHAnsi"/>
          <w:iCs/>
          <w:sz w:val="24"/>
          <w:szCs w:val="24"/>
          <w:lang w:eastAsia="cs-CZ"/>
        </w:rPr>
        <w:t xml:space="preserve">. Celkem v tomto </w:t>
      </w:r>
      <w:r w:rsidR="00132150" w:rsidRPr="002C310E">
        <w:rPr>
          <w:rFonts w:eastAsia="Times New Roman" w:cstheme="minorHAnsi"/>
          <w:iCs/>
          <w:sz w:val="24"/>
          <w:szCs w:val="24"/>
          <w:lang w:eastAsia="cs-CZ"/>
        </w:rPr>
        <w:t xml:space="preserve">období SUZ MV čerpala </w:t>
      </w:r>
      <w:r w:rsidR="002F6B55" w:rsidRPr="002C310E">
        <w:rPr>
          <w:rFonts w:eastAsia="Times New Roman" w:cstheme="minorHAnsi"/>
          <w:iCs/>
          <w:sz w:val="24"/>
          <w:szCs w:val="24"/>
          <w:lang w:eastAsia="cs-CZ"/>
        </w:rPr>
        <w:t>28,6 mil. Kč</w:t>
      </w:r>
      <w:r>
        <w:rPr>
          <w:rStyle w:val="Znakapoznpodarou"/>
          <w:rFonts w:eastAsia="Times New Roman" w:cstheme="minorHAnsi"/>
          <w:iCs/>
          <w:sz w:val="24"/>
          <w:szCs w:val="24"/>
          <w:lang w:eastAsia="cs-CZ"/>
        </w:rPr>
        <w:footnoteReference w:id="26"/>
      </w:r>
      <w:r w:rsidR="002F6B55" w:rsidRPr="002C310E">
        <w:rPr>
          <w:rFonts w:eastAsia="Times New Roman" w:cstheme="minorHAnsi"/>
          <w:iCs/>
          <w:sz w:val="24"/>
          <w:szCs w:val="24"/>
          <w:lang w:eastAsia="cs-CZ"/>
        </w:rPr>
        <w:t>.</w:t>
      </w:r>
      <w:r w:rsidR="001443E3" w:rsidRPr="002C310E">
        <w:rPr>
          <w:rFonts w:eastAsia="Times New Roman" w:cstheme="minorHAnsi"/>
          <w:iCs/>
          <w:sz w:val="24"/>
          <w:szCs w:val="24"/>
          <w:lang w:eastAsia="cs-CZ"/>
        </w:rPr>
        <w:t xml:space="preserve"> </w:t>
      </w:r>
      <w:r w:rsidR="00B709CB" w:rsidRPr="002C310E">
        <w:rPr>
          <w:rFonts w:eastAsia="Times New Roman" w:cstheme="minorHAnsi"/>
          <w:iCs/>
          <w:sz w:val="24"/>
          <w:szCs w:val="24"/>
          <w:lang w:eastAsia="cs-CZ"/>
        </w:rPr>
        <w:t>P</w:t>
      </w:r>
      <w:r w:rsidR="001E359B" w:rsidRPr="002C310E">
        <w:rPr>
          <w:rFonts w:eastAsia="Times New Roman" w:cstheme="minorHAnsi"/>
          <w:iCs/>
          <w:sz w:val="24"/>
          <w:szCs w:val="24"/>
          <w:lang w:eastAsia="cs-CZ"/>
        </w:rPr>
        <w:t>eněžní</w:t>
      </w:r>
      <w:r w:rsidR="00B709CB" w:rsidRPr="002C310E">
        <w:rPr>
          <w:rFonts w:eastAsia="Times New Roman" w:cstheme="minorHAnsi"/>
          <w:iCs/>
          <w:sz w:val="24"/>
          <w:szCs w:val="24"/>
          <w:lang w:eastAsia="cs-CZ"/>
        </w:rPr>
        <w:t xml:space="preserve"> prostředky</w:t>
      </w:r>
      <w:r w:rsidR="001E359B" w:rsidRPr="002C310E">
        <w:rPr>
          <w:rFonts w:eastAsia="Times New Roman" w:cstheme="minorHAnsi"/>
          <w:iCs/>
          <w:sz w:val="24"/>
          <w:szCs w:val="24"/>
          <w:lang w:eastAsia="cs-CZ"/>
        </w:rPr>
        <w:t xml:space="preserve"> j</w:t>
      </w:r>
      <w:r w:rsidR="00B709CB" w:rsidRPr="002C310E">
        <w:rPr>
          <w:rFonts w:eastAsia="Times New Roman" w:cstheme="minorHAnsi"/>
          <w:iCs/>
          <w:sz w:val="24"/>
          <w:szCs w:val="24"/>
          <w:lang w:eastAsia="cs-CZ"/>
        </w:rPr>
        <w:t>sou</w:t>
      </w:r>
      <w:r w:rsidR="001E359B" w:rsidRPr="002C310E">
        <w:rPr>
          <w:rFonts w:eastAsia="Times New Roman" w:cstheme="minorHAnsi"/>
          <w:iCs/>
          <w:sz w:val="24"/>
          <w:szCs w:val="24"/>
          <w:lang w:eastAsia="cs-CZ"/>
        </w:rPr>
        <w:t xml:space="preserve"> rovněž </w:t>
      </w:r>
      <w:r w:rsidR="00B709CB" w:rsidRPr="002C310E">
        <w:rPr>
          <w:rFonts w:eastAsia="Times New Roman" w:cstheme="minorHAnsi"/>
          <w:iCs/>
          <w:sz w:val="24"/>
          <w:szCs w:val="24"/>
          <w:lang w:eastAsia="cs-CZ"/>
        </w:rPr>
        <w:t>poskytovány</w:t>
      </w:r>
      <w:r w:rsidR="001E359B" w:rsidRPr="002C310E">
        <w:rPr>
          <w:rFonts w:eastAsia="Times New Roman" w:cstheme="minorHAnsi"/>
          <w:iCs/>
          <w:sz w:val="24"/>
          <w:szCs w:val="24"/>
          <w:lang w:eastAsia="cs-CZ"/>
        </w:rPr>
        <w:t xml:space="preserve"> obcím na zajištění bydlení oprávněných osob.</w:t>
      </w:r>
    </w:p>
    <w:p w14:paraId="60F37771" w14:textId="21F0FEC8" w:rsidR="002F6B55" w:rsidRPr="002C310E" w:rsidRDefault="00F04DCF" w:rsidP="00745FC6">
      <w:pPr>
        <w:spacing w:after="0" w:line="240" w:lineRule="auto"/>
        <w:jc w:val="both"/>
        <w:rPr>
          <w:rFonts w:eastAsia="Times New Roman" w:cstheme="minorHAnsi"/>
          <w:iCs/>
          <w:sz w:val="24"/>
          <w:szCs w:val="24"/>
          <w:lang w:eastAsia="cs-CZ"/>
        </w:rPr>
      </w:pPr>
      <w:r w:rsidRPr="00A77E3A">
        <w:rPr>
          <w:rFonts w:eastAsia="Times New Roman" w:cstheme="minorHAnsi"/>
          <w:b/>
          <w:color w:val="000000"/>
          <w:sz w:val="24"/>
          <w:szCs w:val="24"/>
        </w:rPr>
        <w:t>2.</w:t>
      </w:r>
      <w:r w:rsidR="00797B1E" w:rsidRPr="00A77E3A">
        <w:rPr>
          <w:rFonts w:eastAsia="Times New Roman" w:cstheme="minorHAnsi"/>
          <w:b/>
          <w:color w:val="000000"/>
          <w:sz w:val="24"/>
          <w:szCs w:val="24"/>
        </w:rPr>
        <w:t>1</w:t>
      </w:r>
      <w:r w:rsidR="00416700" w:rsidRPr="00A77E3A">
        <w:rPr>
          <w:rFonts w:eastAsia="Times New Roman" w:cstheme="minorHAnsi"/>
          <w:b/>
          <w:color w:val="000000"/>
          <w:sz w:val="24"/>
          <w:szCs w:val="24"/>
        </w:rPr>
        <w:t>3</w:t>
      </w:r>
      <w:r w:rsidRPr="002C310E">
        <w:rPr>
          <w:rFonts w:eastAsia="Times New Roman" w:cstheme="minorHAnsi"/>
          <w:color w:val="000000"/>
          <w:sz w:val="24"/>
          <w:szCs w:val="24"/>
        </w:rPr>
        <w:t xml:space="preserve"> </w:t>
      </w:r>
      <w:r w:rsidR="00E12E61" w:rsidRPr="002C310E">
        <w:rPr>
          <w:rFonts w:eastAsia="Times New Roman" w:cstheme="minorHAnsi"/>
          <w:color w:val="000000"/>
          <w:sz w:val="24"/>
          <w:szCs w:val="24"/>
        </w:rPr>
        <w:t>Cílem</w:t>
      </w:r>
      <w:r w:rsidRPr="002C310E">
        <w:rPr>
          <w:rFonts w:eastAsia="Times New Roman" w:cstheme="minorHAnsi"/>
          <w:color w:val="000000"/>
          <w:sz w:val="24"/>
          <w:szCs w:val="24"/>
        </w:rPr>
        <w:t xml:space="preserve"> </w:t>
      </w:r>
      <w:r w:rsidR="00B93551" w:rsidRPr="002C310E">
        <w:rPr>
          <w:rFonts w:eastAsia="Times New Roman" w:cstheme="minorHAnsi"/>
          <w:color w:val="000000"/>
          <w:sz w:val="24"/>
          <w:szCs w:val="24"/>
        </w:rPr>
        <w:t xml:space="preserve">programu </w:t>
      </w:r>
      <w:r w:rsidR="00217C22" w:rsidRPr="00222605">
        <w:rPr>
          <w:rFonts w:eastAsia="Times New Roman" w:cstheme="minorHAnsi"/>
          <w:color w:val="000000"/>
          <w:sz w:val="24"/>
          <w:szCs w:val="24"/>
        </w:rPr>
        <w:t>Pomoc na místě</w:t>
      </w:r>
      <w:r w:rsidR="001443E3" w:rsidRPr="00222605">
        <w:rPr>
          <w:rFonts w:eastAsia="Times New Roman" w:cstheme="minorHAnsi"/>
          <w:color w:val="000000"/>
          <w:sz w:val="24"/>
          <w:szCs w:val="24"/>
        </w:rPr>
        <w:t xml:space="preserve"> </w:t>
      </w:r>
      <w:r w:rsidRPr="002C310E">
        <w:rPr>
          <w:rFonts w:eastAsia="Times New Roman" w:cstheme="minorHAnsi"/>
          <w:iCs/>
          <w:sz w:val="24"/>
          <w:szCs w:val="24"/>
          <w:lang w:eastAsia="cs-CZ"/>
        </w:rPr>
        <w:t>je pomoci zemím s početnými uprchlickými populacemi a zemím, které čelí velkým migračním tlakům. Program byl schválen usnesením vlády č.</w:t>
      </w:r>
      <w:r w:rsidR="0017104D">
        <w:rPr>
          <w:rFonts w:eastAsia="Times New Roman" w:cstheme="minorHAnsi"/>
          <w:iCs/>
          <w:sz w:val="24"/>
          <w:szCs w:val="24"/>
          <w:lang w:eastAsia="cs-CZ"/>
        </w:rPr>
        <w:t> </w:t>
      </w:r>
      <w:r w:rsidRPr="002C310E">
        <w:rPr>
          <w:rFonts w:eastAsia="Times New Roman" w:cstheme="minorHAnsi"/>
          <w:iCs/>
          <w:sz w:val="24"/>
          <w:szCs w:val="24"/>
          <w:lang w:eastAsia="cs-CZ"/>
        </w:rPr>
        <w:t>19/2015</w:t>
      </w:r>
      <w:r>
        <w:rPr>
          <w:rFonts w:cstheme="minorHAnsi"/>
          <w:iCs/>
          <w:sz w:val="24"/>
          <w:szCs w:val="24"/>
          <w:vertAlign w:val="superscript"/>
          <w:lang w:eastAsia="cs-CZ"/>
        </w:rPr>
        <w:footnoteReference w:id="27"/>
      </w:r>
      <w:r w:rsidRPr="002C310E">
        <w:rPr>
          <w:rFonts w:eastAsia="Times New Roman" w:cstheme="minorHAnsi"/>
          <w:iCs/>
          <w:sz w:val="24"/>
          <w:szCs w:val="24"/>
          <w:lang w:eastAsia="cs-CZ"/>
        </w:rPr>
        <w:t xml:space="preserve"> </w:t>
      </w:r>
      <w:r w:rsidR="00877543" w:rsidRPr="002C310E">
        <w:rPr>
          <w:rFonts w:eastAsia="Times New Roman" w:cstheme="minorHAnsi"/>
          <w:iCs/>
          <w:sz w:val="24"/>
          <w:szCs w:val="24"/>
          <w:lang w:eastAsia="cs-CZ"/>
        </w:rPr>
        <w:t>a r</w:t>
      </w:r>
      <w:r w:rsidR="00132150" w:rsidRPr="002C310E">
        <w:rPr>
          <w:rFonts w:eastAsia="Times New Roman" w:cstheme="minorHAnsi"/>
          <w:iCs/>
          <w:sz w:val="24"/>
          <w:szCs w:val="24"/>
          <w:lang w:eastAsia="cs-CZ"/>
        </w:rPr>
        <w:t xml:space="preserve">ovněž </w:t>
      </w:r>
      <w:r w:rsidR="00B709CB" w:rsidRPr="002C310E">
        <w:rPr>
          <w:rFonts w:eastAsia="Times New Roman" w:cstheme="minorHAnsi"/>
          <w:iCs/>
          <w:sz w:val="24"/>
          <w:szCs w:val="24"/>
          <w:lang w:eastAsia="cs-CZ"/>
        </w:rPr>
        <w:t xml:space="preserve">každoroční </w:t>
      </w:r>
      <w:r w:rsidR="00132150" w:rsidRPr="002C310E">
        <w:rPr>
          <w:rFonts w:eastAsia="Times New Roman" w:cstheme="minorHAnsi"/>
          <w:iCs/>
          <w:sz w:val="24"/>
          <w:szCs w:val="24"/>
          <w:lang w:eastAsia="cs-CZ"/>
        </w:rPr>
        <w:t xml:space="preserve">realizaci </w:t>
      </w:r>
      <w:r w:rsidR="001302D7" w:rsidRPr="002C310E">
        <w:rPr>
          <w:rFonts w:eastAsia="Times New Roman" w:cstheme="minorHAnsi"/>
          <w:iCs/>
          <w:sz w:val="24"/>
          <w:szCs w:val="24"/>
          <w:lang w:eastAsia="cs-CZ"/>
        </w:rPr>
        <w:t xml:space="preserve">jednotlivých </w:t>
      </w:r>
      <w:r w:rsidR="00B709CB" w:rsidRPr="002C310E">
        <w:rPr>
          <w:rFonts w:eastAsia="Times New Roman" w:cstheme="minorHAnsi"/>
          <w:iCs/>
          <w:sz w:val="24"/>
          <w:szCs w:val="24"/>
          <w:lang w:eastAsia="cs-CZ"/>
        </w:rPr>
        <w:t xml:space="preserve">projektů </w:t>
      </w:r>
      <w:r w:rsidR="00132150" w:rsidRPr="002C310E">
        <w:rPr>
          <w:rFonts w:eastAsia="Times New Roman" w:cstheme="minorHAnsi"/>
          <w:iCs/>
          <w:sz w:val="24"/>
          <w:szCs w:val="24"/>
          <w:lang w:eastAsia="cs-CZ"/>
        </w:rPr>
        <w:t>schvaluje vláda.</w:t>
      </w:r>
      <w:r w:rsidR="00877543" w:rsidRPr="002C310E">
        <w:rPr>
          <w:rFonts w:eastAsia="Times New Roman" w:cstheme="minorHAnsi"/>
          <w:iCs/>
          <w:sz w:val="24"/>
          <w:szCs w:val="24"/>
          <w:lang w:eastAsia="cs-CZ"/>
        </w:rPr>
        <w:t xml:space="preserve"> </w:t>
      </w:r>
      <w:r w:rsidR="00E12E61" w:rsidRPr="002C310E">
        <w:rPr>
          <w:rFonts w:eastAsia="Times New Roman" w:cstheme="minorHAnsi"/>
          <w:iCs/>
          <w:sz w:val="24"/>
          <w:szCs w:val="24"/>
          <w:lang w:eastAsia="cs-CZ"/>
        </w:rPr>
        <w:t>P</w:t>
      </w:r>
      <w:r w:rsidR="00B709CB" w:rsidRPr="002C310E">
        <w:rPr>
          <w:rFonts w:eastAsia="Times New Roman" w:cstheme="minorHAnsi"/>
          <w:iCs/>
          <w:sz w:val="24"/>
          <w:szCs w:val="24"/>
          <w:lang w:eastAsia="cs-CZ"/>
        </w:rPr>
        <w:t>eněžní p</w:t>
      </w:r>
      <w:r w:rsidRPr="002C310E">
        <w:rPr>
          <w:rFonts w:eastAsia="Times New Roman" w:cstheme="minorHAnsi"/>
          <w:iCs/>
          <w:sz w:val="24"/>
          <w:szCs w:val="24"/>
          <w:lang w:eastAsia="cs-CZ"/>
        </w:rPr>
        <w:t xml:space="preserve">rostředky jsou poskytovány </w:t>
      </w:r>
      <w:r w:rsidR="00877543" w:rsidRPr="002C310E">
        <w:rPr>
          <w:rFonts w:eastAsia="Times New Roman" w:cstheme="minorHAnsi"/>
          <w:iCs/>
          <w:sz w:val="24"/>
          <w:szCs w:val="24"/>
          <w:lang w:eastAsia="cs-CZ"/>
        </w:rPr>
        <w:t xml:space="preserve">formou peněžních darů vládním </w:t>
      </w:r>
      <w:r w:rsidR="001302D7" w:rsidRPr="002C310E">
        <w:rPr>
          <w:rFonts w:eastAsia="Times New Roman" w:cstheme="minorHAnsi"/>
          <w:iCs/>
          <w:sz w:val="24"/>
          <w:szCs w:val="24"/>
          <w:lang w:eastAsia="cs-CZ"/>
        </w:rPr>
        <w:t>subjektům</w:t>
      </w:r>
      <w:r w:rsidR="00877543" w:rsidRPr="002C310E">
        <w:rPr>
          <w:rFonts w:eastAsia="Times New Roman" w:cstheme="minorHAnsi"/>
          <w:iCs/>
          <w:sz w:val="24"/>
          <w:szCs w:val="24"/>
          <w:lang w:eastAsia="cs-CZ"/>
        </w:rPr>
        <w:t xml:space="preserve"> a</w:t>
      </w:r>
      <w:r w:rsidRPr="002C310E">
        <w:rPr>
          <w:rFonts w:eastAsia="Times New Roman" w:cstheme="minorHAnsi"/>
          <w:iCs/>
          <w:sz w:val="24"/>
          <w:szCs w:val="24"/>
          <w:lang w:eastAsia="cs-CZ"/>
        </w:rPr>
        <w:t xml:space="preserve"> mezinárodním organizacím na podporu uprchlíků v zahraničí, posilování azylového a migračního systému, ochranu vnějších hranic členských států schengenského prostoru a boj proti nelegální migraci. MV se také podílí na spolufinancování evropských i mezinárodních projektů a programů v této oblasti. </w:t>
      </w:r>
      <w:r w:rsidR="00132150" w:rsidRPr="002C310E">
        <w:rPr>
          <w:rFonts w:eastAsia="Times New Roman" w:cstheme="minorHAnsi"/>
          <w:iCs/>
          <w:sz w:val="24"/>
          <w:szCs w:val="24"/>
          <w:lang w:eastAsia="cs-CZ"/>
        </w:rPr>
        <w:t>Čerpání prostředků na program v letech 2017</w:t>
      </w:r>
      <w:r w:rsidR="00F80DC6" w:rsidRPr="002C310E">
        <w:rPr>
          <w:rFonts w:eastAsia="Times New Roman" w:cstheme="minorHAnsi"/>
          <w:iCs/>
          <w:sz w:val="24"/>
          <w:szCs w:val="24"/>
          <w:lang w:eastAsia="cs-CZ"/>
        </w:rPr>
        <w:t xml:space="preserve"> až </w:t>
      </w:r>
      <w:r w:rsidR="00132150" w:rsidRPr="002C310E">
        <w:rPr>
          <w:rFonts w:eastAsia="Times New Roman" w:cstheme="minorHAnsi"/>
          <w:iCs/>
          <w:sz w:val="24"/>
          <w:szCs w:val="24"/>
          <w:lang w:eastAsia="cs-CZ"/>
        </w:rPr>
        <w:t>2019 je uvedeno v příloze č. 1</w:t>
      </w:r>
      <w:r w:rsidR="009018BA" w:rsidRPr="009018BA">
        <w:rPr>
          <w:rFonts w:eastAsia="Times New Roman" w:cstheme="minorHAnsi"/>
          <w:color w:val="000000"/>
          <w:sz w:val="24"/>
          <w:szCs w:val="24"/>
        </w:rPr>
        <w:t xml:space="preserve"> </w:t>
      </w:r>
      <w:r w:rsidR="009018BA">
        <w:rPr>
          <w:rFonts w:eastAsia="Times New Roman" w:cstheme="minorHAnsi"/>
          <w:color w:val="000000"/>
          <w:sz w:val="24"/>
          <w:szCs w:val="24"/>
        </w:rPr>
        <w:t>tohoto kontrolního závěru</w:t>
      </w:r>
      <w:r w:rsidR="00132150" w:rsidRPr="002C310E">
        <w:rPr>
          <w:rFonts w:eastAsia="Times New Roman" w:cstheme="minorHAnsi"/>
          <w:iCs/>
          <w:sz w:val="24"/>
          <w:szCs w:val="24"/>
          <w:lang w:eastAsia="cs-CZ"/>
        </w:rPr>
        <w:t>. Celkem bylo v</w:t>
      </w:r>
      <w:r w:rsidR="00877543" w:rsidRPr="002C310E">
        <w:rPr>
          <w:rFonts w:eastAsia="Times New Roman" w:cstheme="minorHAnsi"/>
          <w:iCs/>
          <w:sz w:val="24"/>
          <w:szCs w:val="24"/>
          <w:lang w:eastAsia="cs-CZ"/>
        </w:rPr>
        <w:t> </w:t>
      </w:r>
      <w:r w:rsidR="00132150" w:rsidRPr="002C310E">
        <w:rPr>
          <w:rFonts w:eastAsia="Times New Roman" w:cstheme="minorHAnsi"/>
          <w:iCs/>
          <w:sz w:val="24"/>
          <w:szCs w:val="24"/>
          <w:lang w:eastAsia="cs-CZ"/>
        </w:rPr>
        <w:t xml:space="preserve">tomto období vynaloženo </w:t>
      </w:r>
      <w:r w:rsidRPr="002C310E">
        <w:rPr>
          <w:rFonts w:eastAsia="Times New Roman" w:cstheme="minorHAnsi"/>
          <w:iCs/>
          <w:sz w:val="24"/>
          <w:szCs w:val="24"/>
          <w:lang w:eastAsia="cs-CZ"/>
        </w:rPr>
        <w:t>457,</w:t>
      </w:r>
      <w:r w:rsidR="00DF7BE6" w:rsidRPr="002C310E">
        <w:rPr>
          <w:rFonts w:eastAsia="Times New Roman" w:cstheme="minorHAnsi"/>
          <w:iCs/>
          <w:sz w:val="24"/>
          <w:szCs w:val="24"/>
          <w:lang w:eastAsia="cs-CZ"/>
        </w:rPr>
        <w:t>3</w:t>
      </w:r>
      <w:r w:rsidRPr="002C310E">
        <w:rPr>
          <w:rFonts w:eastAsia="Times New Roman" w:cstheme="minorHAnsi"/>
          <w:iCs/>
          <w:sz w:val="24"/>
          <w:szCs w:val="24"/>
          <w:lang w:eastAsia="cs-CZ"/>
        </w:rPr>
        <w:t xml:space="preserve"> mil. Kč. </w:t>
      </w:r>
    </w:p>
    <w:p w14:paraId="773A163F" w14:textId="619A847C" w:rsidR="00745FC6" w:rsidRPr="00884775" w:rsidRDefault="00745FC6" w:rsidP="00884775">
      <w:pPr>
        <w:spacing w:after="0" w:line="240" w:lineRule="auto"/>
        <w:jc w:val="both"/>
        <w:rPr>
          <w:rFonts w:eastAsia="Times New Roman" w:cstheme="minorHAnsi"/>
          <w:sz w:val="24"/>
          <w:szCs w:val="24"/>
          <w:shd w:val="clear" w:color="auto" w:fill="FFFFFF"/>
        </w:rPr>
      </w:pPr>
    </w:p>
    <w:p w14:paraId="0D110AF2" w14:textId="77777777" w:rsidR="00884775" w:rsidRPr="00884775" w:rsidRDefault="00884775" w:rsidP="00884775">
      <w:pPr>
        <w:spacing w:after="0" w:line="240" w:lineRule="auto"/>
        <w:rPr>
          <w:rFonts w:eastAsiaTheme="majorEastAsia" w:cstheme="minorHAnsi"/>
          <w:sz w:val="28"/>
          <w:szCs w:val="28"/>
        </w:rPr>
      </w:pPr>
      <w:r w:rsidRPr="00884775">
        <w:rPr>
          <w:rFonts w:cstheme="minorHAnsi"/>
          <w:sz w:val="28"/>
          <w:szCs w:val="28"/>
        </w:rPr>
        <w:br w:type="page"/>
      </w:r>
    </w:p>
    <w:p w14:paraId="0A7453D2" w14:textId="6D025202" w:rsidR="00785F12" w:rsidRPr="002C310E" w:rsidRDefault="00F04DCF" w:rsidP="00DC395F">
      <w:pPr>
        <w:pStyle w:val="Nadpis1"/>
        <w:keepLines w:val="0"/>
        <w:spacing w:before="0" w:after="120" w:line="240" w:lineRule="auto"/>
        <w:jc w:val="center"/>
        <w:rPr>
          <w:rFonts w:asciiTheme="minorHAnsi" w:hAnsiTheme="minorHAnsi" w:cstheme="minorHAnsi"/>
          <w:b/>
          <w:color w:val="auto"/>
          <w:sz w:val="28"/>
          <w:szCs w:val="28"/>
        </w:rPr>
      </w:pPr>
      <w:r w:rsidRPr="002C310E">
        <w:rPr>
          <w:rFonts w:asciiTheme="minorHAnsi" w:hAnsiTheme="minorHAnsi" w:cstheme="minorHAnsi"/>
          <w:b/>
          <w:color w:val="auto"/>
          <w:sz w:val="28"/>
          <w:szCs w:val="28"/>
        </w:rPr>
        <w:lastRenderedPageBreak/>
        <w:t>III. Rozsah kontroly</w:t>
      </w:r>
    </w:p>
    <w:p w14:paraId="2BC0462E" w14:textId="723E2C63" w:rsidR="00785F12" w:rsidRPr="002C310E" w:rsidRDefault="00F04DCF" w:rsidP="00733FC4">
      <w:pPr>
        <w:spacing w:after="120" w:line="240" w:lineRule="auto"/>
        <w:jc w:val="both"/>
        <w:rPr>
          <w:rFonts w:cstheme="minorHAnsi"/>
          <w:sz w:val="24"/>
          <w:szCs w:val="24"/>
        </w:rPr>
      </w:pPr>
      <w:r w:rsidRPr="00A77E3A">
        <w:rPr>
          <w:rFonts w:cstheme="minorHAnsi"/>
          <w:b/>
          <w:sz w:val="24"/>
          <w:szCs w:val="24"/>
        </w:rPr>
        <w:t>3.1</w:t>
      </w:r>
      <w:r w:rsidR="00457E1C" w:rsidRPr="002C310E">
        <w:rPr>
          <w:rFonts w:cstheme="minorHAnsi"/>
          <w:sz w:val="24"/>
          <w:szCs w:val="24"/>
        </w:rPr>
        <w:t xml:space="preserve"> </w:t>
      </w:r>
      <w:r w:rsidR="00BF388C" w:rsidRPr="002C310E">
        <w:rPr>
          <w:rFonts w:cstheme="minorHAnsi"/>
          <w:sz w:val="24"/>
          <w:szCs w:val="24"/>
        </w:rPr>
        <w:t>Předmětem kontroly NKÚ byly peněžní prostředky státu vynakládané na plnění vybraných cílů migrační politiky Č</w:t>
      </w:r>
      <w:r w:rsidR="009475BF" w:rsidRPr="002C310E">
        <w:rPr>
          <w:rFonts w:cstheme="minorHAnsi"/>
          <w:sz w:val="24"/>
          <w:szCs w:val="24"/>
        </w:rPr>
        <w:t>R</w:t>
      </w:r>
      <w:r w:rsidRPr="002C310E">
        <w:rPr>
          <w:rFonts w:cstheme="minorHAnsi"/>
          <w:sz w:val="24"/>
          <w:szCs w:val="24"/>
        </w:rPr>
        <w:t>.</w:t>
      </w:r>
      <w:r w:rsidRPr="002C310E">
        <w:rPr>
          <w:rFonts w:cstheme="minorHAnsi"/>
          <w:color w:val="000000"/>
          <w:sz w:val="24"/>
          <w:szCs w:val="24"/>
        </w:rPr>
        <w:t xml:space="preserve"> </w:t>
      </w:r>
      <w:r w:rsidR="00A14490" w:rsidRPr="002C310E">
        <w:rPr>
          <w:rFonts w:cstheme="minorHAnsi"/>
          <w:color w:val="000000"/>
          <w:sz w:val="24"/>
          <w:szCs w:val="24"/>
        </w:rPr>
        <w:t xml:space="preserve">Ke kontrole byly vybrány projekty </w:t>
      </w:r>
      <w:r w:rsidR="007121FD" w:rsidRPr="002C310E">
        <w:rPr>
          <w:rFonts w:cstheme="minorHAnsi"/>
          <w:color w:val="000000"/>
          <w:sz w:val="24"/>
          <w:szCs w:val="24"/>
        </w:rPr>
        <w:t xml:space="preserve">a aktivity realizované v rámci čtyř programů </w:t>
      </w:r>
      <w:r w:rsidR="006E1B1E" w:rsidRPr="002C310E">
        <w:rPr>
          <w:rFonts w:cstheme="minorHAnsi"/>
          <w:color w:val="000000"/>
          <w:sz w:val="24"/>
          <w:szCs w:val="24"/>
        </w:rPr>
        <w:t xml:space="preserve">(viz odst. 2.9) </w:t>
      </w:r>
      <w:r w:rsidR="007121FD" w:rsidRPr="002C310E">
        <w:rPr>
          <w:rFonts w:cstheme="minorHAnsi"/>
          <w:color w:val="000000"/>
          <w:sz w:val="24"/>
          <w:szCs w:val="24"/>
        </w:rPr>
        <w:t xml:space="preserve">zaměřených na různé oblasti migrační politiky – </w:t>
      </w:r>
      <w:r w:rsidR="00386EF3" w:rsidRPr="002C310E">
        <w:rPr>
          <w:rFonts w:cstheme="minorHAnsi"/>
          <w:color w:val="000000"/>
          <w:sz w:val="24"/>
          <w:szCs w:val="24"/>
        </w:rPr>
        <w:t xml:space="preserve">schengenskou spolupráci, integraci, azyl a </w:t>
      </w:r>
      <w:r w:rsidR="007121FD" w:rsidRPr="002C310E">
        <w:rPr>
          <w:rFonts w:cstheme="minorHAnsi"/>
          <w:color w:val="000000"/>
          <w:sz w:val="24"/>
          <w:szCs w:val="24"/>
        </w:rPr>
        <w:t>vnější migraci</w:t>
      </w:r>
      <w:r w:rsidR="00386EF3" w:rsidRPr="002C310E">
        <w:rPr>
          <w:rFonts w:cstheme="minorHAnsi"/>
          <w:color w:val="000000"/>
          <w:sz w:val="24"/>
          <w:szCs w:val="24"/>
        </w:rPr>
        <w:t>.</w:t>
      </w:r>
      <w:r w:rsidR="007121FD" w:rsidRPr="002C310E">
        <w:rPr>
          <w:rFonts w:cstheme="minorHAnsi"/>
          <w:color w:val="000000"/>
          <w:sz w:val="24"/>
          <w:szCs w:val="24"/>
        </w:rPr>
        <w:t xml:space="preserve"> </w:t>
      </w:r>
      <w:r w:rsidRPr="002C310E">
        <w:rPr>
          <w:rFonts w:cstheme="minorHAnsi"/>
          <w:sz w:val="24"/>
          <w:szCs w:val="24"/>
        </w:rPr>
        <w:t>Kontrolovaným obdobím byly roky 201</w:t>
      </w:r>
      <w:r w:rsidR="00BF388C" w:rsidRPr="002C310E">
        <w:rPr>
          <w:rFonts w:cstheme="minorHAnsi"/>
          <w:sz w:val="24"/>
          <w:szCs w:val="24"/>
        </w:rPr>
        <w:t>7</w:t>
      </w:r>
      <w:r w:rsidRPr="002C310E">
        <w:rPr>
          <w:rFonts w:cstheme="minorHAnsi"/>
          <w:sz w:val="24"/>
          <w:szCs w:val="24"/>
        </w:rPr>
        <w:t xml:space="preserve"> až 201</w:t>
      </w:r>
      <w:r w:rsidR="00BF388C" w:rsidRPr="002C310E">
        <w:rPr>
          <w:rFonts w:cstheme="minorHAnsi"/>
          <w:sz w:val="24"/>
          <w:szCs w:val="24"/>
        </w:rPr>
        <w:t>9</w:t>
      </w:r>
      <w:r w:rsidRPr="002C310E">
        <w:rPr>
          <w:rFonts w:cstheme="minorHAnsi"/>
          <w:sz w:val="24"/>
          <w:szCs w:val="24"/>
        </w:rPr>
        <w:t>, v případě věcných souvislostí i obdo</w:t>
      </w:r>
      <w:r w:rsidR="00457E1C" w:rsidRPr="002C310E">
        <w:rPr>
          <w:rFonts w:cstheme="minorHAnsi"/>
          <w:sz w:val="24"/>
          <w:szCs w:val="24"/>
        </w:rPr>
        <w:t>bí předcházející a následující.</w:t>
      </w:r>
    </w:p>
    <w:p w14:paraId="0A51109B" w14:textId="5639D71D" w:rsidR="00785F12" w:rsidRDefault="00F04DCF" w:rsidP="00733FC4">
      <w:pPr>
        <w:spacing w:after="120" w:line="240" w:lineRule="auto"/>
        <w:jc w:val="both"/>
        <w:rPr>
          <w:rFonts w:cstheme="minorHAnsi"/>
          <w:b/>
          <w:sz w:val="24"/>
          <w:szCs w:val="24"/>
        </w:rPr>
      </w:pPr>
      <w:r w:rsidRPr="00A77E3A">
        <w:rPr>
          <w:rFonts w:cstheme="minorHAnsi"/>
          <w:b/>
          <w:sz w:val="24"/>
          <w:szCs w:val="24"/>
        </w:rPr>
        <w:t>3.2</w:t>
      </w:r>
      <w:r w:rsidR="00457E1C" w:rsidRPr="002C310E">
        <w:rPr>
          <w:rFonts w:cstheme="minorHAnsi"/>
          <w:sz w:val="24"/>
          <w:szCs w:val="24"/>
        </w:rPr>
        <w:t xml:space="preserve"> </w:t>
      </w:r>
      <w:r w:rsidRPr="002C310E">
        <w:rPr>
          <w:rFonts w:cstheme="minorHAnsi"/>
          <w:sz w:val="24"/>
          <w:szCs w:val="24"/>
        </w:rPr>
        <w:t>Právní předpisy vztahující se na peněžní prostředky státního rozpočtu</w:t>
      </w:r>
      <w:r w:rsidR="00BF388C" w:rsidRPr="002C310E">
        <w:rPr>
          <w:rFonts w:cstheme="minorHAnsi"/>
          <w:sz w:val="24"/>
          <w:szCs w:val="24"/>
        </w:rPr>
        <w:t xml:space="preserve"> vynakládané na kontrolované projekty a aktivity </w:t>
      </w:r>
      <w:r w:rsidRPr="002C310E">
        <w:rPr>
          <w:rFonts w:cstheme="minorHAnsi"/>
          <w:sz w:val="24"/>
          <w:szCs w:val="24"/>
        </w:rPr>
        <w:t>stanoví, že tyto peněžní prostředky musí být využity s ohledem na zásadu řádného finančního řízení, která zahrnuje principy hospodárnosti, efektivnosti a účelnosti</w:t>
      </w:r>
      <w:r>
        <w:rPr>
          <w:rStyle w:val="Znakapoznpodarou"/>
          <w:rFonts w:cstheme="minorHAnsi"/>
          <w:sz w:val="24"/>
          <w:szCs w:val="24"/>
        </w:rPr>
        <w:footnoteReference w:id="28"/>
      </w:r>
      <w:r w:rsidRPr="002C310E">
        <w:rPr>
          <w:rFonts w:cstheme="minorHAnsi"/>
          <w:sz w:val="24"/>
          <w:szCs w:val="24"/>
        </w:rPr>
        <w:t xml:space="preserve">. </w:t>
      </w:r>
      <w:r w:rsidRPr="002C310E">
        <w:rPr>
          <w:rFonts w:cstheme="minorHAnsi"/>
          <w:b/>
          <w:sz w:val="24"/>
          <w:szCs w:val="24"/>
        </w:rPr>
        <w:t xml:space="preserve">Cílem kontroly bylo </w:t>
      </w:r>
      <w:r w:rsidR="00BF388C" w:rsidRPr="002C310E">
        <w:rPr>
          <w:rFonts w:cstheme="minorHAnsi"/>
          <w:b/>
          <w:sz w:val="24"/>
          <w:szCs w:val="24"/>
        </w:rPr>
        <w:t>prověřit, zda Ministerstvo vnitra vynaložilo peněžní prostředky státu na plnění vybraných cílů migrační politiky České republiky hospodárně a efektivně a zda realizace aktivit a projektů přispěla k plnění stanovených cílů.</w:t>
      </w:r>
    </w:p>
    <w:p w14:paraId="62F6BF22" w14:textId="6313D342" w:rsidR="00533102" w:rsidRPr="002C310E" w:rsidRDefault="00533102" w:rsidP="00533102">
      <w:pPr>
        <w:tabs>
          <w:tab w:val="left" w:pos="567"/>
        </w:tabs>
        <w:spacing w:after="120" w:line="240" w:lineRule="auto"/>
        <w:jc w:val="both"/>
        <w:rPr>
          <w:rFonts w:cstheme="minorHAnsi"/>
          <w:sz w:val="24"/>
          <w:szCs w:val="24"/>
        </w:rPr>
      </w:pPr>
      <w:r w:rsidRPr="00A77E3A">
        <w:rPr>
          <w:rFonts w:cstheme="minorHAnsi"/>
          <w:b/>
          <w:sz w:val="24"/>
          <w:szCs w:val="24"/>
        </w:rPr>
        <w:t>3.3</w:t>
      </w:r>
      <w:r w:rsidRPr="002C310E">
        <w:rPr>
          <w:rFonts w:cstheme="minorHAnsi"/>
          <w:sz w:val="24"/>
          <w:szCs w:val="24"/>
        </w:rPr>
        <w:t xml:space="preserve"> Za účelné se považuje takové použití veřejných prostředků, které zajistí optimální míru dosažení cílů při plnění stanovených úkolů</w:t>
      </w:r>
      <w:r>
        <w:rPr>
          <w:rStyle w:val="Znakapoznpodarou"/>
          <w:rFonts w:cstheme="minorHAnsi"/>
          <w:sz w:val="24"/>
          <w:szCs w:val="24"/>
        </w:rPr>
        <w:footnoteReference w:id="29"/>
      </w:r>
      <w:r w:rsidRPr="002C310E">
        <w:rPr>
          <w:rFonts w:cstheme="minorHAnsi"/>
          <w:sz w:val="24"/>
          <w:szCs w:val="24"/>
        </w:rPr>
        <w:t>. Cíle programů a jednotlivých projektů je proto nutné nastavit tak, aby umožnily provést celkové vyhodnocení účelnosti zejména orgánem odpovědným za poskytování prostředků, tedy v tomto případě MV.</w:t>
      </w:r>
    </w:p>
    <w:p w14:paraId="2F0F575D" w14:textId="03FE44D6" w:rsidR="00533102" w:rsidRPr="002C310E" w:rsidRDefault="00533102" w:rsidP="00533102">
      <w:pPr>
        <w:tabs>
          <w:tab w:val="left" w:pos="567"/>
        </w:tabs>
        <w:spacing w:after="120" w:line="240" w:lineRule="auto"/>
        <w:jc w:val="both"/>
        <w:rPr>
          <w:rFonts w:cstheme="minorHAnsi"/>
          <w:sz w:val="24"/>
          <w:szCs w:val="24"/>
        </w:rPr>
      </w:pPr>
      <w:r w:rsidRPr="00A77E3A">
        <w:rPr>
          <w:rFonts w:cstheme="minorHAnsi"/>
          <w:b/>
          <w:sz w:val="24"/>
          <w:szCs w:val="24"/>
        </w:rPr>
        <w:t>3.4</w:t>
      </w:r>
      <w:r w:rsidRPr="002C310E">
        <w:rPr>
          <w:rFonts w:cstheme="minorHAnsi"/>
          <w:sz w:val="24"/>
          <w:szCs w:val="24"/>
        </w:rPr>
        <w:t xml:space="preserve"> Za efektivní se považuje takové použití veřejných prostředků, kterým se dosáhne nejvyššího možného rozsahu, kvality a přínosu plněných úkolů ve srovnání s objemem prostředků poskytnutých na jejich plnění</w:t>
      </w:r>
      <w:r>
        <w:rPr>
          <w:rFonts w:cstheme="minorHAnsi"/>
          <w:sz w:val="24"/>
          <w:szCs w:val="24"/>
          <w:vertAlign w:val="superscript"/>
        </w:rPr>
        <w:footnoteReference w:id="30"/>
      </w:r>
      <w:r w:rsidRPr="002C310E">
        <w:rPr>
          <w:rFonts w:cstheme="minorHAnsi"/>
          <w:sz w:val="24"/>
          <w:szCs w:val="24"/>
        </w:rPr>
        <w:t>. Efektivnost tedy vyjadřuje vztah mezi vloženými zdroji a získanými výstupy z hlediska kvantity, kvality a času. Hospodárností se rozumí takové použití veřejných prostředků, které zajistí plnění stanovených úkolů s co nejnižším vynaložením těchto prostředků při zajištění odpovídající kvality plnění úkolů</w:t>
      </w:r>
      <w:r>
        <w:rPr>
          <w:rFonts w:cstheme="minorHAnsi"/>
          <w:sz w:val="24"/>
          <w:szCs w:val="24"/>
          <w:vertAlign w:val="superscript"/>
        </w:rPr>
        <w:footnoteReference w:id="31"/>
      </w:r>
      <w:r w:rsidRPr="002C310E">
        <w:rPr>
          <w:rFonts w:cstheme="minorHAnsi"/>
          <w:sz w:val="24"/>
          <w:szCs w:val="24"/>
        </w:rPr>
        <w:t>. Hospodárnost byla součástí celkového posouzení efektivnosti.</w:t>
      </w:r>
    </w:p>
    <w:p w14:paraId="7A9766B8" w14:textId="23AF162E" w:rsidR="00BF388C" w:rsidRPr="002C310E" w:rsidRDefault="00F04DCF" w:rsidP="001443E3">
      <w:pPr>
        <w:spacing w:after="120" w:line="240" w:lineRule="auto"/>
        <w:jc w:val="both"/>
        <w:rPr>
          <w:rFonts w:cstheme="minorHAnsi"/>
          <w:sz w:val="24"/>
          <w:szCs w:val="24"/>
        </w:rPr>
      </w:pPr>
      <w:r w:rsidRPr="00A77E3A">
        <w:rPr>
          <w:rFonts w:cstheme="minorHAnsi"/>
          <w:b/>
          <w:sz w:val="24"/>
          <w:szCs w:val="24"/>
        </w:rPr>
        <w:t>3.</w:t>
      </w:r>
      <w:r w:rsidR="00533102" w:rsidRPr="00A77E3A">
        <w:rPr>
          <w:rFonts w:cstheme="minorHAnsi"/>
          <w:b/>
          <w:sz w:val="24"/>
          <w:szCs w:val="24"/>
        </w:rPr>
        <w:t>5</w:t>
      </w:r>
      <w:r w:rsidR="00457E1C" w:rsidRPr="002C310E">
        <w:rPr>
          <w:rFonts w:cstheme="minorHAnsi"/>
          <w:sz w:val="24"/>
          <w:szCs w:val="24"/>
        </w:rPr>
        <w:t xml:space="preserve"> </w:t>
      </w:r>
      <w:r w:rsidRPr="002C310E">
        <w:rPr>
          <w:rFonts w:cstheme="minorHAnsi"/>
          <w:sz w:val="24"/>
          <w:szCs w:val="24"/>
        </w:rPr>
        <w:t>N</w:t>
      </w:r>
      <w:r w:rsidR="00B709CB" w:rsidRPr="002C310E">
        <w:rPr>
          <w:rFonts w:cstheme="minorHAnsi"/>
          <w:sz w:val="24"/>
          <w:szCs w:val="24"/>
        </w:rPr>
        <w:t>KÚ provedl kontrolu u MV jako</w:t>
      </w:r>
      <w:r w:rsidRPr="002C310E">
        <w:rPr>
          <w:rFonts w:cstheme="minorHAnsi"/>
          <w:sz w:val="24"/>
          <w:szCs w:val="24"/>
        </w:rPr>
        <w:t xml:space="preserve"> </w:t>
      </w:r>
      <w:r w:rsidR="00A14490" w:rsidRPr="002C310E">
        <w:rPr>
          <w:rFonts w:cstheme="minorHAnsi"/>
          <w:sz w:val="24"/>
          <w:szCs w:val="24"/>
        </w:rPr>
        <w:t xml:space="preserve">poskytovatele </w:t>
      </w:r>
      <w:r w:rsidR="00B709CB" w:rsidRPr="002C310E">
        <w:rPr>
          <w:rFonts w:cstheme="minorHAnsi"/>
          <w:sz w:val="24"/>
          <w:szCs w:val="24"/>
        </w:rPr>
        <w:t xml:space="preserve">peněžních </w:t>
      </w:r>
      <w:r w:rsidR="0039799D" w:rsidRPr="002C310E">
        <w:rPr>
          <w:rFonts w:cstheme="minorHAnsi"/>
          <w:sz w:val="24"/>
          <w:szCs w:val="24"/>
        </w:rPr>
        <w:t xml:space="preserve">prostředků </w:t>
      </w:r>
      <w:r w:rsidR="00B709CB" w:rsidRPr="002C310E">
        <w:rPr>
          <w:rFonts w:cstheme="minorHAnsi"/>
          <w:sz w:val="24"/>
          <w:szCs w:val="24"/>
        </w:rPr>
        <w:t xml:space="preserve">státu </w:t>
      </w:r>
      <w:r w:rsidR="00A14490" w:rsidRPr="002C310E">
        <w:rPr>
          <w:rFonts w:cstheme="minorHAnsi"/>
          <w:sz w:val="24"/>
          <w:szCs w:val="24"/>
        </w:rPr>
        <w:t xml:space="preserve">odpovědného za řízení vybraných </w:t>
      </w:r>
      <w:r w:rsidRPr="002C310E">
        <w:rPr>
          <w:rFonts w:cstheme="minorHAnsi"/>
          <w:sz w:val="24"/>
          <w:szCs w:val="24"/>
        </w:rPr>
        <w:t>programů</w:t>
      </w:r>
      <w:r w:rsidR="00A14490" w:rsidRPr="002C310E">
        <w:rPr>
          <w:rFonts w:cstheme="minorHAnsi"/>
          <w:sz w:val="24"/>
          <w:szCs w:val="24"/>
        </w:rPr>
        <w:t xml:space="preserve">. Kontrolou bylo </w:t>
      </w:r>
      <w:r w:rsidRPr="002C310E">
        <w:rPr>
          <w:rFonts w:cstheme="minorHAnsi"/>
          <w:sz w:val="24"/>
          <w:szCs w:val="24"/>
        </w:rPr>
        <w:t xml:space="preserve">posouzeno nastavení a plnění </w:t>
      </w:r>
      <w:r w:rsidR="007121FD" w:rsidRPr="002C310E">
        <w:rPr>
          <w:rFonts w:cstheme="minorHAnsi"/>
          <w:sz w:val="24"/>
          <w:szCs w:val="24"/>
        </w:rPr>
        <w:t xml:space="preserve">vybraných </w:t>
      </w:r>
      <w:r w:rsidRPr="002C310E">
        <w:rPr>
          <w:rFonts w:cstheme="minorHAnsi"/>
          <w:sz w:val="24"/>
          <w:szCs w:val="24"/>
        </w:rPr>
        <w:t xml:space="preserve">cílů </w:t>
      </w:r>
      <w:r w:rsidR="00A14490" w:rsidRPr="002C310E">
        <w:rPr>
          <w:rFonts w:cstheme="minorHAnsi"/>
          <w:sz w:val="24"/>
          <w:szCs w:val="24"/>
        </w:rPr>
        <w:t>programů</w:t>
      </w:r>
      <w:r w:rsidR="00831036" w:rsidRPr="002C310E">
        <w:rPr>
          <w:rFonts w:cstheme="minorHAnsi"/>
          <w:sz w:val="24"/>
          <w:szCs w:val="24"/>
        </w:rPr>
        <w:t xml:space="preserve"> a</w:t>
      </w:r>
      <w:r w:rsidR="006C6D6B" w:rsidRPr="002C310E">
        <w:rPr>
          <w:rFonts w:cstheme="minorHAnsi"/>
          <w:sz w:val="24"/>
          <w:szCs w:val="24"/>
        </w:rPr>
        <w:t xml:space="preserve"> </w:t>
      </w:r>
      <w:r w:rsidRPr="002C310E">
        <w:rPr>
          <w:rFonts w:cstheme="minorHAnsi"/>
          <w:sz w:val="24"/>
          <w:szCs w:val="24"/>
        </w:rPr>
        <w:t>činnost MV při po</w:t>
      </w:r>
      <w:r w:rsidR="00457E1C" w:rsidRPr="002C310E">
        <w:rPr>
          <w:rFonts w:cstheme="minorHAnsi"/>
          <w:sz w:val="24"/>
          <w:szCs w:val="24"/>
        </w:rPr>
        <w:t>skytování peněžních prostředků.</w:t>
      </w:r>
      <w:r w:rsidR="00831036" w:rsidRPr="002C310E">
        <w:rPr>
          <w:rFonts w:cstheme="minorHAnsi"/>
          <w:sz w:val="24"/>
          <w:szCs w:val="24"/>
        </w:rPr>
        <w:t xml:space="preserve"> NKÚ dále provedl kontrolu u </w:t>
      </w:r>
      <w:r w:rsidRPr="002C310E">
        <w:rPr>
          <w:rFonts w:cstheme="minorHAnsi"/>
          <w:sz w:val="24"/>
          <w:szCs w:val="24"/>
        </w:rPr>
        <w:t xml:space="preserve">SUZ MV </w:t>
      </w:r>
      <w:r w:rsidR="00B709CB" w:rsidRPr="002C310E">
        <w:rPr>
          <w:rFonts w:cstheme="minorHAnsi"/>
          <w:sz w:val="24"/>
          <w:szCs w:val="24"/>
        </w:rPr>
        <w:t>jako</w:t>
      </w:r>
      <w:r w:rsidR="007121FD" w:rsidRPr="002C310E">
        <w:rPr>
          <w:rFonts w:cstheme="minorHAnsi"/>
          <w:sz w:val="24"/>
          <w:szCs w:val="24"/>
        </w:rPr>
        <w:t xml:space="preserve"> </w:t>
      </w:r>
      <w:r w:rsidR="00BB0105" w:rsidRPr="002C310E">
        <w:rPr>
          <w:rFonts w:cstheme="minorHAnsi"/>
          <w:sz w:val="24"/>
          <w:szCs w:val="24"/>
        </w:rPr>
        <w:t>generálního poskytovatele integračních služeb v rámci SIP</w:t>
      </w:r>
      <w:r w:rsidR="00B93551" w:rsidRPr="002C310E">
        <w:rPr>
          <w:rFonts w:cstheme="minorHAnsi"/>
          <w:sz w:val="24"/>
          <w:szCs w:val="24"/>
        </w:rPr>
        <w:t xml:space="preserve"> </w:t>
      </w:r>
      <w:r w:rsidR="009475BF" w:rsidRPr="002C310E">
        <w:rPr>
          <w:rFonts w:cstheme="minorHAnsi"/>
          <w:sz w:val="24"/>
          <w:szCs w:val="24"/>
        </w:rPr>
        <w:t>a</w:t>
      </w:r>
      <w:r w:rsidR="00B93551" w:rsidRPr="002C310E">
        <w:rPr>
          <w:rFonts w:cstheme="minorHAnsi"/>
          <w:sz w:val="24"/>
          <w:szCs w:val="24"/>
        </w:rPr>
        <w:t xml:space="preserve"> </w:t>
      </w:r>
      <w:r w:rsidR="009475BF" w:rsidRPr="002C310E">
        <w:rPr>
          <w:rFonts w:cstheme="minorHAnsi"/>
          <w:sz w:val="24"/>
          <w:szCs w:val="24"/>
        </w:rPr>
        <w:t xml:space="preserve">posoudil </w:t>
      </w:r>
      <w:r w:rsidR="002E3E20" w:rsidRPr="002C310E">
        <w:rPr>
          <w:rFonts w:cstheme="minorHAnsi"/>
          <w:sz w:val="24"/>
          <w:szCs w:val="24"/>
        </w:rPr>
        <w:t>naplňování</w:t>
      </w:r>
      <w:r w:rsidR="00831036" w:rsidRPr="002C310E">
        <w:rPr>
          <w:rFonts w:cstheme="minorHAnsi"/>
          <w:sz w:val="24"/>
          <w:szCs w:val="24"/>
        </w:rPr>
        <w:t xml:space="preserve"> </w:t>
      </w:r>
      <w:r w:rsidR="002E3E20" w:rsidRPr="002C310E">
        <w:rPr>
          <w:rFonts w:cstheme="minorHAnsi"/>
          <w:sz w:val="24"/>
          <w:szCs w:val="24"/>
        </w:rPr>
        <w:t>SIP</w:t>
      </w:r>
      <w:r w:rsidR="002251AA" w:rsidRPr="002C310E">
        <w:rPr>
          <w:rFonts w:cstheme="minorHAnsi"/>
          <w:sz w:val="24"/>
          <w:szCs w:val="24"/>
        </w:rPr>
        <w:t>.</w:t>
      </w:r>
      <w:r>
        <w:rPr>
          <w:rStyle w:val="Znakapoznpodarou"/>
          <w:rFonts w:cstheme="minorHAnsi"/>
          <w:sz w:val="24"/>
          <w:szCs w:val="24"/>
        </w:rPr>
        <w:footnoteReference w:id="32"/>
      </w:r>
    </w:p>
    <w:p w14:paraId="1D4C9C2E" w14:textId="0EF2B596" w:rsidR="00457E1C" w:rsidRPr="002C310E" w:rsidRDefault="00F04DCF" w:rsidP="00733FC4">
      <w:pPr>
        <w:spacing w:after="120" w:line="240" w:lineRule="auto"/>
        <w:jc w:val="both"/>
        <w:rPr>
          <w:rFonts w:cstheme="minorHAnsi"/>
          <w:sz w:val="24"/>
          <w:szCs w:val="24"/>
        </w:rPr>
      </w:pPr>
      <w:r w:rsidRPr="00A77E3A">
        <w:rPr>
          <w:rFonts w:cstheme="minorHAnsi"/>
          <w:b/>
          <w:sz w:val="24"/>
          <w:szCs w:val="24"/>
        </w:rPr>
        <w:t>3.</w:t>
      </w:r>
      <w:r w:rsidR="00533102" w:rsidRPr="00A77E3A">
        <w:rPr>
          <w:rFonts w:cstheme="minorHAnsi"/>
          <w:b/>
          <w:sz w:val="24"/>
          <w:szCs w:val="24"/>
        </w:rPr>
        <w:t>6</w:t>
      </w:r>
      <w:r w:rsidRPr="002C310E">
        <w:rPr>
          <w:rFonts w:cstheme="minorHAnsi"/>
          <w:sz w:val="24"/>
          <w:szCs w:val="24"/>
        </w:rPr>
        <w:t xml:space="preserve"> </w:t>
      </w:r>
      <w:r w:rsidR="00785F12" w:rsidRPr="002C310E">
        <w:rPr>
          <w:rFonts w:cstheme="minorHAnsi"/>
          <w:sz w:val="24"/>
          <w:szCs w:val="24"/>
        </w:rPr>
        <w:t>Ke ko</w:t>
      </w:r>
      <w:r w:rsidR="00DB440A" w:rsidRPr="002C310E">
        <w:rPr>
          <w:rFonts w:cstheme="minorHAnsi"/>
          <w:sz w:val="24"/>
          <w:szCs w:val="24"/>
        </w:rPr>
        <w:t xml:space="preserve">ntrole byl vybrán vzorek </w:t>
      </w:r>
      <w:r w:rsidR="0039799D" w:rsidRPr="002C310E">
        <w:rPr>
          <w:rFonts w:cstheme="minorHAnsi"/>
          <w:sz w:val="24"/>
          <w:szCs w:val="24"/>
        </w:rPr>
        <w:t xml:space="preserve">33 </w:t>
      </w:r>
      <w:r w:rsidR="00785F12" w:rsidRPr="002C310E">
        <w:rPr>
          <w:rFonts w:cstheme="minorHAnsi"/>
          <w:sz w:val="24"/>
          <w:szCs w:val="24"/>
        </w:rPr>
        <w:t xml:space="preserve">projektů realizovaných u sedmi příjemců podpory </w:t>
      </w:r>
      <w:r w:rsidR="00BB0105" w:rsidRPr="002C310E">
        <w:rPr>
          <w:rFonts w:cstheme="minorHAnsi"/>
          <w:sz w:val="24"/>
          <w:szCs w:val="24"/>
        </w:rPr>
        <w:t xml:space="preserve">včetně MV a SUZ MV </w:t>
      </w:r>
      <w:r w:rsidR="002A450E" w:rsidRPr="002C310E">
        <w:rPr>
          <w:rFonts w:cstheme="minorHAnsi"/>
          <w:sz w:val="24"/>
          <w:szCs w:val="24"/>
        </w:rPr>
        <w:t>(</w:t>
      </w:r>
      <w:r w:rsidR="00A576FC" w:rsidRPr="002C310E">
        <w:rPr>
          <w:rFonts w:cstheme="minorHAnsi"/>
          <w:sz w:val="24"/>
          <w:szCs w:val="24"/>
        </w:rPr>
        <w:t>dále též „</w:t>
      </w:r>
      <w:r w:rsidR="00912570" w:rsidRPr="002C310E">
        <w:rPr>
          <w:rFonts w:cstheme="minorHAnsi"/>
          <w:sz w:val="24"/>
          <w:szCs w:val="24"/>
        </w:rPr>
        <w:t>vybra</w:t>
      </w:r>
      <w:r w:rsidR="00A576FC" w:rsidRPr="002C310E">
        <w:rPr>
          <w:rFonts w:cstheme="minorHAnsi"/>
          <w:sz w:val="24"/>
          <w:szCs w:val="24"/>
        </w:rPr>
        <w:t>né projekty“</w:t>
      </w:r>
      <w:r w:rsidR="00785F12" w:rsidRPr="002C310E">
        <w:rPr>
          <w:rFonts w:cstheme="minorHAnsi"/>
          <w:sz w:val="24"/>
          <w:szCs w:val="24"/>
        </w:rPr>
        <w:t>). Vzorek se skládal z</w:t>
      </w:r>
      <w:r w:rsidR="006F1299" w:rsidRPr="002C310E">
        <w:rPr>
          <w:rFonts w:cstheme="minorHAnsi"/>
          <w:sz w:val="24"/>
          <w:szCs w:val="24"/>
        </w:rPr>
        <w:t>e</w:t>
      </w:r>
      <w:r w:rsidR="00BB0105" w:rsidRPr="002C310E">
        <w:rPr>
          <w:rFonts w:cstheme="minorHAnsi"/>
          <w:sz w:val="24"/>
          <w:szCs w:val="24"/>
        </w:rPr>
        <w:t> </w:t>
      </w:r>
      <w:r w:rsidR="006F1299" w:rsidRPr="002C310E">
        <w:rPr>
          <w:rFonts w:cstheme="minorHAnsi"/>
          <w:sz w:val="24"/>
          <w:szCs w:val="24"/>
        </w:rPr>
        <w:t xml:space="preserve">sedmi projektů financovaných z NP ISF, </w:t>
      </w:r>
      <w:r w:rsidR="00BB0105" w:rsidRPr="002C310E">
        <w:rPr>
          <w:rFonts w:cstheme="minorHAnsi"/>
          <w:sz w:val="24"/>
          <w:szCs w:val="24"/>
        </w:rPr>
        <w:t xml:space="preserve">20 </w:t>
      </w:r>
      <w:r w:rsidR="00785F12" w:rsidRPr="002C310E">
        <w:rPr>
          <w:rFonts w:cstheme="minorHAnsi"/>
          <w:sz w:val="24"/>
          <w:szCs w:val="24"/>
        </w:rPr>
        <w:t xml:space="preserve">projektů </w:t>
      </w:r>
      <w:r w:rsidR="006F1299" w:rsidRPr="002C310E">
        <w:rPr>
          <w:rFonts w:cstheme="minorHAnsi"/>
          <w:sz w:val="24"/>
          <w:szCs w:val="24"/>
        </w:rPr>
        <w:t>financovaných z NP AMIF</w:t>
      </w:r>
      <w:r w:rsidR="007D2490">
        <w:rPr>
          <w:rFonts w:cstheme="minorHAnsi"/>
          <w:sz w:val="24"/>
          <w:szCs w:val="24"/>
        </w:rPr>
        <w:t xml:space="preserve"> a</w:t>
      </w:r>
      <w:r w:rsidR="00B93551" w:rsidRPr="002C310E">
        <w:rPr>
          <w:rFonts w:cstheme="minorHAnsi"/>
          <w:sz w:val="24"/>
          <w:szCs w:val="24"/>
        </w:rPr>
        <w:t xml:space="preserve"> </w:t>
      </w:r>
      <w:r w:rsidR="00BB0105" w:rsidRPr="002C310E">
        <w:rPr>
          <w:rFonts w:cstheme="minorHAnsi"/>
          <w:sz w:val="24"/>
          <w:szCs w:val="24"/>
        </w:rPr>
        <w:t xml:space="preserve">šesti projektů financovaných z programu </w:t>
      </w:r>
      <w:r w:rsidR="00BB0105" w:rsidRPr="00222605">
        <w:rPr>
          <w:rFonts w:cstheme="minorHAnsi"/>
          <w:sz w:val="24"/>
          <w:szCs w:val="24"/>
        </w:rPr>
        <w:t>Pomoc na místě</w:t>
      </w:r>
      <w:r w:rsidR="007D2490">
        <w:rPr>
          <w:rFonts w:cstheme="minorHAnsi"/>
          <w:sz w:val="24"/>
          <w:szCs w:val="24"/>
        </w:rPr>
        <w:t>. NKÚ dále prověřil</w:t>
      </w:r>
      <w:r w:rsidR="00BB0105" w:rsidRPr="002C310E">
        <w:rPr>
          <w:rFonts w:cstheme="minorHAnsi"/>
          <w:sz w:val="24"/>
          <w:szCs w:val="24"/>
        </w:rPr>
        <w:t xml:space="preserve"> </w:t>
      </w:r>
      <w:r w:rsidR="0048039B" w:rsidRPr="002C310E">
        <w:rPr>
          <w:rFonts w:cstheme="minorHAnsi"/>
          <w:sz w:val="24"/>
          <w:szCs w:val="24"/>
        </w:rPr>
        <w:t>39 integračních plánů financovaných ze SIP a zajišťovaných SUZ MV</w:t>
      </w:r>
      <w:r>
        <w:rPr>
          <w:rStyle w:val="Znakapoznpodarou"/>
          <w:rFonts w:cstheme="minorHAnsi"/>
          <w:sz w:val="24"/>
          <w:szCs w:val="24"/>
        </w:rPr>
        <w:footnoteReference w:id="33"/>
      </w:r>
      <w:r w:rsidR="00A576FC" w:rsidRPr="002C310E">
        <w:rPr>
          <w:rFonts w:cstheme="minorHAnsi"/>
          <w:sz w:val="24"/>
          <w:szCs w:val="24"/>
        </w:rPr>
        <w:t xml:space="preserve"> (dále též „</w:t>
      </w:r>
      <w:r w:rsidR="00912570" w:rsidRPr="002C310E">
        <w:rPr>
          <w:rFonts w:cstheme="minorHAnsi"/>
          <w:sz w:val="24"/>
          <w:szCs w:val="24"/>
        </w:rPr>
        <w:t>vybrané</w:t>
      </w:r>
      <w:r w:rsidR="00A576FC" w:rsidRPr="002C310E">
        <w:rPr>
          <w:rFonts w:cstheme="minorHAnsi"/>
          <w:sz w:val="24"/>
          <w:szCs w:val="24"/>
        </w:rPr>
        <w:t xml:space="preserve"> integrační plány“)</w:t>
      </w:r>
      <w:r w:rsidR="0048039B" w:rsidRPr="002C310E">
        <w:rPr>
          <w:rFonts w:cstheme="minorHAnsi"/>
          <w:sz w:val="24"/>
          <w:szCs w:val="24"/>
        </w:rPr>
        <w:t xml:space="preserve">. </w:t>
      </w:r>
      <w:r w:rsidR="00040725" w:rsidRPr="002C310E">
        <w:rPr>
          <w:rFonts w:cstheme="minorHAnsi"/>
          <w:sz w:val="24"/>
          <w:szCs w:val="24"/>
        </w:rPr>
        <w:t xml:space="preserve">U </w:t>
      </w:r>
      <w:r w:rsidR="002551F2" w:rsidRPr="002C310E">
        <w:rPr>
          <w:rFonts w:cstheme="minorHAnsi"/>
          <w:sz w:val="24"/>
          <w:szCs w:val="24"/>
        </w:rPr>
        <w:t>vybraných projektů NKÚ posuz</w:t>
      </w:r>
      <w:r w:rsidR="00040725" w:rsidRPr="002C310E">
        <w:rPr>
          <w:rFonts w:cstheme="minorHAnsi"/>
          <w:sz w:val="24"/>
          <w:szCs w:val="24"/>
        </w:rPr>
        <w:t xml:space="preserve">oval především jejich účelnost a efektivnost (viz příloha č. </w:t>
      </w:r>
      <w:r w:rsidR="001D5D00">
        <w:rPr>
          <w:rFonts w:cstheme="minorHAnsi"/>
          <w:sz w:val="24"/>
          <w:szCs w:val="24"/>
        </w:rPr>
        <w:t>3</w:t>
      </w:r>
      <w:r w:rsidR="00366836">
        <w:rPr>
          <w:rFonts w:cstheme="minorHAnsi"/>
          <w:sz w:val="24"/>
          <w:szCs w:val="24"/>
        </w:rPr>
        <w:t xml:space="preserve"> </w:t>
      </w:r>
      <w:r w:rsidR="00366836">
        <w:rPr>
          <w:rFonts w:eastAsia="Times New Roman" w:cstheme="minorHAnsi"/>
          <w:sz w:val="24"/>
          <w:szCs w:val="24"/>
        </w:rPr>
        <w:t>tohoto kontrolního závěru</w:t>
      </w:r>
      <w:r w:rsidR="00040725" w:rsidRPr="002C310E">
        <w:rPr>
          <w:rFonts w:cstheme="minorHAnsi"/>
          <w:sz w:val="24"/>
          <w:szCs w:val="24"/>
        </w:rPr>
        <w:t xml:space="preserve">). </w:t>
      </w:r>
      <w:r w:rsidR="00A5029E" w:rsidRPr="002C310E">
        <w:rPr>
          <w:rFonts w:cstheme="minorHAnsi"/>
          <w:sz w:val="24"/>
          <w:szCs w:val="24"/>
        </w:rPr>
        <w:t xml:space="preserve">Soulad s právními předpisy byl </w:t>
      </w:r>
      <w:r w:rsidR="00047120" w:rsidRPr="002C310E">
        <w:rPr>
          <w:rFonts w:cstheme="minorHAnsi"/>
          <w:sz w:val="24"/>
          <w:szCs w:val="24"/>
        </w:rPr>
        <w:t>kontrolován</w:t>
      </w:r>
      <w:r w:rsidR="00A5029E" w:rsidRPr="002C310E">
        <w:rPr>
          <w:rFonts w:cstheme="minorHAnsi"/>
          <w:sz w:val="24"/>
          <w:szCs w:val="24"/>
        </w:rPr>
        <w:t xml:space="preserve"> v přímé souvislosti s posuzováním hospodárnosti</w:t>
      </w:r>
      <w:r w:rsidR="00785F12" w:rsidRPr="002C310E">
        <w:rPr>
          <w:rFonts w:cstheme="minorHAnsi"/>
          <w:sz w:val="24"/>
          <w:szCs w:val="24"/>
        </w:rPr>
        <w:t xml:space="preserve">, </w:t>
      </w:r>
      <w:r w:rsidR="00386EF3" w:rsidRPr="002C310E">
        <w:rPr>
          <w:rFonts w:cstheme="minorHAnsi"/>
          <w:sz w:val="24"/>
          <w:szCs w:val="24"/>
        </w:rPr>
        <w:lastRenderedPageBreak/>
        <w:t xml:space="preserve">efektivnosti a účelnosti, </w:t>
      </w:r>
      <w:r w:rsidR="00785F12" w:rsidRPr="002C310E">
        <w:rPr>
          <w:rFonts w:cstheme="minorHAnsi"/>
          <w:sz w:val="24"/>
          <w:szCs w:val="24"/>
        </w:rPr>
        <w:t xml:space="preserve">přičemž právní předpisy </w:t>
      </w:r>
      <w:r w:rsidR="00CB378E" w:rsidRPr="002C310E">
        <w:rPr>
          <w:rFonts w:cstheme="minorHAnsi"/>
          <w:sz w:val="24"/>
          <w:szCs w:val="24"/>
        </w:rPr>
        <w:t xml:space="preserve">byly </w:t>
      </w:r>
      <w:r w:rsidR="00785F12" w:rsidRPr="002C310E">
        <w:rPr>
          <w:rFonts w:cstheme="minorHAnsi"/>
          <w:sz w:val="24"/>
          <w:szCs w:val="24"/>
        </w:rPr>
        <w:t>aplikovány ve znění ú</w:t>
      </w:r>
      <w:r w:rsidR="007026CF" w:rsidRPr="002C310E">
        <w:rPr>
          <w:rFonts w:cstheme="minorHAnsi"/>
          <w:sz w:val="24"/>
          <w:szCs w:val="24"/>
        </w:rPr>
        <w:t>činném pro kontrolované období.</w:t>
      </w:r>
    </w:p>
    <w:p w14:paraId="1F104397" w14:textId="1B449647" w:rsidR="006F1F22" w:rsidRPr="002C310E" w:rsidRDefault="00F04DCF" w:rsidP="00A77E3A">
      <w:pPr>
        <w:spacing w:after="0" w:line="240" w:lineRule="auto"/>
        <w:jc w:val="both"/>
        <w:rPr>
          <w:rFonts w:cstheme="minorHAnsi"/>
          <w:sz w:val="24"/>
          <w:szCs w:val="24"/>
        </w:rPr>
      </w:pPr>
      <w:r w:rsidRPr="00A77E3A">
        <w:rPr>
          <w:rFonts w:cstheme="minorHAnsi"/>
          <w:b/>
          <w:sz w:val="24"/>
          <w:szCs w:val="24"/>
        </w:rPr>
        <w:t>3.</w:t>
      </w:r>
      <w:r w:rsidR="00533102" w:rsidRPr="00A77E3A">
        <w:rPr>
          <w:rFonts w:cstheme="minorHAnsi"/>
          <w:b/>
          <w:sz w:val="24"/>
          <w:szCs w:val="24"/>
        </w:rPr>
        <w:t>7</w:t>
      </w:r>
      <w:r w:rsidR="00457E1C" w:rsidRPr="002C310E">
        <w:rPr>
          <w:rFonts w:cstheme="minorHAnsi"/>
          <w:sz w:val="24"/>
          <w:szCs w:val="24"/>
        </w:rPr>
        <w:t xml:space="preserve"> </w:t>
      </w:r>
      <w:r w:rsidRPr="002C310E">
        <w:rPr>
          <w:rFonts w:cstheme="minorHAnsi"/>
          <w:sz w:val="24"/>
          <w:szCs w:val="24"/>
        </w:rPr>
        <w:t xml:space="preserve">NKÚ </w:t>
      </w:r>
      <w:r w:rsidR="0082194F" w:rsidRPr="002C310E">
        <w:rPr>
          <w:rFonts w:cstheme="minorHAnsi"/>
          <w:sz w:val="24"/>
          <w:szCs w:val="24"/>
        </w:rPr>
        <w:t xml:space="preserve">provedl výběr </w:t>
      </w:r>
      <w:r w:rsidRPr="002C310E">
        <w:rPr>
          <w:rFonts w:cstheme="minorHAnsi"/>
          <w:sz w:val="24"/>
          <w:szCs w:val="24"/>
        </w:rPr>
        <w:t>projekt</w:t>
      </w:r>
      <w:r w:rsidR="0082194F" w:rsidRPr="002C310E">
        <w:rPr>
          <w:rFonts w:cstheme="minorHAnsi"/>
          <w:sz w:val="24"/>
          <w:szCs w:val="24"/>
        </w:rPr>
        <w:t>ů</w:t>
      </w:r>
      <w:r w:rsidRPr="002C310E">
        <w:rPr>
          <w:rFonts w:cstheme="minorHAnsi"/>
          <w:sz w:val="24"/>
          <w:szCs w:val="24"/>
        </w:rPr>
        <w:t xml:space="preserve"> </w:t>
      </w:r>
      <w:r w:rsidR="002251AA" w:rsidRPr="002C310E">
        <w:rPr>
          <w:rFonts w:cstheme="minorHAnsi"/>
          <w:sz w:val="24"/>
          <w:szCs w:val="24"/>
        </w:rPr>
        <w:t>a integrační</w:t>
      </w:r>
      <w:r w:rsidR="0082194F" w:rsidRPr="002C310E">
        <w:rPr>
          <w:rFonts w:cstheme="minorHAnsi"/>
          <w:sz w:val="24"/>
          <w:szCs w:val="24"/>
        </w:rPr>
        <w:t>ch plánů</w:t>
      </w:r>
      <w:r w:rsidR="002251AA" w:rsidRPr="002C310E">
        <w:rPr>
          <w:rFonts w:cstheme="minorHAnsi"/>
          <w:sz w:val="24"/>
          <w:szCs w:val="24"/>
        </w:rPr>
        <w:t xml:space="preserve"> </w:t>
      </w:r>
      <w:r w:rsidRPr="002C310E">
        <w:rPr>
          <w:rFonts w:cstheme="minorHAnsi"/>
          <w:sz w:val="24"/>
          <w:szCs w:val="24"/>
        </w:rPr>
        <w:t xml:space="preserve">ke kontrole tak, aby zajistil </w:t>
      </w:r>
      <w:r w:rsidR="00465F73" w:rsidRPr="002C310E">
        <w:rPr>
          <w:rFonts w:cstheme="minorHAnsi"/>
          <w:sz w:val="24"/>
          <w:szCs w:val="24"/>
        </w:rPr>
        <w:t>dostatečně reprezentativní vzorek</w:t>
      </w:r>
      <w:r w:rsidR="005C3ECC" w:rsidRPr="002C310E">
        <w:rPr>
          <w:rFonts w:cstheme="minorHAnsi"/>
          <w:sz w:val="24"/>
          <w:szCs w:val="24"/>
        </w:rPr>
        <w:t>.</w:t>
      </w:r>
      <w:r w:rsidR="00B93551" w:rsidRPr="002C310E">
        <w:rPr>
          <w:rFonts w:cstheme="minorHAnsi"/>
          <w:sz w:val="24"/>
          <w:szCs w:val="24"/>
        </w:rPr>
        <w:t xml:space="preserve"> </w:t>
      </w:r>
      <w:r w:rsidR="0082194F" w:rsidRPr="002C310E">
        <w:rPr>
          <w:rFonts w:cstheme="minorHAnsi"/>
          <w:sz w:val="24"/>
          <w:szCs w:val="24"/>
        </w:rPr>
        <w:t xml:space="preserve">Při výběru vzorku </w:t>
      </w:r>
      <w:r w:rsidR="005C3ECC" w:rsidRPr="002C310E">
        <w:rPr>
          <w:rFonts w:cstheme="minorHAnsi"/>
          <w:sz w:val="24"/>
          <w:szCs w:val="24"/>
        </w:rPr>
        <w:t xml:space="preserve">bylo zohledněno </w:t>
      </w:r>
      <w:r w:rsidR="00AC240D" w:rsidRPr="002C310E">
        <w:rPr>
          <w:rFonts w:cstheme="minorHAnsi"/>
          <w:sz w:val="24"/>
          <w:szCs w:val="24"/>
        </w:rPr>
        <w:t>maximáln</w:t>
      </w:r>
      <w:r w:rsidR="005C3ECC" w:rsidRPr="002C310E">
        <w:rPr>
          <w:rFonts w:cstheme="minorHAnsi"/>
          <w:sz w:val="24"/>
          <w:szCs w:val="24"/>
        </w:rPr>
        <w:t>í</w:t>
      </w:r>
      <w:r w:rsidR="00AC240D" w:rsidRPr="002C310E">
        <w:rPr>
          <w:rFonts w:cstheme="minorHAnsi"/>
          <w:sz w:val="24"/>
          <w:szCs w:val="24"/>
        </w:rPr>
        <w:t xml:space="preserve"> pokry</w:t>
      </w:r>
      <w:r w:rsidR="005C3ECC" w:rsidRPr="002C310E">
        <w:rPr>
          <w:rFonts w:cstheme="minorHAnsi"/>
          <w:sz w:val="24"/>
          <w:szCs w:val="24"/>
        </w:rPr>
        <w:t>tí</w:t>
      </w:r>
      <w:r w:rsidRPr="002C310E">
        <w:rPr>
          <w:rFonts w:cstheme="minorHAnsi"/>
          <w:sz w:val="24"/>
          <w:szCs w:val="24"/>
        </w:rPr>
        <w:t xml:space="preserve"> </w:t>
      </w:r>
      <w:r w:rsidR="005C3ECC" w:rsidRPr="002C310E">
        <w:rPr>
          <w:rFonts w:cstheme="minorHAnsi"/>
          <w:sz w:val="24"/>
          <w:szCs w:val="24"/>
        </w:rPr>
        <w:t>nejvíce podporovaných</w:t>
      </w:r>
      <w:r w:rsidR="005C6135" w:rsidRPr="002C310E">
        <w:rPr>
          <w:rFonts w:cstheme="minorHAnsi"/>
          <w:sz w:val="24"/>
          <w:szCs w:val="24"/>
        </w:rPr>
        <w:t xml:space="preserve"> oblastí</w:t>
      </w:r>
      <w:r w:rsidR="002251AA" w:rsidRPr="002C310E">
        <w:rPr>
          <w:rFonts w:cstheme="minorHAnsi"/>
          <w:sz w:val="24"/>
          <w:szCs w:val="24"/>
        </w:rPr>
        <w:t xml:space="preserve"> migrační politiky</w:t>
      </w:r>
      <w:r w:rsidR="005C3ECC" w:rsidRPr="002C310E">
        <w:rPr>
          <w:rFonts w:cstheme="minorHAnsi"/>
          <w:sz w:val="24"/>
          <w:szCs w:val="24"/>
        </w:rPr>
        <w:t xml:space="preserve"> (</w:t>
      </w:r>
      <w:r w:rsidR="005C6135" w:rsidRPr="002C310E">
        <w:rPr>
          <w:rFonts w:cstheme="minorHAnsi"/>
          <w:sz w:val="24"/>
          <w:szCs w:val="24"/>
        </w:rPr>
        <w:t>schengenská</w:t>
      </w:r>
      <w:r w:rsidR="005C3ECC" w:rsidRPr="002C310E">
        <w:rPr>
          <w:rFonts w:cstheme="minorHAnsi"/>
          <w:sz w:val="24"/>
          <w:szCs w:val="24"/>
        </w:rPr>
        <w:t xml:space="preserve"> </w:t>
      </w:r>
      <w:r w:rsidR="005C6135" w:rsidRPr="002C310E">
        <w:rPr>
          <w:rFonts w:cstheme="minorHAnsi"/>
          <w:sz w:val="24"/>
          <w:szCs w:val="24"/>
        </w:rPr>
        <w:t>spolupráce</w:t>
      </w:r>
      <w:r w:rsidR="005C3ECC" w:rsidRPr="002C310E">
        <w:rPr>
          <w:rFonts w:cstheme="minorHAnsi"/>
          <w:sz w:val="24"/>
          <w:szCs w:val="24"/>
        </w:rPr>
        <w:t>, vnější migrace, integrace</w:t>
      </w:r>
      <w:r w:rsidR="0082194F" w:rsidRPr="002C310E">
        <w:rPr>
          <w:rFonts w:cstheme="minorHAnsi"/>
          <w:sz w:val="24"/>
          <w:szCs w:val="24"/>
        </w:rPr>
        <w:t>, azyl</w:t>
      </w:r>
      <w:r w:rsidR="005C3ECC" w:rsidRPr="002C310E">
        <w:rPr>
          <w:rFonts w:cstheme="minorHAnsi"/>
          <w:sz w:val="24"/>
          <w:szCs w:val="24"/>
        </w:rPr>
        <w:t>) a z</w:t>
      </w:r>
      <w:r w:rsidRPr="002C310E">
        <w:rPr>
          <w:rFonts w:cstheme="minorHAnsi"/>
          <w:sz w:val="24"/>
          <w:szCs w:val="24"/>
        </w:rPr>
        <w:t xml:space="preserve">ároveň </w:t>
      </w:r>
      <w:r w:rsidR="005C3ECC" w:rsidRPr="002C310E">
        <w:rPr>
          <w:rFonts w:cstheme="minorHAnsi"/>
          <w:sz w:val="24"/>
          <w:szCs w:val="24"/>
        </w:rPr>
        <w:t xml:space="preserve">jsou ve vzorku </w:t>
      </w:r>
      <w:r w:rsidRPr="002C310E">
        <w:rPr>
          <w:rFonts w:cstheme="minorHAnsi"/>
          <w:sz w:val="24"/>
          <w:szCs w:val="24"/>
        </w:rPr>
        <w:t>zastoupen</w:t>
      </w:r>
      <w:r w:rsidR="005C3ECC" w:rsidRPr="002C310E">
        <w:rPr>
          <w:rFonts w:cstheme="minorHAnsi"/>
          <w:sz w:val="24"/>
          <w:szCs w:val="24"/>
        </w:rPr>
        <w:t>y</w:t>
      </w:r>
      <w:r w:rsidRPr="002C310E">
        <w:rPr>
          <w:rFonts w:cstheme="minorHAnsi"/>
          <w:sz w:val="24"/>
          <w:szCs w:val="24"/>
        </w:rPr>
        <w:t xml:space="preserve"> </w:t>
      </w:r>
      <w:r w:rsidR="002251AA" w:rsidRPr="002C310E">
        <w:rPr>
          <w:rFonts w:cstheme="minorHAnsi"/>
          <w:sz w:val="24"/>
          <w:szCs w:val="24"/>
        </w:rPr>
        <w:t xml:space="preserve">jak </w:t>
      </w:r>
      <w:r w:rsidR="001302D7" w:rsidRPr="002C310E">
        <w:rPr>
          <w:rFonts w:cstheme="minorHAnsi"/>
          <w:sz w:val="24"/>
          <w:szCs w:val="24"/>
        </w:rPr>
        <w:t xml:space="preserve">organizační složky </w:t>
      </w:r>
      <w:r w:rsidR="00E46B4A" w:rsidRPr="002C310E">
        <w:rPr>
          <w:rFonts w:cstheme="minorHAnsi"/>
          <w:sz w:val="24"/>
          <w:szCs w:val="24"/>
        </w:rPr>
        <w:t>státu,</w:t>
      </w:r>
      <w:r w:rsidR="001302D7" w:rsidRPr="002C310E">
        <w:rPr>
          <w:rFonts w:cstheme="minorHAnsi"/>
          <w:sz w:val="24"/>
          <w:szCs w:val="24"/>
        </w:rPr>
        <w:t xml:space="preserve"> </w:t>
      </w:r>
      <w:r w:rsidR="005C3ECC" w:rsidRPr="002C310E">
        <w:rPr>
          <w:rFonts w:cstheme="minorHAnsi"/>
          <w:sz w:val="24"/>
          <w:szCs w:val="24"/>
        </w:rPr>
        <w:t xml:space="preserve">tak i nevládní </w:t>
      </w:r>
      <w:r w:rsidR="002251AA" w:rsidRPr="002C310E">
        <w:rPr>
          <w:rFonts w:cstheme="minorHAnsi"/>
          <w:sz w:val="24"/>
          <w:szCs w:val="24"/>
        </w:rPr>
        <w:t>neziskové organizace</w:t>
      </w:r>
      <w:r w:rsidR="00026744" w:rsidRPr="002C310E">
        <w:rPr>
          <w:rFonts w:cstheme="minorHAnsi"/>
          <w:sz w:val="24"/>
          <w:szCs w:val="24"/>
        </w:rPr>
        <w:t xml:space="preserve"> v pozici příjemců</w:t>
      </w:r>
      <w:r w:rsidR="0082194F" w:rsidRPr="002C310E">
        <w:rPr>
          <w:rFonts w:cstheme="minorHAnsi"/>
          <w:sz w:val="24"/>
          <w:szCs w:val="24"/>
        </w:rPr>
        <w:t>.</w:t>
      </w:r>
    </w:p>
    <w:p w14:paraId="4DFDB825" w14:textId="34091D06" w:rsidR="00340CBF" w:rsidRPr="002C310E" w:rsidRDefault="00F04DCF" w:rsidP="00A77E3A">
      <w:pPr>
        <w:pStyle w:val="Odstavecseseznamem"/>
        <w:numPr>
          <w:ilvl w:val="0"/>
          <w:numId w:val="3"/>
        </w:numPr>
        <w:spacing w:after="0" w:line="240" w:lineRule="auto"/>
        <w:ind w:left="284" w:hanging="284"/>
        <w:jc w:val="both"/>
        <w:rPr>
          <w:rFonts w:cstheme="minorHAnsi"/>
          <w:sz w:val="24"/>
          <w:szCs w:val="24"/>
          <w:lang w:eastAsia="cs-CZ"/>
        </w:rPr>
      </w:pPr>
      <w:r w:rsidRPr="002C310E">
        <w:rPr>
          <w:rFonts w:cstheme="minorHAnsi"/>
          <w:sz w:val="24"/>
          <w:szCs w:val="24"/>
        </w:rPr>
        <w:t>Na v</w:t>
      </w:r>
      <w:r w:rsidR="00DB440A" w:rsidRPr="002C310E">
        <w:rPr>
          <w:rFonts w:cstheme="minorHAnsi"/>
          <w:sz w:val="24"/>
          <w:szCs w:val="24"/>
        </w:rPr>
        <w:t xml:space="preserve">zorek </w:t>
      </w:r>
      <w:r w:rsidR="005C3ECC" w:rsidRPr="002C310E">
        <w:rPr>
          <w:rFonts w:cstheme="minorHAnsi"/>
          <w:sz w:val="24"/>
          <w:szCs w:val="24"/>
        </w:rPr>
        <w:t xml:space="preserve">27 </w:t>
      </w:r>
      <w:r w:rsidR="002D60DC" w:rsidRPr="002C310E">
        <w:rPr>
          <w:rFonts w:cstheme="minorHAnsi"/>
          <w:sz w:val="24"/>
          <w:szCs w:val="24"/>
        </w:rPr>
        <w:t xml:space="preserve">projektů vybraných </w:t>
      </w:r>
      <w:r w:rsidR="00E63436" w:rsidRPr="002C310E">
        <w:rPr>
          <w:rFonts w:cstheme="minorHAnsi"/>
          <w:sz w:val="24"/>
          <w:szCs w:val="24"/>
        </w:rPr>
        <w:t>z NP AMIF a NP ISF</w:t>
      </w:r>
      <w:r w:rsidR="00D41E4E">
        <w:rPr>
          <w:rFonts w:cstheme="minorHAnsi"/>
          <w:sz w:val="24"/>
          <w:szCs w:val="24"/>
        </w:rPr>
        <w:t xml:space="preserve"> – </w:t>
      </w:r>
      <w:r w:rsidR="00D41E4E" w:rsidRPr="0078337A">
        <w:rPr>
          <w:rFonts w:cstheme="minorHAnsi"/>
          <w:sz w:val="24"/>
          <w:szCs w:val="24"/>
        </w:rPr>
        <w:t xml:space="preserve">části </w:t>
      </w:r>
      <w:r w:rsidR="00D41E4E" w:rsidRPr="00AF2905">
        <w:rPr>
          <w:rFonts w:cstheme="minorHAnsi"/>
          <w:i/>
          <w:sz w:val="24"/>
          <w:szCs w:val="24"/>
        </w:rPr>
        <w:t>Hranice</w:t>
      </w:r>
      <w:r w:rsidR="00E63436" w:rsidRPr="002C310E">
        <w:rPr>
          <w:rFonts w:cstheme="minorHAnsi"/>
          <w:sz w:val="24"/>
          <w:szCs w:val="24"/>
        </w:rPr>
        <w:t xml:space="preserve"> </w:t>
      </w:r>
      <w:r w:rsidRPr="002C310E">
        <w:rPr>
          <w:rFonts w:cstheme="minorHAnsi"/>
          <w:sz w:val="24"/>
          <w:szCs w:val="24"/>
        </w:rPr>
        <w:t>bylo poskytnuto 445,</w:t>
      </w:r>
      <w:r w:rsidR="00A270B5">
        <w:rPr>
          <w:rFonts w:cstheme="minorHAnsi"/>
          <w:sz w:val="24"/>
          <w:szCs w:val="24"/>
        </w:rPr>
        <w:t>3</w:t>
      </w:r>
      <w:r w:rsidR="00A77E3A">
        <w:rPr>
          <w:rFonts w:cstheme="minorHAnsi"/>
          <w:sz w:val="24"/>
          <w:szCs w:val="24"/>
        </w:rPr>
        <w:t> mil. </w:t>
      </w:r>
      <w:r w:rsidRPr="002C310E">
        <w:rPr>
          <w:rFonts w:cstheme="minorHAnsi"/>
          <w:sz w:val="24"/>
          <w:szCs w:val="24"/>
        </w:rPr>
        <w:t xml:space="preserve">Kč, což představuje </w:t>
      </w:r>
      <w:r w:rsidR="003566E0">
        <w:rPr>
          <w:rFonts w:cstheme="minorHAnsi"/>
          <w:sz w:val="24"/>
          <w:szCs w:val="24"/>
        </w:rPr>
        <w:t>55</w:t>
      </w:r>
      <w:r w:rsidRPr="002C310E">
        <w:rPr>
          <w:rFonts w:cstheme="minorHAnsi"/>
          <w:sz w:val="24"/>
          <w:szCs w:val="24"/>
        </w:rPr>
        <w:t xml:space="preserve"> % z celkových skutečně čerpaných prostředků obou programů ve výši </w:t>
      </w:r>
      <w:r w:rsidR="003566E0">
        <w:rPr>
          <w:rFonts w:cstheme="minorHAnsi"/>
          <w:sz w:val="24"/>
          <w:szCs w:val="24"/>
        </w:rPr>
        <w:t>808,9</w:t>
      </w:r>
      <w:r w:rsidRPr="002C310E">
        <w:rPr>
          <w:rFonts w:cstheme="minorHAnsi"/>
          <w:sz w:val="24"/>
          <w:szCs w:val="24"/>
        </w:rPr>
        <w:t xml:space="preserve"> mil. Kč.</w:t>
      </w:r>
      <w:r>
        <w:rPr>
          <w:rStyle w:val="Znakapoznpodarou"/>
          <w:rFonts w:cstheme="minorHAnsi"/>
          <w:sz w:val="24"/>
          <w:szCs w:val="24"/>
        </w:rPr>
        <w:footnoteReference w:id="34"/>
      </w:r>
      <w:r w:rsidRPr="002C310E">
        <w:rPr>
          <w:rFonts w:cstheme="minorHAnsi"/>
          <w:sz w:val="24"/>
          <w:szCs w:val="24"/>
        </w:rPr>
        <w:t xml:space="preserve"> </w:t>
      </w:r>
      <w:r w:rsidR="0082194F" w:rsidRPr="002C310E">
        <w:rPr>
          <w:rFonts w:cstheme="minorHAnsi"/>
          <w:sz w:val="24"/>
          <w:szCs w:val="24"/>
          <w:lang w:eastAsia="cs-CZ"/>
        </w:rPr>
        <w:t>B</w:t>
      </w:r>
      <w:r w:rsidR="009B1B13" w:rsidRPr="002C310E">
        <w:rPr>
          <w:rFonts w:cstheme="minorHAnsi"/>
          <w:sz w:val="24"/>
          <w:szCs w:val="24"/>
          <w:lang w:eastAsia="cs-CZ"/>
        </w:rPr>
        <w:t>yly</w:t>
      </w:r>
      <w:r w:rsidR="009B1B13" w:rsidRPr="002C310E">
        <w:rPr>
          <w:rFonts w:cstheme="minorHAnsi"/>
          <w:sz w:val="24"/>
          <w:szCs w:val="24"/>
        </w:rPr>
        <w:t xml:space="preserve"> vybrány projekty, které buď měly termín dokončení naplánován do doby ukončení kontroly NKÚ, anebo na již dokončený projekt navazovaly</w:t>
      </w:r>
      <w:r w:rsidRPr="002C310E">
        <w:rPr>
          <w:rFonts w:cstheme="minorHAnsi"/>
          <w:sz w:val="24"/>
          <w:szCs w:val="24"/>
        </w:rPr>
        <w:t>.</w:t>
      </w:r>
    </w:p>
    <w:p w14:paraId="198E3770" w14:textId="3C45175E" w:rsidR="00613BDA" w:rsidRPr="002C310E" w:rsidRDefault="00F04DCF" w:rsidP="00A77E3A">
      <w:pPr>
        <w:pStyle w:val="Odstavecseseznamem"/>
        <w:numPr>
          <w:ilvl w:val="0"/>
          <w:numId w:val="3"/>
        </w:numPr>
        <w:spacing w:after="0" w:line="240" w:lineRule="auto"/>
        <w:ind w:left="284" w:hanging="284"/>
        <w:jc w:val="both"/>
        <w:rPr>
          <w:rFonts w:cstheme="minorHAnsi"/>
          <w:sz w:val="24"/>
          <w:szCs w:val="24"/>
          <w:lang w:eastAsia="cs-CZ"/>
        </w:rPr>
      </w:pPr>
      <w:r w:rsidRPr="002C310E">
        <w:rPr>
          <w:rFonts w:cstheme="minorHAnsi"/>
          <w:sz w:val="24"/>
          <w:szCs w:val="24"/>
          <w:lang w:eastAsia="cs-CZ"/>
        </w:rPr>
        <w:t xml:space="preserve">Na vzorek </w:t>
      </w:r>
      <w:r w:rsidRPr="002C310E">
        <w:rPr>
          <w:rFonts w:cstheme="minorHAnsi"/>
          <w:sz w:val="24"/>
          <w:szCs w:val="24"/>
        </w:rPr>
        <w:t xml:space="preserve">šesti projektů vybraných z programu </w:t>
      </w:r>
      <w:r w:rsidRPr="00222605">
        <w:rPr>
          <w:rFonts w:cstheme="minorHAnsi"/>
          <w:sz w:val="24"/>
          <w:szCs w:val="24"/>
        </w:rPr>
        <w:t>Pomoc na místě</w:t>
      </w:r>
      <w:r w:rsidRPr="002C310E">
        <w:rPr>
          <w:rFonts w:cstheme="minorHAnsi"/>
          <w:sz w:val="24"/>
          <w:szCs w:val="24"/>
        </w:rPr>
        <w:t xml:space="preserve"> bylo poskytnuto 106,</w:t>
      </w:r>
      <w:r w:rsidR="0064254F">
        <w:rPr>
          <w:rFonts w:cstheme="minorHAnsi"/>
          <w:sz w:val="24"/>
          <w:szCs w:val="24"/>
        </w:rPr>
        <w:t>1</w:t>
      </w:r>
      <w:r w:rsidR="00884775">
        <w:rPr>
          <w:rFonts w:cstheme="minorHAnsi"/>
          <w:sz w:val="24"/>
          <w:szCs w:val="24"/>
        </w:rPr>
        <w:t> </w:t>
      </w:r>
      <w:r w:rsidRPr="002C310E">
        <w:rPr>
          <w:rFonts w:cstheme="minorHAnsi"/>
          <w:sz w:val="24"/>
          <w:szCs w:val="24"/>
        </w:rPr>
        <w:t>mil.</w:t>
      </w:r>
      <w:r w:rsidR="00884775">
        <w:rPr>
          <w:rFonts w:cstheme="minorHAnsi"/>
          <w:sz w:val="24"/>
          <w:szCs w:val="24"/>
        </w:rPr>
        <w:t> </w:t>
      </w:r>
      <w:r w:rsidRPr="002C310E">
        <w:rPr>
          <w:rFonts w:cstheme="minorHAnsi"/>
          <w:sz w:val="24"/>
          <w:szCs w:val="24"/>
        </w:rPr>
        <w:t>Kč, což představuje 23 %</w:t>
      </w:r>
      <w:r w:rsidR="008F4738" w:rsidRPr="002C310E">
        <w:rPr>
          <w:rFonts w:cstheme="minorHAnsi"/>
          <w:sz w:val="24"/>
          <w:szCs w:val="24"/>
        </w:rPr>
        <w:t xml:space="preserve"> </w:t>
      </w:r>
      <w:r w:rsidRPr="002C310E">
        <w:rPr>
          <w:rFonts w:cstheme="minorHAnsi"/>
          <w:sz w:val="24"/>
          <w:szCs w:val="24"/>
        </w:rPr>
        <w:t>z celkových skutečně čerpaných prostředků</w:t>
      </w:r>
      <w:r w:rsidR="008F4738" w:rsidRPr="002C310E">
        <w:rPr>
          <w:rFonts w:cstheme="minorHAnsi"/>
          <w:sz w:val="24"/>
          <w:szCs w:val="24"/>
        </w:rPr>
        <w:t xml:space="preserve"> </w:t>
      </w:r>
      <w:r w:rsidRPr="002C310E">
        <w:rPr>
          <w:rFonts w:cstheme="minorHAnsi"/>
          <w:sz w:val="24"/>
          <w:szCs w:val="24"/>
        </w:rPr>
        <w:t>v</w:t>
      </w:r>
      <w:r w:rsidR="001C0739">
        <w:rPr>
          <w:rFonts w:cstheme="minorHAnsi"/>
          <w:sz w:val="24"/>
          <w:szCs w:val="24"/>
        </w:rPr>
        <w:t> </w:t>
      </w:r>
      <w:r w:rsidRPr="002C310E">
        <w:rPr>
          <w:rFonts w:cstheme="minorHAnsi"/>
          <w:sz w:val="24"/>
          <w:szCs w:val="24"/>
        </w:rPr>
        <w:t xml:space="preserve">kontrolovaném období. </w:t>
      </w:r>
      <w:r w:rsidRPr="002C310E">
        <w:rPr>
          <w:rFonts w:cstheme="minorHAnsi"/>
          <w:sz w:val="24"/>
          <w:szCs w:val="24"/>
          <w:lang w:eastAsia="cs-CZ"/>
        </w:rPr>
        <w:t xml:space="preserve">Z každého </w:t>
      </w:r>
      <w:r w:rsidRPr="002C310E">
        <w:rPr>
          <w:rFonts w:cstheme="minorHAnsi"/>
          <w:sz w:val="24"/>
          <w:szCs w:val="24"/>
        </w:rPr>
        <w:t>roku b</w:t>
      </w:r>
      <w:r w:rsidR="00620518" w:rsidRPr="002C310E">
        <w:rPr>
          <w:rFonts w:cstheme="minorHAnsi"/>
          <w:sz w:val="24"/>
          <w:szCs w:val="24"/>
        </w:rPr>
        <w:t xml:space="preserve">yl vybrán </w:t>
      </w:r>
      <w:r w:rsidRPr="002C310E">
        <w:rPr>
          <w:rFonts w:cstheme="minorHAnsi"/>
          <w:sz w:val="24"/>
          <w:szCs w:val="24"/>
        </w:rPr>
        <w:t xml:space="preserve">jeden </w:t>
      </w:r>
      <w:r w:rsidR="00620518" w:rsidRPr="002C310E">
        <w:rPr>
          <w:rFonts w:cstheme="minorHAnsi"/>
          <w:sz w:val="24"/>
          <w:szCs w:val="24"/>
        </w:rPr>
        <w:t>projekt</w:t>
      </w:r>
      <w:r w:rsidRPr="002C310E">
        <w:rPr>
          <w:rFonts w:cstheme="minorHAnsi"/>
          <w:sz w:val="24"/>
          <w:szCs w:val="24"/>
        </w:rPr>
        <w:t xml:space="preserve"> realizovaný vládním subjektem a druhý mezinárodní organizací. </w:t>
      </w:r>
    </w:p>
    <w:p w14:paraId="7FF18EE9" w14:textId="544A50FF" w:rsidR="002A450E" w:rsidRPr="002C310E" w:rsidRDefault="00F04DCF" w:rsidP="00A77E3A">
      <w:pPr>
        <w:pStyle w:val="Odstavecseseznamem"/>
        <w:numPr>
          <w:ilvl w:val="0"/>
          <w:numId w:val="3"/>
        </w:numPr>
        <w:spacing w:after="0" w:line="240" w:lineRule="auto"/>
        <w:ind w:left="284" w:hanging="284"/>
        <w:contextualSpacing w:val="0"/>
        <w:jc w:val="both"/>
        <w:rPr>
          <w:rFonts w:cstheme="minorHAnsi"/>
          <w:sz w:val="24"/>
          <w:szCs w:val="24"/>
          <w:lang w:eastAsia="cs-CZ"/>
        </w:rPr>
      </w:pPr>
      <w:r w:rsidRPr="002C310E">
        <w:rPr>
          <w:rFonts w:cstheme="minorHAnsi"/>
          <w:sz w:val="24"/>
          <w:szCs w:val="24"/>
          <w:lang w:eastAsia="cs-CZ"/>
        </w:rPr>
        <w:t xml:space="preserve">Na vzorek </w:t>
      </w:r>
      <w:r w:rsidRPr="002C310E">
        <w:rPr>
          <w:rFonts w:cstheme="minorHAnsi"/>
          <w:sz w:val="24"/>
          <w:szCs w:val="24"/>
        </w:rPr>
        <w:t>39 integračních plánů SIP</w:t>
      </w:r>
      <w:r w:rsidR="008F4738" w:rsidRPr="002C310E">
        <w:rPr>
          <w:rFonts w:cstheme="minorHAnsi"/>
          <w:sz w:val="24"/>
          <w:szCs w:val="24"/>
        </w:rPr>
        <w:t xml:space="preserve"> bylo poskytnuto 5,2 mil. Kč, což představuje 17 % z celkových skutečně čerpaných prostředků v kontrolovaném období. </w:t>
      </w:r>
      <w:r w:rsidR="006F1299" w:rsidRPr="002C310E">
        <w:rPr>
          <w:rFonts w:cstheme="minorHAnsi"/>
          <w:sz w:val="24"/>
          <w:szCs w:val="24"/>
        </w:rPr>
        <w:t>Byly vybrány nejvíce zastoupené státní příslušnosti držitelů mezinárodní ochrany, dále všechny kategorie integračních plánů podle počtu osob a podmínkou výběru bylo i poskytnutí služeb nejméně ve dvou oblastech integrace v rámci jednoho plánu.</w:t>
      </w:r>
    </w:p>
    <w:p w14:paraId="71048EEE" w14:textId="5CDA2184" w:rsidR="00B82BD4" w:rsidRPr="00884775" w:rsidRDefault="00B82BD4" w:rsidP="00884775">
      <w:pPr>
        <w:spacing w:after="0" w:line="240" w:lineRule="auto"/>
        <w:rPr>
          <w:sz w:val="24"/>
          <w:lang w:eastAsia="cs-CZ"/>
        </w:rPr>
      </w:pPr>
    </w:p>
    <w:p w14:paraId="3744BE7D" w14:textId="77777777" w:rsidR="00884775" w:rsidRPr="00884775" w:rsidRDefault="00884775" w:rsidP="00884775">
      <w:pPr>
        <w:spacing w:after="0" w:line="240" w:lineRule="auto"/>
        <w:rPr>
          <w:sz w:val="24"/>
          <w:lang w:eastAsia="cs-CZ"/>
        </w:rPr>
      </w:pPr>
    </w:p>
    <w:p w14:paraId="56EC3E44" w14:textId="77777777" w:rsidR="00B47D21" w:rsidRPr="002C310E" w:rsidRDefault="00F04DCF" w:rsidP="00B82BD4">
      <w:pPr>
        <w:pStyle w:val="Nadpis1"/>
        <w:spacing w:before="0" w:after="120" w:line="240" w:lineRule="auto"/>
        <w:jc w:val="center"/>
        <w:rPr>
          <w:rFonts w:asciiTheme="minorHAnsi" w:hAnsiTheme="minorHAnsi" w:cstheme="minorHAnsi"/>
          <w:b/>
          <w:color w:val="auto"/>
          <w:sz w:val="28"/>
          <w:szCs w:val="28"/>
        </w:rPr>
      </w:pPr>
      <w:r w:rsidRPr="002C310E">
        <w:rPr>
          <w:rFonts w:asciiTheme="minorHAnsi" w:hAnsiTheme="minorHAnsi" w:cstheme="minorHAnsi"/>
          <w:b/>
          <w:color w:val="auto"/>
          <w:sz w:val="28"/>
          <w:szCs w:val="28"/>
        </w:rPr>
        <w:t>IV. Podrobné skutečnosti zjištěné kontrolou</w:t>
      </w:r>
    </w:p>
    <w:tbl>
      <w:tblPr>
        <w:tblStyle w:val="Mkatabulky"/>
        <w:tblW w:w="0" w:type="auto"/>
        <w:tblLook w:val="04A0" w:firstRow="1" w:lastRow="0" w:firstColumn="1" w:lastColumn="0" w:noHBand="0" w:noVBand="1"/>
      </w:tblPr>
      <w:tblGrid>
        <w:gridCol w:w="9062"/>
      </w:tblGrid>
      <w:tr w:rsidR="00C72C9E" w14:paraId="491C77B8" w14:textId="77777777" w:rsidTr="007D78BF">
        <w:trPr>
          <w:trHeight w:val="389"/>
        </w:trPr>
        <w:tc>
          <w:tcPr>
            <w:tcW w:w="9062" w:type="dxa"/>
            <w:shd w:val="clear" w:color="auto" w:fill="E5F1FF"/>
            <w:vAlign w:val="center"/>
          </w:tcPr>
          <w:p w14:paraId="401D8FA5" w14:textId="77777777" w:rsidR="002538E5" w:rsidRPr="002C310E" w:rsidRDefault="00F04DCF" w:rsidP="00915089">
            <w:pPr>
              <w:pStyle w:val="Nadpis2"/>
              <w:outlineLvl w:val="1"/>
              <w:rPr>
                <w:rFonts w:asciiTheme="minorHAnsi" w:hAnsiTheme="minorHAnsi" w:cstheme="minorHAnsi"/>
                <w:b/>
                <w:sz w:val="24"/>
                <w:szCs w:val="24"/>
              </w:rPr>
            </w:pPr>
            <w:r w:rsidRPr="002C310E">
              <w:rPr>
                <w:rFonts w:asciiTheme="minorHAnsi" w:hAnsiTheme="minorHAnsi" w:cstheme="minorHAnsi"/>
                <w:b/>
                <w:color w:val="1F4E79" w:themeColor="accent1" w:themeShade="80"/>
                <w:sz w:val="24"/>
                <w:szCs w:val="24"/>
              </w:rPr>
              <w:t xml:space="preserve">A. </w:t>
            </w:r>
            <w:r w:rsidR="00014241" w:rsidRPr="002C310E">
              <w:rPr>
                <w:rFonts w:asciiTheme="minorHAnsi" w:hAnsiTheme="minorHAnsi" w:cstheme="minorHAnsi"/>
                <w:b/>
                <w:color w:val="1F4E79" w:themeColor="accent1" w:themeShade="80"/>
                <w:sz w:val="24"/>
                <w:szCs w:val="24"/>
              </w:rPr>
              <w:t>Strategické řízení MV</w:t>
            </w:r>
          </w:p>
        </w:tc>
      </w:tr>
    </w:tbl>
    <w:p w14:paraId="6429B252" w14:textId="58C15E61" w:rsidR="00534378" w:rsidRPr="002C310E" w:rsidRDefault="00F04DCF" w:rsidP="00534378">
      <w:pPr>
        <w:spacing w:before="120" w:after="120" w:line="240" w:lineRule="auto"/>
        <w:jc w:val="both"/>
        <w:rPr>
          <w:rFonts w:eastAsia="Calibri" w:cstheme="minorHAnsi"/>
          <w:sz w:val="24"/>
          <w:szCs w:val="24"/>
        </w:rPr>
      </w:pPr>
      <w:r w:rsidRPr="00A77E3A">
        <w:rPr>
          <w:rFonts w:eastAsia="Calibri" w:cstheme="minorHAnsi"/>
          <w:b/>
          <w:sz w:val="24"/>
          <w:szCs w:val="24"/>
        </w:rPr>
        <w:t>4.1</w:t>
      </w:r>
      <w:r w:rsidRPr="002C310E">
        <w:rPr>
          <w:rFonts w:eastAsia="Calibri" w:cstheme="minorHAnsi"/>
          <w:sz w:val="24"/>
          <w:szCs w:val="24"/>
        </w:rPr>
        <w:t xml:space="preserve"> Cíle migrační politiky jsou </w:t>
      </w:r>
      <w:r w:rsidR="00E46B4A" w:rsidRPr="002C310E">
        <w:rPr>
          <w:rFonts w:eastAsia="Calibri" w:cstheme="minorHAnsi"/>
          <w:sz w:val="24"/>
          <w:szCs w:val="24"/>
        </w:rPr>
        <w:t>vymezen</w:t>
      </w:r>
      <w:r w:rsidR="00F91F54">
        <w:rPr>
          <w:rFonts w:eastAsia="Calibri" w:cstheme="minorHAnsi"/>
          <w:sz w:val="24"/>
          <w:szCs w:val="24"/>
        </w:rPr>
        <w:t>y</w:t>
      </w:r>
      <w:r w:rsidRPr="002C310E">
        <w:rPr>
          <w:rFonts w:eastAsia="Calibri" w:cstheme="minorHAnsi"/>
          <w:sz w:val="24"/>
          <w:szCs w:val="24"/>
        </w:rPr>
        <w:t xml:space="preserve"> ve Strategii a dalších navazujících koncepčních dokumentech (viz odst. 2.4 až 2.8). Aby sloužily jako prostředek pro měření úspěšnosti realizace dané koncepce, musí být definovány v souladu s principy SMART</w:t>
      </w:r>
      <w:r>
        <w:rPr>
          <w:rFonts w:cstheme="minorHAnsi"/>
          <w:color w:val="000000"/>
          <w:sz w:val="24"/>
          <w:szCs w:val="24"/>
          <w:vertAlign w:val="superscript"/>
          <w:lang w:eastAsia="cs-CZ"/>
        </w:rPr>
        <w:footnoteReference w:id="35"/>
      </w:r>
      <w:r w:rsidRPr="002C310E">
        <w:rPr>
          <w:rFonts w:eastAsia="Calibri" w:cstheme="minorHAnsi"/>
          <w:sz w:val="24"/>
          <w:szCs w:val="24"/>
        </w:rPr>
        <w:t>, přičemž k naplnění některých z těchto principů je nutné vytvořit soustavu indikátorů a stanovit jejich cílové hodnoty.</w:t>
      </w:r>
      <w:r>
        <w:rPr>
          <w:rFonts w:eastAsia="Calibri" w:cstheme="minorHAnsi"/>
          <w:sz w:val="24"/>
          <w:szCs w:val="24"/>
          <w:vertAlign w:val="superscript"/>
        </w:rPr>
        <w:footnoteReference w:id="36"/>
      </w:r>
      <w:r w:rsidRPr="002C310E">
        <w:rPr>
          <w:rFonts w:eastAsia="Calibri" w:cstheme="minorHAnsi"/>
          <w:sz w:val="24"/>
          <w:szCs w:val="24"/>
        </w:rPr>
        <w:t xml:space="preserve"> Pokud cíle či indikátory nemohou být kvantifikovány, musí být definovány </w:t>
      </w:r>
      <w:r w:rsidR="00D75AAB" w:rsidRPr="002C310E">
        <w:rPr>
          <w:rFonts w:eastAsia="Calibri" w:cstheme="minorHAnsi"/>
          <w:sz w:val="24"/>
          <w:szCs w:val="24"/>
        </w:rPr>
        <w:t>alespoň</w:t>
      </w:r>
      <w:r w:rsidRPr="002C310E">
        <w:rPr>
          <w:rFonts w:eastAsia="Calibri" w:cstheme="minorHAnsi"/>
          <w:sz w:val="24"/>
          <w:szCs w:val="24"/>
        </w:rPr>
        <w:t xml:space="preserve"> kvalitativně tak, aby byly jasně vyhodnotitelné. Případné kvalitativní vyjádření musí být stanoveno </w:t>
      </w:r>
      <w:r w:rsidR="00D75AAB" w:rsidRPr="002C310E">
        <w:rPr>
          <w:rFonts w:eastAsia="Calibri" w:cstheme="minorHAnsi"/>
          <w:sz w:val="24"/>
          <w:szCs w:val="24"/>
        </w:rPr>
        <w:t xml:space="preserve">předem </w:t>
      </w:r>
      <w:r w:rsidRPr="002C310E">
        <w:rPr>
          <w:rFonts w:eastAsia="Calibri" w:cstheme="minorHAnsi"/>
          <w:sz w:val="24"/>
          <w:szCs w:val="24"/>
        </w:rPr>
        <w:t>a musí být jednoznačně určeno, v čem dochází</w:t>
      </w:r>
      <w:r w:rsidR="00F91F54">
        <w:rPr>
          <w:rFonts w:eastAsia="Calibri" w:cstheme="minorHAnsi"/>
          <w:sz w:val="24"/>
          <w:szCs w:val="24"/>
        </w:rPr>
        <w:t xml:space="preserve"> </w:t>
      </w:r>
      <w:r w:rsidRPr="002C310E">
        <w:rPr>
          <w:rFonts w:eastAsia="Calibri" w:cstheme="minorHAnsi"/>
          <w:sz w:val="24"/>
          <w:szCs w:val="24"/>
        </w:rPr>
        <w:t xml:space="preserve">ke zvýšení kvality předmětné činnosti a na základě jakých zdrojů informací </w:t>
      </w:r>
      <w:r w:rsidR="00D75AAB" w:rsidRPr="002C310E">
        <w:rPr>
          <w:rFonts w:eastAsia="Calibri" w:cstheme="minorHAnsi"/>
          <w:sz w:val="24"/>
          <w:szCs w:val="24"/>
        </w:rPr>
        <w:t>bude</w:t>
      </w:r>
      <w:r w:rsidRPr="002C310E">
        <w:rPr>
          <w:rFonts w:eastAsia="Calibri" w:cstheme="minorHAnsi"/>
          <w:sz w:val="24"/>
          <w:szCs w:val="24"/>
        </w:rPr>
        <w:t xml:space="preserve"> hodnocení realizováno.</w:t>
      </w:r>
    </w:p>
    <w:p w14:paraId="2EAAE3E2" w14:textId="16D520AF" w:rsidR="005F0E16" w:rsidRPr="002C310E" w:rsidRDefault="00F04DCF" w:rsidP="005F0E16">
      <w:pPr>
        <w:pStyle w:val="Odstavecseseznamem"/>
        <w:tabs>
          <w:tab w:val="left" w:pos="567"/>
        </w:tabs>
        <w:spacing w:after="120" w:line="240" w:lineRule="auto"/>
        <w:ind w:left="0"/>
        <w:contextualSpacing w:val="0"/>
        <w:jc w:val="both"/>
        <w:rPr>
          <w:rFonts w:cstheme="minorHAnsi"/>
          <w:b/>
          <w:color w:val="C00000"/>
          <w:sz w:val="24"/>
          <w:szCs w:val="24"/>
        </w:rPr>
      </w:pPr>
      <w:r w:rsidRPr="002C310E">
        <w:rPr>
          <w:rFonts w:cstheme="minorHAnsi"/>
          <w:b/>
          <w:color w:val="C00000"/>
          <w:sz w:val="24"/>
          <w:szCs w:val="24"/>
        </w:rPr>
        <w:t xml:space="preserve">→ MV nenastavilo cíle v koncepčních dokumentech migrační politiky </w:t>
      </w:r>
      <w:r w:rsidR="00533102">
        <w:rPr>
          <w:rFonts w:cstheme="minorHAnsi"/>
          <w:b/>
          <w:color w:val="C00000"/>
          <w:sz w:val="24"/>
          <w:szCs w:val="24"/>
        </w:rPr>
        <w:t>v</w:t>
      </w:r>
      <w:r w:rsidR="00D47476">
        <w:rPr>
          <w:rFonts w:cstheme="minorHAnsi"/>
          <w:b/>
          <w:color w:val="C00000"/>
          <w:sz w:val="24"/>
          <w:szCs w:val="24"/>
        </w:rPr>
        <w:t>e většině případů</w:t>
      </w:r>
      <w:r w:rsidRPr="002C310E">
        <w:rPr>
          <w:rFonts w:cstheme="minorHAnsi"/>
          <w:b/>
          <w:color w:val="C00000"/>
          <w:sz w:val="24"/>
          <w:szCs w:val="24"/>
        </w:rPr>
        <w:t xml:space="preserve"> </w:t>
      </w:r>
      <w:r w:rsidR="00581D34">
        <w:rPr>
          <w:rFonts w:cstheme="minorHAnsi"/>
          <w:b/>
          <w:color w:val="C00000"/>
          <w:sz w:val="24"/>
          <w:szCs w:val="24"/>
        </w:rPr>
        <w:t xml:space="preserve">podle principů </w:t>
      </w:r>
      <w:r w:rsidRPr="002C310E">
        <w:rPr>
          <w:rFonts w:cstheme="minorHAnsi"/>
          <w:b/>
          <w:color w:val="C00000"/>
          <w:sz w:val="24"/>
          <w:szCs w:val="24"/>
        </w:rPr>
        <w:t>SMART, není tak podle nich v některých oblastech možné vyhodnotit úspěšnost naplňování cílů dané strategie či koncepce.</w:t>
      </w:r>
    </w:p>
    <w:p w14:paraId="6CF524BF" w14:textId="39DFCB06" w:rsidR="00534378" w:rsidRPr="002C310E" w:rsidRDefault="00F04DCF" w:rsidP="00534378">
      <w:pPr>
        <w:spacing w:after="120" w:line="240" w:lineRule="auto"/>
        <w:jc w:val="both"/>
        <w:rPr>
          <w:rFonts w:eastAsia="Calibri" w:cstheme="minorHAnsi"/>
          <w:sz w:val="24"/>
          <w:szCs w:val="24"/>
        </w:rPr>
      </w:pPr>
      <w:r w:rsidRPr="00A77E3A">
        <w:rPr>
          <w:rFonts w:eastAsia="Calibri" w:cstheme="minorHAnsi"/>
          <w:b/>
          <w:sz w:val="24"/>
          <w:szCs w:val="24"/>
        </w:rPr>
        <w:lastRenderedPageBreak/>
        <w:t>4.</w:t>
      </w:r>
      <w:r w:rsidR="00D75AAB" w:rsidRPr="00A77E3A">
        <w:rPr>
          <w:rFonts w:eastAsia="Calibri" w:cstheme="minorHAnsi"/>
          <w:b/>
          <w:sz w:val="24"/>
          <w:szCs w:val="24"/>
        </w:rPr>
        <w:t>2</w:t>
      </w:r>
      <w:r w:rsidRPr="002C310E">
        <w:rPr>
          <w:rFonts w:eastAsia="Calibri" w:cstheme="minorHAnsi"/>
          <w:sz w:val="24"/>
          <w:szCs w:val="24"/>
        </w:rPr>
        <w:t xml:space="preserve"> Strategie jako výchozí koncepční dokument formuluje priority ČR v sedmi tematických oblastech migrační politiky. </w:t>
      </w:r>
      <w:r w:rsidR="00D75AAB" w:rsidRPr="002C310E">
        <w:rPr>
          <w:rFonts w:eastAsia="Calibri" w:cstheme="minorHAnsi"/>
          <w:sz w:val="24"/>
          <w:szCs w:val="24"/>
        </w:rPr>
        <w:t xml:space="preserve">NKÚ zjistil, že MV cíle stanovilo obecně a neměřitelně, </w:t>
      </w:r>
      <w:r w:rsidRPr="002C310E">
        <w:rPr>
          <w:rFonts w:eastAsia="Calibri" w:cstheme="minorHAnsi"/>
          <w:sz w:val="24"/>
          <w:szCs w:val="24"/>
        </w:rPr>
        <w:t>např.</w:t>
      </w:r>
      <w:r w:rsidR="00351D73">
        <w:rPr>
          <w:rFonts w:eastAsia="Calibri" w:cstheme="minorHAnsi"/>
          <w:sz w:val="24"/>
          <w:szCs w:val="24"/>
        </w:rPr>
        <w:t> </w:t>
      </w:r>
      <w:r w:rsidRPr="002C310E">
        <w:rPr>
          <w:rFonts w:eastAsia="Calibri" w:cstheme="minorHAnsi"/>
          <w:sz w:val="24"/>
          <w:szCs w:val="24"/>
        </w:rPr>
        <w:t xml:space="preserve">v oblasti integrace je to </w:t>
      </w:r>
      <w:r w:rsidRPr="00A944B0">
        <w:rPr>
          <w:rFonts w:eastAsia="Calibri" w:cstheme="minorHAnsi"/>
          <w:sz w:val="24"/>
          <w:szCs w:val="24"/>
        </w:rPr>
        <w:t>„</w:t>
      </w:r>
      <w:r w:rsidR="00EB46E7" w:rsidRPr="002C310E">
        <w:rPr>
          <w:rFonts w:eastAsia="Calibri" w:cstheme="minorHAnsi"/>
          <w:i/>
          <w:sz w:val="24"/>
          <w:szCs w:val="24"/>
        </w:rPr>
        <w:t>z</w:t>
      </w:r>
      <w:r w:rsidRPr="002C310E">
        <w:rPr>
          <w:rFonts w:eastAsia="Calibri" w:cstheme="minorHAnsi"/>
          <w:i/>
          <w:sz w:val="24"/>
          <w:szCs w:val="24"/>
        </w:rPr>
        <w:t>ajištění dostatečné informovano</w:t>
      </w:r>
      <w:r w:rsidR="00D75AAB" w:rsidRPr="002C310E">
        <w:rPr>
          <w:rFonts w:eastAsia="Calibri" w:cstheme="minorHAnsi"/>
          <w:i/>
          <w:sz w:val="24"/>
          <w:szCs w:val="24"/>
        </w:rPr>
        <w:t>s</w:t>
      </w:r>
      <w:r w:rsidRPr="002C310E">
        <w:rPr>
          <w:rFonts w:eastAsia="Calibri" w:cstheme="minorHAnsi"/>
          <w:i/>
          <w:sz w:val="24"/>
          <w:szCs w:val="24"/>
        </w:rPr>
        <w:t>ti cizinců i veřejnosti o</w:t>
      </w:r>
      <w:r w:rsidR="00351D73">
        <w:rPr>
          <w:rFonts w:eastAsia="Calibri" w:cstheme="minorHAnsi"/>
          <w:i/>
          <w:sz w:val="24"/>
          <w:szCs w:val="24"/>
        </w:rPr>
        <w:t> </w:t>
      </w:r>
      <w:r w:rsidRPr="002C310E">
        <w:rPr>
          <w:rFonts w:eastAsia="Calibri" w:cstheme="minorHAnsi"/>
          <w:i/>
          <w:sz w:val="24"/>
          <w:szCs w:val="24"/>
        </w:rPr>
        <w:t>otázkách migrace, uprchlictví a  integrace cizinců</w:t>
      </w:r>
      <w:r w:rsidRPr="00A944B0">
        <w:rPr>
          <w:rFonts w:eastAsia="Calibri" w:cstheme="minorHAnsi"/>
          <w:sz w:val="24"/>
          <w:szCs w:val="24"/>
        </w:rPr>
        <w:t>“</w:t>
      </w:r>
      <w:r w:rsidRPr="002C310E">
        <w:rPr>
          <w:rFonts w:eastAsia="Calibri" w:cstheme="minorHAnsi"/>
          <w:i/>
          <w:sz w:val="24"/>
          <w:szCs w:val="24"/>
        </w:rPr>
        <w:t xml:space="preserve"> </w:t>
      </w:r>
      <w:r w:rsidRPr="002C310E">
        <w:rPr>
          <w:rFonts w:eastAsia="Calibri" w:cstheme="minorHAnsi"/>
          <w:sz w:val="24"/>
          <w:szCs w:val="24"/>
        </w:rPr>
        <w:t xml:space="preserve">nebo v oblasti azylu </w:t>
      </w:r>
      <w:r w:rsidRPr="00A944B0">
        <w:rPr>
          <w:rFonts w:eastAsia="Calibri" w:cstheme="minorHAnsi"/>
          <w:sz w:val="24"/>
          <w:szCs w:val="24"/>
        </w:rPr>
        <w:t>„</w:t>
      </w:r>
      <w:r w:rsidR="00EB46E7" w:rsidRPr="002C310E">
        <w:rPr>
          <w:rFonts w:eastAsia="Calibri" w:cstheme="minorHAnsi"/>
          <w:i/>
          <w:sz w:val="24"/>
          <w:szCs w:val="24"/>
        </w:rPr>
        <w:t>f</w:t>
      </w:r>
      <w:r w:rsidRPr="002C310E">
        <w:rPr>
          <w:rFonts w:eastAsia="Calibri" w:cstheme="minorHAnsi"/>
          <w:i/>
          <w:sz w:val="24"/>
          <w:szCs w:val="24"/>
        </w:rPr>
        <w:t>lexibilní kapacity národního azylového systému</w:t>
      </w:r>
      <w:r w:rsidRPr="00A944B0">
        <w:rPr>
          <w:rFonts w:eastAsia="Calibri" w:cstheme="minorHAnsi"/>
          <w:sz w:val="24"/>
          <w:szCs w:val="24"/>
        </w:rPr>
        <w:t>“</w:t>
      </w:r>
      <w:r w:rsidRPr="002C310E">
        <w:rPr>
          <w:rFonts w:eastAsia="Calibri" w:cstheme="minorHAnsi"/>
          <w:i/>
          <w:sz w:val="24"/>
          <w:szCs w:val="24"/>
        </w:rPr>
        <w:t>.</w:t>
      </w:r>
      <w:r w:rsidR="00D75AAB" w:rsidRPr="002C310E">
        <w:rPr>
          <w:rFonts w:eastAsia="Calibri" w:cstheme="minorHAnsi"/>
          <w:sz w:val="24"/>
          <w:szCs w:val="24"/>
        </w:rPr>
        <w:t xml:space="preserve"> </w:t>
      </w:r>
      <w:r w:rsidRPr="002C310E">
        <w:rPr>
          <w:rFonts w:eastAsia="Calibri" w:cstheme="minorHAnsi"/>
          <w:sz w:val="24"/>
          <w:szCs w:val="24"/>
        </w:rPr>
        <w:t>Na Strategii navazují koncepční dokumenty pro jednotlivé tematické oblasti</w:t>
      </w:r>
      <w:r w:rsidR="00D75AAB" w:rsidRPr="002C310E">
        <w:rPr>
          <w:rFonts w:eastAsia="Calibri" w:cstheme="minorHAnsi"/>
          <w:sz w:val="24"/>
          <w:szCs w:val="24"/>
        </w:rPr>
        <w:t xml:space="preserve"> </w:t>
      </w:r>
      <w:r w:rsidR="00D75AAB" w:rsidRPr="002C310E">
        <w:rPr>
          <w:rFonts w:eastAsia="Times New Roman" w:cstheme="minorHAnsi"/>
          <w:sz w:val="24"/>
          <w:szCs w:val="24"/>
        </w:rPr>
        <w:t xml:space="preserve">(viz odst. 2.4). </w:t>
      </w:r>
    </w:p>
    <w:p w14:paraId="138FB6D0" w14:textId="25768B91" w:rsidR="00534378" w:rsidRPr="002C310E" w:rsidRDefault="00F04DCF" w:rsidP="00534378">
      <w:pPr>
        <w:spacing w:after="120" w:line="240" w:lineRule="auto"/>
        <w:jc w:val="both"/>
        <w:rPr>
          <w:rFonts w:eastAsia="Calibri" w:cstheme="minorHAnsi"/>
          <w:sz w:val="24"/>
          <w:szCs w:val="24"/>
        </w:rPr>
      </w:pPr>
      <w:r w:rsidRPr="00A77E3A">
        <w:rPr>
          <w:rFonts w:eastAsia="Calibri" w:cstheme="minorHAnsi"/>
          <w:b/>
          <w:sz w:val="24"/>
          <w:szCs w:val="24"/>
        </w:rPr>
        <w:t>4.</w:t>
      </w:r>
      <w:r w:rsidR="00D75AAB" w:rsidRPr="00A77E3A">
        <w:rPr>
          <w:rFonts w:eastAsia="Calibri" w:cstheme="minorHAnsi"/>
          <w:b/>
          <w:sz w:val="24"/>
          <w:szCs w:val="24"/>
        </w:rPr>
        <w:t>3</w:t>
      </w:r>
      <w:r w:rsidR="00EB46E7" w:rsidRPr="002C310E">
        <w:rPr>
          <w:rFonts w:eastAsia="Calibri" w:cstheme="minorHAnsi"/>
          <w:sz w:val="24"/>
          <w:szCs w:val="24"/>
        </w:rPr>
        <w:t xml:space="preserve"> </w:t>
      </w:r>
      <w:r w:rsidR="00D75AAB" w:rsidRPr="002C310E">
        <w:rPr>
          <w:rFonts w:eastAsia="Calibri" w:cstheme="minorHAnsi"/>
          <w:sz w:val="24"/>
          <w:szCs w:val="24"/>
        </w:rPr>
        <w:t xml:space="preserve">Cíle </w:t>
      </w:r>
      <w:r w:rsidR="00D75AAB" w:rsidRPr="002C310E">
        <w:rPr>
          <w:rFonts w:eastAsia="Calibri" w:cstheme="minorHAnsi"/>
          <w:sz w:val="24"/>
          <w:szCs w:val="24"/>
          <w:lang w:val="fr-FR"/>
        </w:rPr>
        <w:t>NSP2014</w:t>
      </w:r>
      <w:r w:rsidR="00D75AAB" w:rsidRPr="002C310E">
        <w:rPr>
          <w:rFonts w:eastAsia="Calibri" w:cstheme="minorHAnsi"/>
          <w:sz w:val="24"/>
          <w:szCs w:val="24"/>
        </w:rPr>
        <w:t xml:space="preserve"> v oblasti schengenské spolupráce jsou vymezeny jako konkrétní a</w:t>
      </w:r>
      <w:r w:rsidR="002452CA">
        <w:rPr>
          <w:rFonts w:eastAsia="Calibri" w:cstheme="minorHAnsi"/>
          <w:sz w:val="24"/>
          <w:szCs w:val="24"/>
        </w:rPr>
        <w:t> </w:t>
      </w:r>
      <w:r w:rsidR="00D75AAB" w:rsidRPr="002C310E">
        <w:rPr>
          <w:rFonts w:eastAsia="Calibri" w:cstheme="minorHAnsi"/>
          <w:sz w:val="24"/>
          <w:szCs w:val="24"/>
        </w:rPr>
        <w:t>vyhodnotitelné</w:t>
      </w:r>
      <w:r w:rsidR="00EB46E7" w:rsidRPr="002C310E">
        <w:rPr>
          <w:rFonts w:eastAsia="Calibri" w:cstheme="minorHAnsi"/>
          <w:sz w:val="24"/>
          <w:szCs w:val="24"/>
        </w:rPr>
        <w:t xml:space="preserve">, např. </w:t>
      </w:r>
      <w:r w:rsidR="00EB46E7" w:rsidRPr="002C310E">
        <w:rPr>
          <w:rFonts w:eastAsia="Calibri" w:cstheme="minorHAnsi"/>
          <w:iCs/>
          <w:sz w:val="24"/>
          <w:szCs w:val="24"/>
        </w:rPr>
        <w:t>z</w:t>
      </w:r>
      <w:r w:rsidR="00EB46E7" w:rsidRPr="002C310E">
        <w:rPr>
          <w:rFonts w:eastAsia="Calibri" w:cstheme="minorHAnsi"/>
          <w:iCs/>
          <w:sz w:val="24"/>
          <w:szCs w:val="24"/>
          <w:lang w:val="fr-FR"/>
        </w:rPr>
        <w:t xml:space="preserve">ajistit plnění schengenských standardů. </w:t>
      </w:r>
      <w:r w:rsidR="00EB46E7" w:rsidRPr="002C310E">
        <w:rPr>
          <w:rFonts w:eastAsia="Calibri" w:cstheme="minorHAnsi"/>
          <w:sz w:val="24"/>
          <w:szCs w:val="24"/>
        </w:rPr>
        <w:t xml:space="preserve">NSP2014 se skládá z několika oblastí (např. víza nebo vnější hranice), každá oblast obsahuje stanovené úkoly legislativní i nelegislativní povahy a zároveň peněžní prostředky vyčleněné na jejich realizaci a časovou náročnost stanovených úkolů. </w:t>
      </w:r>
      <w:r w:rsidRPr="002C310E">
        <w:rPr>
          <w:rFonts w:eastAsia="Calibri" w:cstheme="minorHAnsi"/>
          <w:sz w:val="24"/>
          <w:szCs w:val="24"/>
        </w:rPr>
        <w:t xml:space="preserve">MV vypracovává roční </w:t>
      </w:r>
      <w:r w:rsidR="00B71AD4">
        <w:rPr>
          <w:rFonts w:eastAsia="Calibri" w:cstheme="minorHAnsi"/>
          <w:sz w:val="24"/>
          <w:szCs w:val="24"/>
        </w:rPr>
        <w:t>Z</w:t>
      </w:r>
      <w:r w:rsidRPr="002C310E">
        <w:rPr>
          <w:rFonts w:eastAsia="Calibri" w:cstheme="minorHAnsi"/>
          <w:sz w:val="24"/>
          <w:szCs w:val="24"/>
        </w:rPr>
        <w:t>právy o plnění NSP2014, které obsahují vyhodnocení plnění jednotlivých úkolů a rovněž aktualizovaný soupis úkolů na další období.</w:t>
      </w:r>
    </w:p>
    <w:p w14:paraId="0B65141F" w14:textId="7BF2A5A6" w:rsidR="006F7D69" w:rsidRPr="002C310E" w:rsidRDefault="00F04DCF" w:rsidP="006F7D69">
      <w:pPr>
        <w:spacing w:after="120" w:line="240" w:lineRule="auto"/>
        <w:jc w:val="both"/>
        <w:rPr>
          <w:rFonts w:eastAsia="Calibri" w:cstheme="minorHAnsi"/>
          <w:sz w:val="24"/>
          <w:szCs w:val="24"/>
          <w:lang w:eastAsia="cs-CZ"/>
        </w:rPr>
      </w:pPr>
      <w:r w:rsidRPr="00A77E3A">
        <w:rPr>
          <w:rFonts w:eastAsia="Calibri" w:cstheme="minorHAnsi"/>
          <w:b/>
          <w:sz w:val="24"/>
          <w:szCs w:val="24"/>
        </w:rPr>
        <w:t>4.</w:t>
      </w:r>
      <w:r w:rsidR="00EB46E7" w:rsidRPr="00A77E3A">
        <w:rPr>
          <w:rFonts w:eastAsia="Calibri" w:cstheme="minorHAnsi"/>
          <w:b/>
          <w:sz w:val="24"/>
          <w:szCs w:val="24"/>
        </w:rPr>
        <w:t>4</w:t>
      </w:r>
      <w:r w:rsidRPr="002C310E">
        <w:rPr>
          <w:rFonts w:eastAsia="Calibri" w:cstheme="minorHAnsi"/>
          <w:sz w:val="24"/>
          <w:szCs w:val="24"/>
        </w:rPr>
        <w:t xml:space="preserve"> </w:t>
      </w:r>
      <w:r w:rsidR="00F34CD6" w:rsidRPr="002C310E">
        <w:rPr>
          <w:rFonts w:eastAsia="Calibri" w:cstheme="minorHAnsi"/>
          <w:sz w:val="24"/>
          <w:szCs w:val="24"/>
        </w:rPr>
        <w:t>C</w:t>
      </w:r>
      <w:r w:rsidR="00F34CD6" w:rsidRPr="002C310E">
        <w:rPr>
          <w:rFonts w:eastAsia="Calibri" w:cstheme="minorHAnsi"/>
          <w:sz w:val="24"/>
          <w:szCs w:val="24"/>
          <w:lang w:eastAsia="cs-CZ"/>
        </w:rPr>
        <w:t xml:space="preserve">íle KIC v oblasti integrace cizinců jako </w:t>
      </w:r>
      <w:r w:rsidR="00EB46E7" w:rsidRPr="002C310E">
        <w:rPr>
          <w:rFonts w:eastAsia="Calibri" w:cstheme="minorHAnsi"/>
          <w:sz w:val="24"/>
          <w:szCs w:val="24"/>
          <w:lang w:eastAsia="cs-CZ"/>
        </w:rPr>
        <w:t xml:space="preserve">např. </w:t>
      </w:r>
      <w:r w:rsidR="00EB46E7" w:rsidRPr="00A944B0">
        <w:rPr>
          <w:rFonts w:eastAsia="Calibri" w:cstheme="minorHAnsi"/>
          <w:sz w:val="24"/>
          <w:szCs w:val="24"/>
          <w:lang w:eastAsia="cs-CZ"/>
        </w:rPr>
        <w:t>„</w:t>
      </w:r>
      <w:r w:rsidR="00EB46E7" w:rsidRPr="002C310E">
        <w:rPr>
          <w:rFonts w:eastAsia="Calibri" w:cstheme="minorHAnsi"/>
          <w:i/>
          <w:sz w:val="24"/>
          <w:szCs w:val="24"/>
          <w:lang w:eastAsia="cs-CZ"/>
        </w:rPr>
        <w:t>podpořit nekonfliktní soužití s cizinci</w:t>
      </w:r>
      <w:r w:rsidR="00EB46E7" w:rsidRPr="00A944B0">
        <w:rPr>
          <w:rFonts w:eastAsia="Calibri" w:cstheme="minorHAnsi"/>
          <w:sz w:val="24"/>
          <w:szCs w:val="24"/>
          <w:lang w:eastAsia="cs-CZ"/>
        </w:rPr>
        <w:t>“</w:t>
      </w:r>
      <w:r w:rsidR="00EB46E7" w:rsidRPr="002C310E">
        <w:rPr>
          <w:rFonts w:eastAsia="Calibri" w:cstheme="minorHAnsi"/>
          <w:sz w:val="24"/>
          <w:szCs w:val="24"/>
          <w:lang w:eastAsia="cs-CZ"/>
        </w:rPr>
        <w:t xml:space="preserve">, </w:t>
      </w:r>
      <w:r w:rsidR="00EB46E7" w:rsidRPr="00A944B0">
        <w:rPr>
          <w:rFonts w:eastAsia="Calibri" w:cstheme="minorHAnsi"/>
          <w:sz w:val="24"/>
          <w:szCs w:val="24"/>
          <w:lang w:eastAsia="cs-CZ"/>
        </w:rPr>
        <w:t>„</w:t>
      </w:r>
      <w:r w:rsidR="00EB46E7" w:rsidRPr="002C310E">
        <w:rPr>
          <w:rFonts w:eastAsia="Calibri" w:cstheme="minorHAnsi"/>
          <w:i/>
          <w:sz w:val="24"/>
          <w:szCs w:val="24"/>
          <w:lang w:eastAsia="cs-CZ"/>
        </w:rPr>
        <w:t>zabránit vzniku negativních sociálních jevů</w:t>
      </w:r>
      <w:r w:rsidR="00EB46E7" w:rsidRPr="00A944B0">
        <w:rPr>
          <w:rFonts w:eastAsia="Calibri" w:cstheme="minorHAnsi"/>
          <w:sz w:val="24"/>
          <w:szCs w:val="24"/>
          <w:lang w:eastAsia="cs-CZ"/>
        </w:rPr>
        <w:t>“</w:t>
      </w:r>
      <w:r w:rsidR="00EB46E7" w:rsidRPr="002C310E">
        <w:rPr>
          <w:rFonts w:eastAsia="Calibri" w:cstheme="minorHAnsi"/>
          <w:sz w:val="24"/>
          <w:szCs w:val="24"/>
          <w:lang w:eastAsia="cs-CZ"/>
        </w:rPr>
        <w:t xml:space="preserve"> nebo </w:t>
      </w:r>
      <w:r w:rsidR="00EB46E7" w:rsidRPr="00A944B0">
        <w:rPr>
          <w:rFonts w:eastAsia="Calibri" w:cstheme="minorHAnsi"/>
          <w:sz w:val="24"/>
          <w:szCs w:val="24"/>
          <w:lang w:eastAsia="cs-CZ"/>
        </w:rPr>
        <w:t>„</w:t>
      </w:r>
      <w:r w:rsidR="00EB46E7" w:rsidRPr="002C310E">
        <w:rPr>
          <w:rFonts w:eastAsia="Calibri" w:cstheme="minorHAnsi"/>
          <w:i/>
          <w:sz w:val="24"/>
          <w:szCs w:val="24"/>
          <w:lang w:eastAsia="cs-CZ"/>
        </w:rPr>
        <w:t>zajistit bezpečnost všech obyvatel ČR</w:t>
      </w:r>
      <w:r w:rsidR="00EB46E7" w:rsidRPr="00A944B0">
        <w:rPr>
          <w:rFonts w:eastAsia="Calibri" w:cstheme="minorHAnsi"/>
          <w:sz w:val="24"/>
          <w:szCs w:val="24"/>
          <w:lang w:eastAsia="cs-CZ"/>
        </w:rPr>
        <w:t>“</w:t>
      </w:r>
      <w:r w:rsidR="00EB46E7" w:rsidRPr="002C310E">
        <w:rPr>
          <w:rFonts w:eastAsia="Calibri" w:cstheme="minorHAnsi"/>
          <w:sz w:val="24"/>
          <w:szCs w:val="24"/>
          <w:lang w:eastAsia="cs-CZ"/>
        </w:rPr>
        <w:t xml:space="preserve"> nastavilo MV obecně a neměřitelně, bez kvantifikovaných ukazatelů a předpokládaných cílových hodnot. </w:t>
      </w:r>
      <w:r w:rsidRPr="002C310E">
        <w:rPr>
          <w:rFonts w:eastAsia="Calibri" w:cstheme="minorHAnsi"/>
          <w:sz w:val="24"/>
          <w:szCs w:val="24"/>
        </w:rPr>
        <w:t xml:space="preserve">MV každoročně vypracovává postup </w:t>
      </w:r>
      <w:r w:rsidR="00CF3363" w:rsidRPr="002C310E">
        <w:rPr>
          <w:rFonts w:eastAsia="Calibri" w:cstheme="minorHAnsi"/>
          <w:sz w:val="24"/>
          <w:szCs w:val="24"/>
        </w:rPr>
        <w:t>pro</w:t>
      </w:r>
      <w:r w:rsidRPr="002C310E">
        <w:rPr>
          <w:rFonts w:eastAsia="Calibri" w:cstheme="minorHAnsi"/>
          <w:sz w:val="24"/>
          <w:szCs w:val="24"/>
        </w:rPr>
        <w:t xml:space="preserve"> realizaci KIC na následující rok s konkrétními opatřeními</w:t>
      </w:r>
      <w:r w:rsidR="00EB46E7" w:rsidRPr="002C310E">
        <w:rPr>
          <w:rFonts w:eastAsia="Calibri" w:cstheme="minorHAnsi"/>
          <w:sz w:val="24"/>
          <w:szCs w:val="24"/>
        </w:rPr>
        <w:t>, které nejsou vždy stanovena měřitelně</w:t>
      </w:r>
      <w:r w:rsidR="00EB7A8A">
        <w:rPr>
          <w:rFonts w:eastAsia="Calibri" w:cstheme="minorHAnsi"/>
          <w:sz w:val="24"/>
          <w:szCs w:val="24"/>
        </w:rPr>
        <w:t>,</w:t>
      </w:r>
      <w:r w:rsidR="00EB46E7" w:rsidRPr="002C310E">
        <w:rPr>
          <w:rFonts w:eastAsia="Calibri" w:cstheme="minorHAnsi"/>
          <w:sz w:val="24"/>
          <w:szCs w:val="24"/>
        </w:rPr>
        <w:t xml:space="preserve"> </w:t>
      </w:r>
      <w:r w:rsidR="005D6EF0">
        <w:rPr>
          <w:rFonts w:eastAsia="Calibri" w:cstheme="minorHAnsi"/>
          <w:sz w:val="24"/>
          <w:szCs w:val="24"/>
        </w:rPr>
        <w:t xml:space="preserve">jako </w:t>
      </w:r>
      <w:r w:rsidR="00EB46E7" w:rsidRPr="002C310E">
        <w:rPr>
          <w:rFonts w:eastAsia="Calibri" w:cstheme="minorHAnsi"/>
          <w:sz w:val="24"/>
          <w:szCs w:val="24"/>
        </w:rPr>
        <w:t>např.</w:t>
      </w:r>
      <w:r w:rsidR="00F6175E" w:rsidRPr="00B71AD4">
        <w:rPr>
          <w:rFonts w:eastAsia="Calibri" w:cstheme="minorHAnsi"/>
          <w:sz w:val="24"/>
          <w:szCs w:val="24"/>
        </w:rPr>
        <w:t xml:space="preserve"> </w:t>
      </w:r>
      <w:r w:rsidR="00EB46E7" w:rsidRPr="00A944B0">
        <w:rPr>
          <w:rFonts w:eastAsia="Calibri" w:cstheme="minorHAnsi"/>
          <w:sz w:val="24"/>
          <w:szCs w:val="24"/>
        </w:rPr>
        <w:t>„</w:t>
      </w:r>
      <w:r w:rsidR="00EB46E7" w:rsidRPr="002C310E">
        <w:rPr>
          <w:rFonts w:eastAsia="Calibri" w:cstheme="minorHAnsi"/>
          <w:i/>
          <w:sz w:val="24"/>
          <w:szCs w:val="24"/>
        </w:rPr>
        <w:t>p</w:t>
      </w:r>
      <w:r w:rsidR="00EB46E7" w:rsidRPr="002C310E">
        <w:rPr>
          <w:rFonts w:cstheme="minorHAnsi"/>
          <w:i/>
          <w:sz w:val="24"/>
          <w:szCs w:val="24"/>
          <w:lang w:eastAsia="cs-CZ"/>
        </w:rPr>
        <w:t>odporovat poskytování asistence cizincům při vyřizování pobytových náležitostí, s důrazem na kvalitu služeb a kvalifikaci osob, které asistenci a tlumočení poskytují</w:t>
      </w:r>
      <w:r w:rsidR="00EB46E7" w:rsidRPr="00A944B0">
        <w:rPr>
          <w:rFonts w:cstheme="minorHAnsi"/>
          <w:sz w:val="24"/>
          <w:szCs w:val="24"/>
          <w:lang w:eastAsia="cs-CZ"/>
        </w:rPr>
        <w:t xml:space="preserve">“ </w:t>
      </w:r>
      <w:r w:rsidR="00EB46E7" w:rsidRPr="002C310E">
        <w:rPr>
          <w:rFonts w:cstheme="minorHAnsi"/>
          <w:iCs/>
          <w:sz w:val="24"/>
          <w:szCs w:val="24"/>
          <w:lang w:eastAsia="cs-CZ"/>
        </w:rPr>
        <w:t>nebo</w:t>
      </w:r>
      <w:r w:rsidR="00EB46E7" w:rsidRPr="002C310E">
        <w:rPr>
          <w:rFonts w:cstheme="minorHAnsi"/>
          <w:i/>
          <w:sz w:val="24"/>
          <w:szCs w:val="24"/>
          <w:lang w:eastAsia="cs-CZ"/>
        </w:rPr>
        <w:t xml:space="preserve"> </w:t>
      </w:r>
      <w:r w:rsidRPr="00A944B0">
        <w:rPr>
          <w:rFonts w:cstheme="minorHAnsi"/>
          <w:sz w:val="24"/>
          <w:szCs w:val="24"/>
          <w:lang w:eastAsia="cs-CZ"/>
        </w:rPr>
        <w:t>„</w:t>
      </w:r>
      <w:r w:rsidR="00EB46E7" w:rsidRPr="002C310E">
        <w:rPr>
          <w:rFonts w:cstheme="minorHAnsi"/>
          <w:i/>
          <w:sz w:val="24"/>
          <w:szCs w:val="24"/>
          <w:lang w:eastAsia="cs-CZ"/>
        </w:rPr>
        <w:t>u</w:t>
      </w:r>
      <w:r w:rsidRPr="002C310E">
        <w:rPr>
          <w:rFonts w:cstheme="minorHAnsi"/>
          <w:i/>
          <w:sz w:val="24"/>
          <w:szCs w:val="24"/>
          <w:lang w:eastAsia="cs-CZ"/>
        </w:rPr>
        <w:t>silovat o zajištění trvalé udržitelnosti Center na podporu integrace cizinců tak, aby byla stálým prvkem systému integrace</w:t>
      </w:r>
      <w:r w:rsidRPr="00A944B0">
        <w:rPr>
          <w:rFonts w:cstheme="minorHAnsi"/>
          <w:sz w:val="24"/>
          <w:szCs w:val="24"/>
          <w:lang w:eastAsia="cs-CZ"/>
        </w:rPr>
        <w:t>“</w:t>
      </w:r>
      <w:r w:rsidRPr="002C310E">
        <w:rPr>
          <w:rFonts w:cstheme="minorHAnsi"/>
          <w:i/>
          <w:sz w:val="24"/>
          <w:szCs w:val="24"/>
          <w:lang w:eastAsia="cs-CZ"/>
        </w:rPr>
        <w:t xml:space="preserve">. </w:t>
      </w:r>
      <w:r w:rsidRPr="002C310E">
        <w:rPr>
          <w:rFonts w:cstheme="minorHAnsi"/>
          <w:sz w:val="24"/>
          <w:szCs w:val="24"/>
          <w:lang w:eastAsia="cs-CZ"/>
        </w:rPr>
        <w:t xml:space="preserve">Pro sledování </w:t>
      </w:r>
      <w:r w:rsidRPr="002C310E">
        <w:rPr>
          <w:rFonts w:eastAsia="Calibri" w:cstheme="minorHAnsi"/>
          <w:sz w:val="24"/>
          <w:szCs w:val="24"/>
        </w:rPr>
        <w:t>oblasti</w:t>
      </w:r>
      <w:r w:rsidR="00F6175E" w:rsidRPr="002C310E">
        <w:rPr>
          <w:rFonts w:eastAsia="Calibri" w:cstheme="minorHAnsi"/>
          <w:sz w:val="24"/>
          <w:szCs w:val="24"/>
        </w:rPr>
        <w:t xml:space="preserve"> </w:t>
      </w:r>
      <w:r w:rsidRPr="002C310E">
        <w:rPr>
          <w:rFonts w:eastAsia="Calibri" w:cstheme="minorHAnsi"/>
          <w:sz w:val="24"/>
          <w:szCs w:val="24"/>
        </w:rPr>
        <w:t xml:space="preserve">integrace cizinců v ČR si nechává </w:t>
      </w:r>
      <w:r w:rsidR="00F6175E" w:rsidRPr="002C310E">
        <w:rPr>
          <w:rFonts w:eastAsia="Calibri" w:cstheme="minorHAnsi"/>
          <w:sz w:val="24"/>
          <w:szCs w:val="24"/>
        </w:rPr>
        <w:t xml:space="preserve">MV </w:t>
      </w:r>
      <w:r w:rsidRPr="002C310E">
        <w:rPr>
          <w:rFonts w:eastAsia="Calibri" w:cstheme="minorHAnsi"/>
          <w:sz w:val="24"/>
          <w:szCs w:val="24"/>
        </w:rPr>
        <w:t>zpracovávat materiál o</w:t>
      </w:r>
      <w:r w:rsidR="0082216C">
        <w:rPr>
          <w:rFonts w:eastAsia="Calibri" w:cstheme="minorHAnsi"/>
          <w:sz w:val="24"/>
          <w:szCs w:val="24"/>
        </w:rPr>
        <w:t> </w:t>
      </w:r>
      <w:r w:rsidRPr="002C310E">
        <w:rPr>
          <w:rFonts w:eastAsia="Calibri" w:cstheme="minorHAnsi"/>
          <w:sz w:val="24"/>
          <w:szCs w:val="24"/>
        </w:rPr>
        <w:t>vývoji kvalitativních a kvantitativních indikátorů</w:t>
      </w:r>
      <w:r>
        <w:rPr>
          <w:rStyle w:val="Znakapoznpodarou"/>
          <w:rFonts w:eastAsia="Calibri" w:cstheme="minorHAnsi"/>
          <w:sz w:val="24"/>
          <w:szCs w:val="24"/>
        </w:rPr>
        <w:footnoteReference w:id="37"/>
      </w:r>
      <w:r w:rsidRPr="002C310E">
        <w:rPr>
          <w:rFonts w:eastAsia="Calibri" w:cstheme="minorHAnsi"/>
          <w:sz w:val="24"/>
          <w:szCs w:val="24"/>
        </w:rPr>
        <w:t xml:space="preserve"> v čase, který však neposkytuje informace o plnění nastavených cílů. Hodnocení plnění cílů KIC tak bude pro MV obtížné.</w:t>
      </w:r>
    </w:p>
    <w:tbl>
      <w:tblPr>
        <w:tblStyle w:val="Mkatabulky"/>
        <w:tblpPr w:leftFromText="141" w:rightFromText="141" w:vertAnchor="text" w:horzAnchor="margin" w:tblpY="1847"/>
        <w:tblW w:w="0" w:type="auto"/>
        <w:tblLook w:val="04A0" w:firstRow="1" w:lastRow="0" w:firstColumn="1" w:lastColumn="0" w:noHBand="0" w:noVBand="1"/>
      </w:tblPr>
      <w:tblGrid>
        <w:gridCol w:w="9062"/>
      </w:tblGrid>
      <w:tr w:rsidR="00C72C9E" w14:paraId="001D020E" w14:textId="77777777" w:rsidTr="005F0E16">
        <w:trPr>
          <w:trHeight w:val="389"/>
        </w:trPr>
        <w:tc>
          <w:tcPr>
            <w:tcW w:w="9062" w:type="dxa"/>
            <w:shd w:val="clear" w:color="auto" w:fill="E5F1FF"/>
            <w:vAlign w:val="center"/>
          </w:tcPr>
          <w:p w14:paraId="3FC19279" w14:textId="77777777" w:rsidR="005F0E16" w:rsidRPr="002C310E" w:rsidRDefault="00F04DCF" w:rsidP="005F0E16">
            <w:pPr>
              <w:pStyle w:val="Nadpis2"/>
              <w:outlineLvl w:val="1"/>
              <w:rPr>
                <w:rFonts w:asciiTheme="minorHAnsi" w:hAnsiTheme="minorHAnsi" w:cstheme="minorHAnsi"/>
                <w:b/>
                <w:color w:val="1F4E79" w:themeColor="accent1" w:themeShade="80"/>
                <w:sz w:val="24"/>
                <w:szCs w:val="24"/>
              </w:rPr>
            </w:pPr>
            <w:r w:rsidRPr="002C310E">
              <w:rPr>
                <w:rFonts w:asciiTheme="minorHAnsi" w:hAnsiTheme="minorHAnsi" w:cstheme="minorHAnsi"/>
                <w:b/>
                <w:color w:val="1F4E79" w:themeColor="accent1" w:themeShade="80"/>
                <w:sz w:val="24"/>
                <w:szCs w:val="24"/>
              </w:rPr>
              <w:t>B. Kontrolované programy</w:t>
            </w:r>
          </w:p>
        </w:tc>
      </w:tr>
    </w:tbl>
    <w:p w14:paraId="73E47B3F" w14:textId="568447D6" w:rsidR="005F0E16" w:rsidRPr="002C310E" w:rsidRDefault="00F04DCF" w:rsidP="005F0E16">
      <w:pPr>
        <w:spacing w:after="120" w:line="240" w:lineRule="auto"/>
        <w:jc w:val="both"/>
        <w:rPr>
          <w:rFonts w:eastAsia="Calibri" w:cstheme="minorHAnsi"/>
          <w:sz w:val="24"/>
          <w:szCs w:val="24"/>
        </w:rPr>
      </w:pPr>
      <w:r w:rsidRPr="00A77E3A">
        <w:rPr>
          <w:rFonts w:eastAsia="Calibri" w:cstheme="minorHAnsi"/>
          <w:b/>
          <w:sz w:val="24"/>
          <w:szCs w:val="24"/>
        </w:rPr>
        <w:t>4.</w:t>
      </w:r>
      <w:r w:rsidR="00F34CD6" w:rsidRPr="00A77E3A">
        <w:rPr>
          <w:rFonts w:eastAsia="Calibri" w:cstheme="minorHAnsi"/>
          <w:b/>
          <w:sz w:val="24"/>
          <w:szCs w:val="24"/>
        </w:rPr>
        <w:t>5</w:t>
      </w:r>
      <w:r w:rsidRPr="00A77E3A">
        <w:rPr>
          <w:rFonts w:eastAsia="Calibri" w:cstheme="minorHAnsi"/>
          <w:b/>
          <w:sz w:val="24"/>
          <w:szCs w:val="24"/>
        </w:rPr>
        <w:t xml:space="preserve"> </w:t>
      </w:r>
      <w:r w:rsidR="00F34CD6" w:rsidRPr="002C310E">
        <w:rPr>
          <w:rFonts w:eastAsia="Calibri" w:cstheme="minorHAnsi"/>
          <w:sz w:val="24"/>
          <w:szCs w:val="24"/>
        </w:rPr>
        <w:t>C</w:t>
      </w:r>
      <w:r w:rsidR="00F34CD6" w:rsidRPr="002C310E">
        <w:rPr>
          <w:rFonts w:eastAsia="Calibri" w:cstheme="minorHAnsi"/>
          <w:sz w:val="24"/>
          <w:szCs w:val="24"/>
          <w:lang w:eastAsia="cs-CZ"/>
        </w:rPr>
        <w:t xml:space="preserve">íle Koncepce v oblasti </w:t>
      </w:r>
      <w:r w:rsidR="00F34CD6" w:rsidRPr="002C310E">
        <w:rPr>
          <w:rFonts w:cstheme="minorHAnsi"/>
          <w:sz w:val="24"/>
          <w:szCs w:val="24"/>
          <w:lang w:val="fr-FR"/>
        </w:rPr>
        <w:t xml:space="preserve">vnější migrace </w:t>
      </w:r>
      <w:r w:rsidR="00F34CD6" w:rsidRPr="002C310E">
        <w:rPr>
          <w:rFonts w:eastAsia="Calibri" w:cstheme="minorHAnsi"/>
          <w:sz w:val="24"/>
          <w:szCs w:val="24"/>
          <w:lang w:eastAsia="cs-CZ"/>
        </w:rPr>
        <w:t>jako např.</w:t>
      </w:r>
      <w:r w:rsidR="00F34CD6" w:rsidRPr="002C310E">
        <w:rPr>
          <w:rFonts w:eastAsia="Calibri" w:cstheme="minorHAnsi"/>
          <w:sz w:val="24"/>
          <w:szCs w:val="24"/>
        </w:rPr>
        <w:t xml:space="preserve"> </w:t>
      </w:r>
      <w:r w:rsidRPr="002C310E">
        <w:rPr>
          <w:rFonts w:cstheme="minorHAnsi"/>
          <w:sz w:val="24"/>
          <w:szCs w:val="24"/>
          <w:lang w:eastAsia="cs-CZ"/>
        </w:rPr>
        <w:t>„</w:t>
      </w:r>
      <w:r w:rsidR="00F34CD6" w:rsidRPr="002C310E">
        <w:rPr>
          <w:rFonts w:cstheme="minorHAnsi"/>
          <w:i/>
          <w:iCs/>
          <w:sz w:val="24"/>
          <w:szCs w:val="24"/>
          <w:lang w:eastAsia="cs-CZ"/>
        </w:rPr>
        <w:t>b</w:t>
      </w:r>
      <w:r w:rsidRPr="002C310E">
        <w:rPr>
          <w:rFonts w:cstheme="minorHAnsi"/>
          <w:i/>
          <w:iCs/>
          <w:sz w:val="24"/>
          <w:szCs w:val="24"/>
          <w:lang w:eastAsia="cs-CZ"/>
        </w:rPr>
        <w:t>oj proti nelegální migraci</w:t>
      </w:r>
      <w:r w:rsidRPr="00A944B0">
        <w:rPr>
          <w:rFonts w:cstheme="minorHAnsi"/>
          <w:sz w:val="24"/>
          <w:szCs w:val="24"/>
          <w:lang w:eastAsia="cs-CZ"/>
        </w:rPr>
        <w:t>“</w:t>
      </w:r>
      <w:r w:rsidR="00F34CD6" w:rsidRPr="002C310E">
        <w:rPr>
          <w:rFonts w:cstheme="minorHAnsi"/>
          <w:sz w:val="24"/>
          <w:szCs w:val="24"/>
          <w:lang w:eastAsia="cs-CZ"/>
        </w:rPr>
        <w:t xml:space="preserve"> nebo </w:t>
      </w:r>
      <w:r w:rsidRPr="00A944B0">
        <w:rPr>
          <w:rFonts w:cstheme="minorHAnsi"/>
          <w:sz w:val="24"/>
          <w:szCs w:val="24"/>
          <w:lang w:eastAsia="cs-CZ"/>
        </w:rPr>
        <w:t>„</w:t>
      </w:r>
      <w:r w:rsidR="00F34CD6" w:rsidRPr="002C310E">
        <w:rPr>
          <w:rFonts w:cstheme="minorHAnsi"/>
          <w:i/>
          <w:sz w:val="24"/>
          <w:szCs w:val="24"/>
          <w:lang w:eastAsia="cs-CZ"/>
        </w:rPr>
        <w:t>p</w:t>
      </w:r>
      <w:r w:rsidRPr="002C310E">
        <w:rPr>
          <w:rFonts w:cstheme="minorHAnsi"/>
          <w:i/>
          <w:sz w:val="24"/>
          <w:szCs w:val="24"/>
          <w:lang w:eastAsia="cs-CZ"/>
        </w:rPr>
        <w:t>římá pomoc uprchlíkům v zemích původu i tranzitu migrace</w:t>
      </w:r>
      <w:r w:rsidRPr="00A944B0">
        <w:rPr>
          <w:rFonts w:cstheme="minorHAnsi"/>
          <w:sz w:val="24"/>
          <w:szCs w:val="24"/>
          <w:lang w:eastAsia="cs-CZ"/>
        </w:rPr>
        <w:t>“</w:t>
      </w:r>
      <w:r w:rsidR="00F34CD6" w:rsidRPr="002C310E">
        <w:rPr>
          <w:rFonts w:cstheme="minorHAnsi"/>
          <w:i/>
          <w:sz w:val="24"/>
          <w:szCs w:val="24"/>
          <w:lang w:eastAsia="cs-CZ"/>
        </w:rPr>
        <w:t xml:space="preserve"> </w:t>
      </w:r>
      <w:r w:rsidR="00F34CD6" w:rsidRPr="002C310E">
        <w:rPr>
          <w:rFonts w:eastAsia="Calibri" w:cstheme="minorHAnsi"/>
          <w:sz w:val="24"/>
          <w:szCs w:val="24"/>
          <w:lang w:eastAsia="cs-CZ"/>
        </w:rPr>
        <w:t>nastavilo MV rovněž obecně a</w:t>
      </w:r>
      <w:r w:rsidR="0082216C">
        <w:rPr>
          <w:rFonts w:eastAsia="Calibri" w:cstheme="minorHAnsi"/>
          <w:sz w:val="24"/>
          <w:szCs w:val="24"/>
          <w:lang w:eastAsia="cs-CZ"/>
        </w:rPr>
        <w:t> </w:t>
      </w:r>
      <w:r w:rsidR="00F34CD6" w:rsidRPr="002C310E">
        <w:rPr>
          <w:rFonts w:eastAsia="Calibri" w:cstheme="minorHAnsi"/>
          <w:sz w:val="24"/>
          <w:szCs w:val="24"/>
          <w:lang w:eastAsia="cs-CZ"/>
        </w:rPr>
        <w:t>neměřitelně. Totéž platí o prioritách, jako např.</w:t>
      </w:r>
      <w:r w:rsidRPr="002C310E">
        <w:rPr>
          <w:rFonts w:eastAsia="Calibri" w:cstheme="minorHAnsi"/>
          <w:sz w:val="24"/>
          <w:szCs w:val="24"/>
          <w:lang w:eastAsia="cs-CZ"/>
        </w:rPr>
        <w:t xml:space="preserve"> </w:t>
      </w:r>
      <w:r w:rsidR="00F34CD6" w:rsidRPr="00A944B0">
        <w:rPr>
          <w:rFonts w:cstheme="minorHAnsi"/>
          <w:sz w:val="24"/>
          <w:szCs w:val="24"/>
          <w:lang w:eastAsia="cs-CZ"/>
        </w:rPr>
        <w:t>„</w:t>
      </w:r>
      <w:r w:rsidR="00F34CD6" w:rsidRPr="002C310E">
        <w:rPr>
          <w:rFonts w:cstheme="minorHAnsi"/>
          <w:i/>
          <w:sz w:val="24"/>
          <w:szCs w:val="24"/>
          <w:lang w:eastAsia="cs-CZ"/>
        </w:rPr>
        <w:t>podpora lidských práv a rozvoje občanské společnosti</w:t>
      </w:r>
      <w:r w:rsidR="00F34CD6" w:rsidRPr="00A944B0">
        <w:rPr>
          <w:rFonts w:cstheme="minorHAnsi"/>
          <w:sz w:val="24"/>
          <w:szCs w:val="24"/>
          <w:lang w:eastAsia="cs-CZ"/>
        </w:rPr>
        <w:t>“</w:t>
      </w:r>
      <w:r w:rsidR="00F34CD6" w:rsidRPr="002C310E">
        <w:rPr>
          <w:rFonts w:cstheme="minorHAnsi"/>
          <w:iCs/>
          <w:sz w:val="24"/>
          <w:szCs w:val="24"/>
          <w:lang w:eastAsia="cs-CZ"/>
        </w:rPr>
        <w:t xml:space="preserve"> nebo „r</w:t>
      </w:r>
      <w:r w:rsidR="00F34CD6" w:rsidRPr="002C310E">
        <w:rPr>
          <w:rFonts w:cstheme="minorHAnsi"/>
          <w:i/>
          <w:sz w:val="24"/>
          <w:szCs w:val="24"/>
          <w:lang w:eastAsia="cs-CZ"/>
        </w:rPr>
        <w:t>ozvoj a stabilizace uprchlíků v místě aktuálního vysídlení včetně podpory vzdělávání</w:t>
      </w:r>
      <w:r w:rsidR="00F34CD6" w:rsidRPr="00A944B0">
        <w:rPr>
          <w:rFonts w:cstheme="minorHAnsi"/>
          <w:sz w:val="24"/>
          <w:szCs w:val="24"/>
          <w:lang w:eastAsia="cs-CZ"/>
        </w:rPr>
        <w:t>“</w:t>
      </w:r>
      <w:r w:rsidR="00F34CD6" w:rsidRPr="002C310E">
        <w:rPr>
          <w:rFonts w:cstheme="minorHAnsi"/>
          <w:i/>
          <w:sz w:val="24"/>
          <w:szCs w:val="24"/>
          <w:lang w:eastAsia="cs-CZ"/>
        </w:rPr>
        <w:t xml:space="preserve">. </w:t>
      </w:r>
      <w:r w:rsidR="00F34CD6" w:rsidRPr="002C310E">
        <w:rPr>
          <w:rFonts w:eastAsia="Calibri" w:cstheme="minorHAnsi"/>
          <w:sz w:val="24"/>
          <w:szCs w:val="24"/>
        </w:rPr>
        <w:t>Hodnocení plnění cílů vynaložených prostředků na vnější migraci tak bude pro MV obtížné.</w:t>
      </w:r>
    </w:p>
    <w:p w14:paraId="1F590784" w14:textId="33D9CC99" w:rsidR="001128D9" w:rsidRPr="002C310E" w:rsidRDefault="00F04DCF" w:rsidP="00A77E3A">
      <w:pPr>
        <w:spacing w:before="120" w:after="120" w:line="240" w:lineRule="auto"/>
        <w:jc w:val="both"/>
        <w:rPr>
          <w:rFonts w:eastAsia="Calibri" w:cstheme="minorHAnsi"/>
          <w:sz w:val="24"/>
          <w:szCs w:val="24"/>
        </w:rPr>
      </w:pPr>
      <w:r w:rsidRPr="00A77E3A">
        <w:rPr>
          <w:rFonts w:cstheme="minorHAnsi"/>
          <w:b/>
          <w:sz w:val="24"/>
          <w:szCs w:val="24"/>
        </w:rPr>
        <w:t>4.</w:t>
      </w:r>
      <w:r w:rsidR="005F0E16" w:rsidRPr="00A77E3A">
        <w:rPr>
          <w:rFonts w:cstheme="minorHAnsi"/>
          <w:b/>
          <w:sz w:val="24"/>
          <w:szCs w:val="24"/>
        </w:rPr>
        <w:t>6</w:t>
      </w:r>
      <w:r w:rsidRPr="002C310E">
        <w:rPr>
          <w:rFonts w:cstheme="minorHAnsi"/>
          <w:sz w:val="24"/>
          <w:szCs w:val="24"/>
        </w:rPr>
        <w:t xml:space="preserve"> </w:t>
      </w:r>
      <w:r w:rsidR="00457427" w:rsidRPr="002C310E">
        <w:rPr>
          <w:rFonts w:cstheme="minorHAnsi"/>
          <w:sz w:val="24"/>
          <w:szCs w:val="24"/>
        </w:rPr>
        <w:t xml:space="preserve">Nástrojem k plnění cílů </w:t>
      </w:r>
      <w:r w:rsidR="00940E2C">
        <w:rPr>
          <w:rFonts w:cstheme="minorHAnsi"/>
          <w:sz w:val="24"/>
          <w:szCs w:val="24"/>
        </w:rPr>
        <w:t xml:space="preserve">ve </w:t>
      </w:r>
      <w:r w:rsidR="00457427" w:rsidRPr="002C310E">
        <w:rPr>
          <w:rFonts w:cstheme="minorHAnsi"/>
          <w:sz w:val="24"/>
          <w:szCs w:val="24"/>
        </w:rPr>
        <w:t>vybraných tematických oblastech</w:t>
      </w:r>
      <w:r w:rsidR="00F45D53">
        <w:rPr>
          <w:rFonts w:cstheme="minorHAnsi"/>
          <w:sz w:val="24"/>
          <w:szCs w:val="24"/>
        </w:rPr>
        <w:t xml:space="preserve"> migrační politiky</w:t>
      </w:r>
      <w:r w:rsidR="00457427" w:rsidRPr="002C310E">
        <w:rPr>
          <w:rFonts w:cstheme="minorHAnsi"/>
          <w:sz w:val="24"/>
          <w:szCs w:val="24"/>
        </w:rPr>
        <w:t xml:space="preserve"> jsou kontrolované programy uvedené</w:t>
      </w:r>
      <w:r w:rsidR="00A147DB" w:rsidRPr="002C310E">
        <w:rPr>
          <w:rFonts w:cstheme="minorHAnsi"/>
          <w:sz w:val="24"/>
          <w:szCs w:val="24"/>
        </w:rPr>
        <w:t xml:space="preserve"> </w:t>
      </w:r>
      <w:r w:rsidR="004B3531" w:rsidRPr="002C310E">
        <w:rPr>
          <w:rFonts w:cstheme="minorHAnsi"/>
          <w:sz w:val="24"/>
          <w:szCs w:val="24"/>
        </w:rPr>
        <w:t>v odst.</w:t>
      </w:r>
      <w:r w:rsidR="00A147DB" w:rsidRPr="002C310E">
        <w:rPr>
          <w:rFonts w:cstheme="minorHAnsi"/>
          <w:sz w:val="24"/>
          <w:szCs w:val="24"/>
        </w:rPr>
        <w:t xml:space="preserve"> </w:t>
      </w:r>
      <w:r w:rsidR="004B3531" w:rsidRPr="002C310E">
        <w:rPr>
          <w:rFonts w:cstheme="minorHAnsi"/>
          <w:sz w:val="24"/>
          <w:szCs w:val="24"/>
        </w:rPr>
        <w:t>2</w:t>
      </w:r>
      <w:r w:rsidR="00026744" w:rsidRPr="002C310E">
        <w:rPr>
          <w:rFonts w:cstheme="minorHAnsi"/>
          <w:sz w:val="24"/>
          <w:szCs w:val="24"/>
        </w:rPr>
        <w:t>.9</w:t>
      </w:r>
      <w:r w:rsidR="00A147DB" w:rsidRPr="002C310E">
        <w:rPr>
          <w:rFonts w:cstheme="minorHAnsi"/>
          <w:sz w:val="24"/>
          <w:szCs w:val="24"/>
        </w:rPr>
        <w:t xml:space="preserve">. </w:t>
      </w:r>
      <w:r w:rsidR="00457427" w:rsidRPr="002C310E">
        <w:rPr>
          <w:rFonts w:cstheme="minorHAnsi"/>
          <w:sz w:val="24"/>
          <w:szCs w:val="24"/>
        </w:rPr>
        <w:t xml:space="preserve">NKÚ u </w:t>
      </w:r>
      <w:r w:rsidR="00A147DB" w:rsidRPr="002C310E">
        <w:rPr>
          <w:rFonts w:cstheme="minorHAnsi"/>
          <w:sz w:val="24"/>
          <w:szCs w:val="24"/>
        </w:rPr>
        <w:t>nich</w:t>
      </w:r>
      <w:r w:rsidR="00457427" w:rsidRPr="002C310E">
        <w:rPr>
          <w:rFonts w:cstheme="minorHAnsi"/>
          <w:sz w:val="24"/>
          <w:szCs w:val="24"/>
        </w:rPr>
        <w:t xml:space="preserve"> posuzoval účelnost, efektivnost a</w:t>
      </w:r>
      <w:r w:rsidR="00F45D53">
        <w:rPr>
          <w:rFonts w:cstheme="minorHAnsi"/>
          <w:sz w:val="24"/>
          <w:szCs w:val="24"/>
        </w:rPr>
        <w:t> </w:t>
      </w:r>
      <w:r w:rsidR="00457427" w:rsidRPr="002C310E">
        <w:rPr>
          <w:rFonts w:cstheme="minorHAnsi"/>
          <w:sz w:val="24"/>
          <w:szCs w:val="24"/>
        </w:rPr>
        <w:t xml:space="preserve">hospodárnost </w:t>
      </w:r>
      <w:r w:rsidR="00533102">
        <w:rPr>
          <w:rFonts w:cstheme="minorHAnsi"/>
          <w:sz w:val="24"/>
          <w:szCs w:val="24"/>
        </w:rPr>
        <w:t xml:space="preserve">prostředků vynaložených </w:t>
      </w:r>
      <w:r w:rsidR="00457427" w:rsidRPr="002C310E">
        <w:rPr>
          <w:rFonts w:cstheme="minorHAnsi"/>
          <w:sz w:val="24"/>
          <w:szCs w:val="24"/>
        </w:rPr>
        <w:t>na vybrané projekt</w:t>
      </w:r>
      <w:r w:rsidR="00533102">
        <w:rPr>
          <w:rFonts w:cstheme="minorHAnsi"/>
          <w:sz w:val="24"/>
          <w:szCs w:val="24"/>
        </w:rPr>
        <w:t>y</w:t>
      </w:r>
      <w:r w:rsidR="00457427" w:rsidRPr="002C310E">
        <w:rPr>
          <w:rFonts w:cstheme="minorHAnsi"/>
          <w:sz w:val="24"/>
          <w:szCs w:val="24"/>
        </w:rPr>
        <w:t>,</w:t>
      </w:r>
      <w:r w:rsidR="00A147DB" w:rsidRPr="002C310E">
        <w:rPr>
          <w:rFonts w:cstheme="minorHAnsi"/>
          <w:sz w:val="24"/>
          <w:szCs w:val="24"/>
        </w:rPr>
        <w:t xml:space="preserve"> </w:t>
      </w:r>
      <w:r w:rsidR="00457427" w:rsidRPr="002C310E">
        <w:rPr>
          <w:rFonts w:cstheme="minorHAnsi"/>
          <w:sz w:val="24"/>
          <w:szCs w:val="24"/>
        </w:rPr>
        <w:t>s přihlédnutím ke specifikům a</w:t>
      </w:r>
      <w:r w:rsidR="00884775">
        <w:rPr>
          <w:rFonts w:cstheme="minorHAnsi"/>
          <w:sz w:val="24"/>
          <w:szCs w:val="24"/>
        </w:rPr>
        <w:t> </w:t>
      </w:r>
      <w:r w:rsidR="00457427" w:rsidRPr="002C310E">
        <w:rPr>
          <w:rFonts w:cstheme="minorHAnsi"/>
          <w:sz w:val="24"/>
          <w:szCs w:val="24"/>
        </w:rPr>
        <w:t>rozdílům mezi jednotlivými programy</w:t>
      </w:r>
      <w:r>
        <w:rPr>
          <w:rStyle w:val="Znakapoznpodarou"/>
          <w:rFonts w:cstheme="minorHAnsi"/>
          <w:sz w:val="24"/>
          <w:szCs w:val="24"/>
        </w:rPr>
        <w:footnoteReference w:id="38"/>
      </w:r>
      <w:r w:rsidR="00457427" w:rsidRPr="002C310E">
        <w:rPr>
          <w:rFonts w:cstheme="minorHAnsi"/>
          <w:sz w:val="24"/>
          <w:szCs w:val="24"/>
        </w:rPr>
        <w:t>.</w:t>
      </w:r>
    </w:p>
    <w:p w14:paraId="35821CE9" w14:textId="2017C37F" w:rsidR="001C2F97" w:rsidRPr="002C310E" w:rsidRDefault="00F04DCF" w:rsidP="00884775">
      <w:pPr>
        <w:spacing w:after="0" w:line="240" w:lineRule="auto"/>
        <w:jc w:val="both"/>
        <w:rPr>
          <w:rFonts w:cstheme="minorHAnsi"/>
          <w:sz w:val="24"/>
          <w:szCs w:val="24"/>
        </w:rPr>
      </w:pPr>
      <w:r w:rsidRPr="00A159C0">
        <w:rPr>
          <w:rFonts w:cstheme="minorHAnsi"/>
          <w:b/>
          <w:sz w:val="24"/>
          <w:szCs w:val="24"/>
        </w:rPr>
        <w:lastRenderedPageBreak/>
        <w:t>4.</w:t>
      </w:r>
      <w:r w:rsidR="000B1625" w:rsidRPr="00A159C0">
        <w:rPr>
          <w:rFonts w:cstheme="minorHAnsi"/>
          <w:b/>
          <w:sz w:val="24"/>
          <w:szCs w:val="24"/>
        </w:rPr>
        <w:t>7</w:t>
      </w:r>
      <w:r w:rsidRPr="002C310E">
        <w:rPr>
          <w:rFonts w:cstheme="minorHAnsi"/>
          <w:sz w:val="24"/>
          <w:szCs w:val="24"/>
        </w:rPr>
        <w:t xml:space="preserve"> NKÚ posuzoval účelnost vynaložených peněžních prostředků </w:t>
      </w:r>
      <w:r w:rsidR="00DA55C2" w:rsidRPr="002C310E">
        <w:rPr>
          <w:rFonts w:cstheme="minorHAnsi"/>
          <w:sz w:val="24"/>
          <w:szCs w:val="24"/>
        </w:rPr>
        <w:t xml:space="preserve">kontrolovaných programů </w:t>
      </w:r>
      <w:r w:rsidRPr="002C310E">
        <w:rPr>
          <w:rFonts w:cstheme="minorHAnsi"/>
          <w:sz w:val="24"/>
          <w:szCs w:val="24"/>
        </w:rPr>
        <w:t>podle následujících kritérií:</w:t>
      </w:r>
    </w:p>
    <w:p w14:paraId="5B9BD4D5" w14:textId="77777777" w:rsidR="001C2F97" w:rsidRPr="002C310E" w:rsidRDefault="00F04DCF" w:rsidP="00884775">
      <w:pPr>
        <w:pStyle w:val="Odstavecseseznamem"/>
        <w:numPr>
          <w:ilvl w:val="0"/>
          <w:numId w:val="4"/>
        </w:numPr>
        <w:spacing w:after="0" w:line="240" w:lineRule="auto"/>
        <w:ind w:left="284" w:hanging="284"/>
        <w:contextualSpacing w:val="0"/>
        <w:jc w:val="both"/>
        <w:rPr>
          <w:rFonts w:cstheme="minorHAnsi"/>
          <w:sz w:val="24"/>
          <w:szCs w:val="24"/>
        </w:rPr>
      </w:pPr>
      <w:r w:rsidRPr="002C310E">
        <w:rPr>
          <w:rFonts w:cstheme="minorHAnsi"/>
          <w:sz w:val="24"/>
          <w:szCs w:val="24"/>
        </w:rPr>
        <w:t>zda MV v</w:t>
      </w:r>
      <w:r w:rsidR="0062470A" w:rsidRPr="002C310E">
        <w:rPr>
          <w:rFonts w:cstheme="minorHAnsi"/>
          <w:sz w:val="24"/>
          <w:szCs w:val="24"/>
        </w:rPr>
        <w:t> programových dokumentech</w:t>
      </w:r>
      <w:r w:rsidRPr="002C310E">
        <w:rPr>
          <w:rFonts w:cstheme="minorHAnsi"/>
          <w:sz w:val="24"/>
          <w:szCs w:val="24"/>
        </w:rPr>
        <w:t xml:space="preserve"> </w:t>
      </w:r>
      <w:r w:rsidR="004F766B" w:rsidRPr="002C310E">
        <w:rPr>
          <w:rFonts w:cstheme="minorHAnsi"/>
          <w:sz w:val="24"/>
          <w:szCs w:val="24"/>
        </w:rPr>
        <w:t>stanovilo</w:t>
      </w:r>
      <w:r w:rsidR="00EB7CA9" w:rsidRPr="002C310E">
        <w:rPr>
          <w:rFonts w:cstheme="minorHAnsi"/>
          <w:sz w:val="24"/>
          <w:szCs w:val="24"/>
        </w:rPr>
        <w:t xml:space="preserve"> </w:t>
      </w:r>
      <w:r w:rsidRPr="002C310E">
        <w:rPr>
          <w:rFonts w:cstheme="minorHAnsi"/>
          <w:sz w:val="24"/>
          <w:szCs w:val="24"/>
        </w:rPr>
        <w:t>cí</w:t>
      </w:r>
      <w:r w:rsidR="004F766B" w:rsidRPr="002C310E">
        <w:rPr>
          <w:rFonts w:cstheme="minorHAnsi"/>
          <w:sz w:val="24"/>
          <w:szCs w:val="24"/>
        </w:rPr>
        <w:t xml:space="preserve">le v souladu s cíli </w:t>
      </w:r>
      <w:r w:rsidRPr="002C310E">
        <w:rPr>
          <w:rFonts w:cstheme="minorHAnsi"/>
          <w:sz w:val="24"/>
          <w:szCs w:val="24"/>
        </w:rPr>
        <w:t>koncepčních dokument</w:t>
      </w:r>
      <w:r w:rsidR="00EB7CA9" w:rsidRPr="002C310E">
        <w:rPr>
          <w:rFonts w:cstheme="minorHAnsi"/>
          <w:sz w:val="24"/>
          <w:szCs w:val="24"/>
        </w:rPr>
        <w:t>ů</w:t>
      </w:r>
      <w:r w:rsidR="0062470A" w:rsidRPr="002C310E">
        <w:rPr>
          <w:rFonts w:cstheme="minorHAnsi"/>
          <w:sz w:val="24"/>
          <w:szCs w:val="24"/>
        </w:rPr>
        <w:t xml:space="preserve"> a </w:t>
      </w:r>
      <w:r w:rsidRPr="002C310E">
        <w:rPr>
          <w:rFonts w:cstheme="minorHAnsi"/>
          <w:sz w:val="24"/>
          <w:szCs w:val="24"/>
        </w:rPr>
        <w:t>zda je aktualizuje</w:t>
      </w:r>
      <w:r w:rsidR="00782437" w:rsidRPr="002C310E">
        <w:rPr>
          <w:rFonts w:cstheme="minorHAnsi"/>
          <w:sz w:val="24"/>
          <w:szCs w:val="24"/>
        </w:rPr>
        <w:t xml:space="preserve"> v </w:t>
      </w:r>
      <w:r w:rsidR="00591D1A" w:rsidRPr="002C310E">
        <w:rPr>
          <w:rFonts w:cstheme="minorHAnsi"/>
          <w:color w:val="000000"/>
          <w:sz w:val="24"/>
          <w:szCs w:val="24"/>
        </w:rPr>
        <w:t xml:space="preserve">návaznosti na </w:t>
      </w:r>
      <w:r w:rsidR="006F0912" w:rsidRPr="002C310E">
        <w:rPr>
          <w:rFonts w:cstheme="minorHAnsi"/>
          <w:color w:val="000000"/>
          <w:sz w:val="24"/>
          <w:szCs w:val="24"/>
        </w:rPr>
        <w:t xml:space="preserve">případné </w:t>
      </w:r>
      <w:r w:rsidR="00591D1A" w:rsidRPr="002C310E">
        <w:rPr>
          <w:rFonts w:cstheme="minorHAnsi"/>
          <w:color w:val="000000"/>
          <w:sz w:val="24"/>
          <w:szCs w:val="24"/>
        </w:rPr>
        <w:t>změny potřeb</w:t>
      </w:r>
      <w:r w:rsidR="00782437" w:rsidRPr="002C310E">
        <w:rPr>
          <w:rFonts w:cstheme="minorHAnsi"/>
          <w:color w:val="000000"/>
          <w:sz w:val="24"/>
          <w:szCs w:val="24"/>
        </w:rPr>
        <w:t>;</w:t>
      </w:r>
    </w:p>
    <w:p w14:paraId="0440E672" w14:textId="77777777" w:rsidR="001C2F97" w:rsidRPr="002C310E" w:rsidRDefault="00F04DCF" w:rsidP="00884775">
      <w:pPr>
        <w:pStyle w:val="Odstavecseseznamem"/>
        <w:numPr>
          <w:ilvl w:val="0"/>
          <w:numId w:val="4"/>
        </w:numPr>
        <w:spacing w:after="0" w:line="240" w:lineRule="auto"/>
        <w:ind w:left="284" w:hanging="284"/>
        <w:contextualSpacing w:val="0"/>
        <w:jc w:val="both"/>
        <w:rPr>
          <w:rFonts w:cstheme="minorHAnsi"/>
          <w:sz w:val="24"/>
          <w:szCs w:val="24"/>
        </w:rPr>
      </w:pPr>
      <w:r w:rsidRPr="002C310E">
        <w:rPr>
          <w:rFonts w:cstheme="minorHAnsi"/>
          <w:sz w:val="24"/>
          <w:szCs w:val="24"/>
        </w:rPr>
        <w:t xml:space="preserve">zda MV nastavilo v programových dokumentech </w:t>
      </w:r>
      <w:r w:rsidR="006F0912" w:rsidRPr="002C310E">
        <w:rPr>
          <w:rFonts w:cstheme="minorHAnsi"/>
          <w:sz w:val="24"/>
          <w:szCs w:val="24"/>
        </w:rPr>
        <w:t xml:space="preserve">cíle a </w:t>
      </w:r>
      <w:r w:rsidRPr="002C310E">
        <w:rPr>
          <w:rFonts w:cstheme="minorHAnsi"/>
          <w:sz w:val="24"/>
          <w:szCs w:val="24"/>
        </w:rPr>
        <w:t xml:space="preserve">ukazatele </w:t>
      </w:r>
      <w:r w:rsidR="006F0912" w:rsidRPr="002C310E">
        <w:rPr>
          <w:rFonts w:cstheme="minorHAnsi"/>
          <w:sz w:val="24"/>
          <w:szCs w:val="24"/>
        </w:rPr>
        <w:t xml:space="preserve">tak, aby bylo možné naplnění cílů vyhodnotit </w:t>
      </w:r>
      <w:r w:rsidR="004F766B" w:rsidRPr="002C310E">
        <w:rPr>
          <w:rFonts w:cstheme="minorHAnsi"/>
          <w:sz w:val="24"/>
          <w:szCs w:val="24"/>
        </w:rPr>
        <w:t>– c</w:t>
      </w:r>
      <w:r w:rsidR="006F0912" w:rsidRPr="002C310E">
        <w:rPr>
          <w:rFonts w:cstheme="minorHAnsi"/>
          <w:sz w:val="24"/>
          <w:szCs w:val="24"/>
        </w:rPr>
        <w:t xml:space="preserve">íle a ukazatele </w:t>
      </w:r>
      <w:r w:rsidR="004F766B" w:rsidRPr="002C310E">
        <w:rPr>
          <w:rFonts w:cstheme="minorHAnsi"/>
          <w:sz w:val="24"/>
          <w:szCs w:val="24"/>
        </w:rPr>
        <w:t xml:space="preserve">jsou </w:t>
      </w:r>
      <w:r w:rsidRPr="002C310E">
        <w:rPr>
          <w:rFonts w:cstheme="minorHAnsi"/>
          <w:sz w:val="24"/>
          <w:szCs w:val="24"/>
        </w:rPr>
        <w:t>SMART</w:t>
      </w:r>
      <w:r w:rsidR="004F766B" w:rsidRPr="002C310E">
        <w:rPr>
          <w:rFonts w:cstheme="minorHAnsi"/>
          <w:sz w:val="24"/>
          <w:szCs w:val="24"/>
        </w:rPr>
        <w:t xml:space="preserve">, </w:t>
      </w:r>
      <w:r w:rsidR="00EB7CA9" w:rsidRPr="002C310E">
        <w:rPr>
          <w:rFonts w:cstheme="minorHAnsi"/>
          <w:sz w:val="24"/>
          <w:szCs w:val="24"/>
        </w:rPr>
        <w:t>pokud jsou</w:t>
      </w:r>
      <w:r w:rsidR="006F0912" w:rsidRPr="002C310E">
        <w:rPr>
          <w:rFonts w:cstheme="minorHAnsi"/>
          <w:sz w:val="24"/>
          <w:szCs w:val="24"/>
        </w:rPr>
        <w:t xml:space="preserve"> </w:t>
      </w:r>
      <w:r w:rsidRPr="002C310E">
        <w:rPr>
          <w:rFonts w:cstheme="minorHAnsi"/>
          <w:sz w:val="24"/>
          <w:szCs w:val="24"/>
        </w:rPr>
        <w:t>konkrétní, měřitelné, dosažitelné, relevantní a časově vymezené;</w:t>
      </w:r>
    </w:p>
    <w:p w14:paraId="48D54894" w14:textId="7A33E338" w:rsidR="001C2F97" w:rsidRPr="002C310E" w:rsidRDefault="00F04DCF" w:rsidP="00884775">
      <w:pPr>
        <w:pStyle w:val="Odstavecseseznamem"/>
        <w:numPr>
          <w:ilvl w:val="0"/>
          <w:numId w:val="4"/>
        </w:numPr>
        <w:spacing w:after="0" w:line="240" w:lineRule="auto"/>
        <w:ind w:left="284" w:hanging="284"/>
        <w:contextualSpacing w:val="0"/>
        <w:jc w:val="both"/>
        <w:rPr>
          <w:rFonts w:cstheme="minorHAnsi"/>
          <w:sz w:val="24"/>
          <w:szCs w:val="24"/>
        </w:rPr>
      </w:pPr>
      <w:r w:rsidRPr="002C310E">
        <w:rPr>
          <w:rFonts w:cstheme="minorHAnsi"/>
          <w:sz w:val="24"/>
          <w:szCs w:val="24"/>
        </w:rPr>
        <w:t xml:space="preserve">zda nastavený systém hodnocení </w:t>
      </w:r>
      <w:r w:rsidR="006F0912" w:rsidRPr="002C310E">
        <w:rPr>
          <w:rFonts w:cstheme="minorHAnsi"/>
          <w:sz w:val="24"/>
          <w:szCs w:val="24"/>
        </w:rPr>
        <w:t>směřuje k výběru projektů</w:t>
      </w:r>
      <w:r w:rsidR="00C54F30">
        <w:rPr>
          <w:rFonts w:cstheme="minorHAnsi"/>
          <w:sz w:val="24"/>
          <w:szCs w:val="24"/>
        </w:rPr>
        <w:t xml:space="preserve"> </w:t>
      </w:r>
      <w:r w:rsidR="009F1452" w:rsidRPr="002C310E">
        <w:rPr>
          <w:rFonts w:cstheme="minorHAnsi"/>
          <w:sz w:val="24"/>
          <w:szCs w:val="24"/>
        </w:rPr>
        <w:t>/</w:t>
      </w:r>
      <w:r w:rsidR="00C54F30">
        <w:rPr>
          <w:rFonts w:cstheme="minorHAnsi"/>
          <w:sz w:val="24"/>
          <w:szCs w:val="24"/>
        </w:rPr>
        <w:t xml:space="preserve"> </w:t>
      </w:r>
      <w:r w:rsidR="009F1452" w:rsidRPr="002C310E">
        <w:rPr>
          <w:rFonts w:cstheme="minorHAnsi"/>
          <w:sz w:val="24"/>
          <w:szCs w:val="24"/>
        </w:rPr>
        <w:t>integračních plánů</w:t>
      </w:r>
      <w:r w:rsidR="006F0912" w:rsidRPr="002C310E">
        <w:rPr>
          <w:rFonts w:cstheme="minorHAnsi"/>
          <w:sz w:val="24"/>
          <w:szCs w:val="24"/>
        </w:rPr>
        <w:t>, které povedou k</w:t>
      </w:r>
      <w:r w:rsidR="0062470A" w:rsidRPr="002C310E">
        <w:rPr>
          <w:rFonts w:cstheme="minorHAnsi"/>
          <w:sz w:val="24"/>
          <w:szCs w:val="24"/>
        </w:rPr>
        <w:t> </w:t>
      </w:r>
      <w:r w:rsidR="006F0912" w:rsidRPr="002C310E">
        <w:rPr>
          <w:rFonts w:cstheme="minorHAnsi"/>
          <w:sz w:val="24"/>
          <w:szCs w:val="24"/>
        </w:rPr>
        <w:t>dosažení cílů</w:t>
      </w:r>
      <w:r w:rsidRPr="002C310E">
        <w:rPr>
          <w:rFonts w:cstheme="minorHAnsi"/>
          <w:sz w:val="24"/>
          <w:szCs w:val="24"/>
        </w:rPr>
        <w:t>;</w:t>
      </w:r>
    </w:p>
    <w:p w14:paraId="394E3334" w14:textId="67A75A1D" w:rsidR="001C2F97" w:rsidRPr="002C310E" w:rsidRDefault="00F04DCF" w:rsidP="00884775">
      <w:pPr>
        <w:pStyle w:val="Odstavecseseznamem"/>
        <w:numPr>
          <w:ilvl w:val="0"/>
          <w:numId w:val="4"/>
        </w:numPr>
        <w:spacing w:after="0" w:line="240" w:lineRule="auto"/>
        <w:ind w:left="284" w:hanging="284"/>
        <w:contextualSpacing w:val="0"/>
        <w:jc w:val="both"/>
        <w:rPr>
          <w:rFonts w:cstheme="minorHAnsi"/>
          <w:sz w:val="24"/>
          <w:szCs w:val="24"/>
        </w:rPr>
      </w:pPr>
      <w:r w:rsidRPr="002C310E">
        <w:rPr>
          <w:rFonts w:cstheme="minorHAnsi"/>
          <w:sz w:val="24"/>
          <w:szCs w:val="24"/>
        </w:rPr>
        <w:t>zda jsou realizovány projekty</w:t>
      </w:r>
      <w:r w:rsidR="00C54F30">
        <w:rPr>
          <w:rFonts w:cstheme="minorHAnsi"/>
          <w:sz w:val="24"/>
          <w:szCs w:val="24"/>
        </w:rPr>
        <w:t xml:space="preserve"> </w:t>
      </w:r>
      <w:r w:rsidR="009F1452" w:rsidRPr="002C310E">
        <w:rPr>
          <w:rFonts w:cstheme="minorHAnsi"/>
          <w:sz w:val="24"/>
          <w:szCs w:val="24"/>
        </w:rPr>
        <w:t>/</w:t>
      </w:r>
      <w:r w:rsidR="00C54F30">
        <w:rPr>
          <w:rFonts w:cstheme="minorHAnsi"/>
          <w:sz w:val="24"/>
          <w:szCs w:val="24"/>
        </w:rPr>
        <w:t xml:space="preserve"> </w:t>
      </w:r>
      <w:r w:rsidR="009F1452" w:rsidRPr="002C310E">
        <w:rPr>
          <w:rFonts w:cstheme="minorHAnsi"/>
          <w:sz w:val="24"/>
          <w:szCs w:val="24"/>
        </w:rPr>
        <w:t>integrační plány</w:t>
      </w:r>
      <w:r w:rsidR="0062470A" w:rsidRPr="002C310E">
        <w:rPr>
          <w:rFonts w:cstheme="minorHAnsi"/>
          <w:sz w:val="24"/>
          <w:szCs w:val="24"/>
        </w:rPr>
        <w:t xml:space="preserve"> vedoucí k naplnění cílů</w:t>
      </w:r>
      <w:r>
        <w:rPr>
          <w:rStyle w:val="Znakapoznpodarou"/>
          <w:rFonts w:cstheme="minorHAnsi"/>
          <w:sz w:val="24"/>
          <w:szCs w:val="24"/>
        </w:rPr>
        <w:footnoteReference w:id="39"/>
      </w:r>
      <w:r w:rsidR="0062470A" w:rsidRPr="002C310E">
        <w:rPr>
          <w:rFonts w:cstheme="minorHAnsi"/>
          <w:sz w:val="24"/>
          <w:szCs w:val="24"/>
        </w:rPr>
        <w:t xml:space="preserve"> a</w:t>
      </w:r>
      <w:r w:rsidR="009F1452" w:rsidRPr="002C310E">
        <w:rPr>
          <w:rFonts w:cstheme="minorHAnsi"/>
          <w:sz w:val="24"/>
          <w:szCs w:val="24"/>
        </w:rPr>
        <w:t> </w:t>
      </w:r>
      <w:r w:rsidRPr="002C310E">
        <w:rPr>
          <w:rFonts w:cstheme="minorHAnsi"/>
          <w:sz w:val="24"/>
          <w:szCs w:val="24"/>
        </w:rPr>
        <w:t>dosahují</w:t>
      </w:r>
      <w:r w:rsidR="004F766B" w:rsidRPr="002C310E">
        <w:rPr>
          <w:rFonts w:cstheme="minorHAnsi"/>
          <w:sz w:val="24"/>
          <w:szCs w:val="24"/>
        </w:rPr>
        <w:t>cí</w:t>
      </w:r>
      <w:r w:rsidRPr="002C310E">
        <w:rPr>
          <w:rFonts w:cstheme="minorHAnsi"/>
          <w:sz w:val="24"/>
          <w:szCs w:val="24"/>
        </w:rPr>
        <w:t xml:space="preserve"> očekávaných výsledků;</w:t>
      </w:r>
    </w:p>
    <w:p w14:paraId="080F18C7" w14:textId="77777777" w:rsidR="0062470A" w:rsidRPr="002C310E" w:rsidRDefault="00F04DCF" w:rsidP="00884775">
      <w:pPr>
        <w:pStyle w:val="Odstavecseseznamem"/>
        <w:numPr>
          <w:ilvl w:val="0"/>
          <w:numId w:val="4"/>
        </w:numPr>
        <w:spacing w:after="0" w:line="240" w:lineRule="auto"/>
        <w:ind w:left="284" w:hanging="284"/>
        <w:contextualSpacing w:val="0"/>
        <w:jc w:val="both"/>
        <w:rPr>
          <w:rFonts w:cstheme="minorHAnsi"/>
          <w:sz w:val="24"/>
          <w:szCs w:val="24"/>
        </w:rPr>
      </w:pPr>
      <w:r w:rsidRPr="002C310E">
        <w:rPr>
          <w:rFonts w:cstheme="minorHAnsi"/>
          <w:sz w:val="24"/>
          <w:szCs w:val="24"/>
        </w:rPr>
        <w:t>zda je plnění cílů monitorováno a zda MV průběžně vyhodnocuje dosažené výsledky</w:t>
      </w:r>
      <w:r w:rsidR="00EB7CA9" w:rsidRPr="002C310E">
        <w:rPr>
          <w:rFonts w:cstheme="minorHAnsi"/>
          <w:sz w:val="24"/>
          <w:szCs w:val="24"/>
        </w:rPr>
        <w:t>.</w:t>
      </w:r>
    </w:p>
    <w:p w14:paraId="46363753" w14:textId="3025D08D" w:rsidR="00DA55C2" w:rsidRPr="002C310E" w:rsidRDefault="00F04DCF" w:rsidP="00884775">
      <w:pPr>
        <w:tabs>
          <w:tab w:val="left" w:pos="567"/>
        </w:tabs>
        <w:spacing w:before="120" w:after="0" w:line="240" w:lineRule="auto"/>
        <w:jc w:val="both"/>
        <w:rPr>
          <w:rFonts w:cstheme="minorHAnsi"/>
          <w:sz w:val="24"/>
          <w:szCs w:val="24"/>
        </w:rPr>
      </w:pPr>
      <w:r w:rsidRPr="00A159C0">
        <w:rPr>
          <w:rFonts w:cstheme="minorHAnsi"/>
          <w:b/>
          <w:sz w:val="24"/>
          <w:szCs w:val="24"/>
        </w:rPr>
        <w:t>4.</w:t>
      </w:r>
      <w:r w:rsidR="000B1625" w:rsidRPr="00A159C0">
        <w:rPr>
          <w:rFonts w:cstheme="minorHAnsi"/>
          <w:b/>
          <w:sz w:val="24"/>
          <w:szCs w:val="24"/>
        </w:rPr>
        <w:t>8</w:t>
      </w:r>
      <w:r w:rsidRPr="002C310E">
        <w:rPr>
          <w:rFonts w:cstheme="minorHAnsi"/>
          <w:sz w:val="24"/>
          <w:szCs w:val="24"/>
        </w:rPr>
        <w:t xml:space="preserve"> NKÚ posuzoval efektivnost vynaložených peněžních prostředků kontrolovaných programů podle následujících kritérií:</w:t>
      </w:r>
    </w:p>
    <w:p w14:paraId="28F54B5D" w14:textId="55E568F7" w:rsidR="00DA55C2" w:rsidRPr="002C310E" w:rsidRDefault="00F04DCF" w:rsidP="00884775">
      <w:pPr>
        <w:numPr>
          <w:ilvl w:val="0"/>
          <w:numId w:val="5"/>
        </w:numPr>
        <w:spacing w:after="0" w:line="240" w:lineRule="auto"/>
        <w:ind w:left="284" w:hanging="284"/>
        <w:jc w:val="both"/>
        <w:rPr>
          <w:rFonts w:cstheme="minorHAnsi"/>
          <w:sz w:val="24"/>
          <w:szCs w:val="24"/>
        </w:rPr>
      </w:pPr>
      <w:r w:rsidRPr="002C310E">
        <w:rPr>
          <w:rFonts w:cstheme="minorHAnsi"/>
          <w:sz w:val="24"/>
          <w:szCs w:val="24"/>
        </w:rPr>
        <w:t xml:space="preserve">zda nastavený systém hodnocení </w:t>
      </w:r>
      <w:r w:rsidR="00CE270F">
        <w:rPr>
          <w:rFonts w:cstheme="minorHAnsi"/>
          <w:sz w:val="24"/>
          <w:szCs w:val="24"/>
        </w:rPr>
        <w:t xml:space="preserve">zajišťuje </w:t>
      </w:r>
      <w:r w:rsidR="00077BCD" w:rsidRPr="002C310E">
        <w:rPr>
          <w:rFonts w:cstheme="minorHAnsi"/>
          <w:sz w:val="24"/>
          <w:szCs w:val="24"/>
        </w:rPr>
        <w:t xml:space="preserve">výběr </w:t>
      </w:r>
      <w:r w:rsidRPr="002C310E">
        <w:rPr>
          <w:rFonts w:cstheme="minorHAnsi"/>
          <w:sz w:val="24"/>
          <w:szCs w:val="24"/>
        </w:rPr>
        <w:t>projektů</w:t>
      </w:r>
      <w:r w:rsidR="00C54F30">
        <w:rPr>
          <w:rFonts w:cstheme="minorHAnsi"/>
          <w:sz w:val="24"/>
          <w:szCs w:val="24"/>
        </w:rPr>
        <w:t xml:space="preserve"> </w:t>
      </w:r>
      <w:r w:rsidR="00D54BA7" w:rsidRPr="002C310E">
        <w:rPr>
          <w:rFonts w:cstheme="minorHAnsi"/>
          <w:sz w:val="24"/>
          <w:szCs w:val="24"/>
        </w:rPr>
        <w:t>/</w:t>
      </w:r>
      <w:r w:rsidR="00C54F30">
        <w:rPr>
          <w:rFonts w:cstheme="minorHAnsi"/>
          <w:sz w:val="24"/>
          <w:szCs w:val="24"/>
        </w:rPr>
        <w:t xml:space="preserve"> </w:t>
      </w:r>
      <w:r w:rsidR="00D54BA7" w:rsidRPr="002C310E">
        <w:rPr>
          <w:rFonts w:cstheme="minorHAnsi"/>
          <w:sz w:val="24"/>
          <w:szCs w:val="24"/>
        </w:rPr>
        <w:t>integračních plánů</w:t>
      </w:r>
      <w:r w:rsidRPr="002C310E">
        <w:rPr>
          <w:rFonts w:cstheme="minorHAnsi"/>
          <w:sz w:val="24"/>
          <w:szCs w:val="24"/>
        </w:rPr>
        <w:t xml:space="preserve"> </w:t>
      </w:r>
      <w:r w:rsidR="00C64F3A">
        <w:rPr>
          <w:rFonts w:cstheme="minorHAnsi"/>
          <w:sz w:val="24"/>
          <w:szCs w:val="24"/>
        </w:rPr>
        <w:t xml:space="preserve">směřující k efektivnímu vynakládání peněžních prostředků </w:t>
      </w:r>
      <w:r w:rsidRPr="002C310E">
        <w:rPr>
          <w:rFonts w:cstheme="minorHAnsi"/>
          <w:sz w:val="24"/>
          <w:szCs w:val="24"/>
        </w:rPr>
        <w:t xml:space="preserve">a zda MV postupovalo </w:t>
      </w:r>
      <w:r w:rsidR="004F766B" w:rsidRPr="002C310E">
        <w:rPr>
          <w:rFonts w:cstheme="minorHAnsi"/>
          <w:sz w:val="24"/>
          <w:szCs w:val="24"/>
        </w:rPr>
        <w:t>po</w:t>
      </w:r>
      <w:r w:rsidRPr="002C310E">
        <w:rPr>
          <w:rFonts w:cstheme="minorHAnsi"/>
          <w:sz w:val="24"/>
          <w:szCs w:val="24"/>
        </w:rPr>
        <w:t>dle nastaveného systému;</w:t>
      </w:r>
    </w:p>
    <w:p w14:paraId="6558EAF3" w14:textId="4BC92EA1" w:rsidR="00DA55C2" w:rsidRPr="002C310E" w:rsidRDefault="00F04DCF" w:rsidP="00884775">
      <w:pPr>
        <w:numPr>
          <w:ilvl w:val="0"/>
          <w:numId w:val="5"/>
        </w:numPr>
        <w:spacing w:after="0" w:line="240" w:lineRule="auto"/>
        <w:ind w:left="284" w:hanging="284"/>
        <w:jc w:val="both"/>
        <w:rPr>
          <w:rFonts w:cstheme="minorHAnsi"/>
          <w:sz w:val="24"/>
          <w:szCs w:val="24"/>
        </w:rPr>
      </w:pPr>
      <w:r w:rsidRPr="002C310E">
        <w:rPr>
          <w:rFonts w:cstheme="minorHAnsi"/>
          <w:sz w:val="24"/>
          <w:szCs w:val="24"/>
        </w:rPr>
        <w:t>zda realiz</w:t>
      </w:r>
      <w:r w:rsidR="00C64F3A">
        <w:rPr>
          <w:rFonts w:cstheme="minorHAnsi"/>
          <w:sz w:val="24"/>
          <w:szCs w:val="24"/>
        </w:rPr>
        <w:t>ací</w:t>
      </w:r>
      <w:r w:rsidRPr="002C310E">
        <w:rPr>
          <w:rFonts w:cstheme="minorHAnsi"/>
          <w:sz w:val="24"/>
          <w:szCs w:val="24"/>
        </w:rPr>
        <w:t xml:space="preserve"> projekt</w:t>
      </w:r>
      <w:r w:rsidR="00C64F3A">
        <w:rPr>
          <w:rFonts w:cstheme="minorHAnsi"/>
          <w:sz w:val="24"/>
          <w:szCs w:val="24"/>
        </w:rPr>
        <w:t>ů</w:t>
      </w:r>
      <w:r w:rsidR="00C54F30">
        <w:rPr>
          <w:rFonts w:cstheme="minorHAnsi"/>
          <w:sz w:val="24"/>
          <w:szCs w:val="24"/>
        </w:rPr>
        <w:t xml:space="preserve"> </w:t>
      </w:r>
      <w:r w:rsidR="00D54BA7" w:rsidRPr="002C310E">
        <w:rPr>
          <w:rFonts w:cstheme="minorHAnsi"/>
          <w:sz w:val="24"/>
          <w:szCs w:val="24"/>
        </w:rPr>
        <w:t>/</w:t>
      </w:r>
      <w:r w:rsidR="00C54F30">
        <w:rPr>
          <w:rFonts w:cstheme="minorHAnsi"/>
          <w:sz w:val="24"/>
          <w:szCs w:val="24"/>
        </w:rPr>
        <w:t xml:space="preserve"> </w:t>
      </w:r>
      <w:r w:rsidR="00D54BA7" w:rsidRPr="002C310E">
        <w:rPr>
          <w:rFonts w:cstheme="minorHAnsi"/>
          <w:sz w:val="24"/>
          <w:szCs w:val="24"/>
        </w:rPr>
        <w:t>integrační</w:t>
      </w:r>
      <w:r w:rsidR="00C64F3A">
        <w:rPr>
          <w:rFonts w:cstheme="minorHAnsi"/>
          <w:sz w:val="24"/>
          <w:szCs w:val="24"/>
        </w:rPr>
        <w:t>ch</w:t>
      </w:r>
      <w:r w:rsidR="00D54BA7" w:rsidRPr="002C310E">
        <w:rPr>
          <w:rFonts w:cstheme="minorHAnsi"/>
          <w:sz w:val="24"/>
          <w:szCs w:val="24"/>
        </w:rPr>
        <w:t xml:space="preserve"> plán</w:t>
      </w:r>
      <w:r w:rsidR="00C64F3A">
        <w:rPr>
          <w:rFonts w:cstheme="minorHAnsi"/>
          <w:sz w:val="24"/>
          <w:szCs w:val="24"/>
        </w:rPr>
        <w:t>ů dochází k efektivnímu vynakládání peněžních pr</w:t>
      </w:r>
      <w:r w:rsidR="003F0E7E">
        <w:rPr>
          <w:rFonts w:cstheme="minorHAnsi"/>
          <w:sz w:val="24"/>
          <w:szCs w:val="24"/>
        </w:rPr>
        <w:t>o</w:t>
      </w:r>
      <w:r w:rsidR="00C64F3A">
        <w:rPr>
          <w:rFonts w:cstheme="minorHAnsi"/>
          <w:sz w:val="24"/>
          <w:szCs w:val="24"/>
        </w:rPr>
        <w:t>středků</w:t>
      </w:r>
      <w:r w:rsidRPr="002C310E">
        <w:rPr>
          <w:rFonts w:cstheme="minorHAnsi"/>
          <w:sz w:val="24"/>
          <w:szCs w:val="24"/>
        </w:rPr>
        <w:t>, tj. např. zda všechny aktivity realizované v rámci projektu</w:t>
      </w:r>
      <w:r w:rsidR="00C54F30">
        <w:rPr>
          <w:rFonts w:cstheme="minorHAnsi"/>
          <w:sz w:val="24"/>
          <w:szCs w:val="24"/>
        </w:rPr>
        <w:t xml:space="preserve"> </w:t>
      </w:r>
      <w:r w:rsidR="00D54BA7" w:rsidRPr="002C310E">
        <w:rPr>
          <w:rFonts w:cstheme="minorHAnsi"/>
          <w:sz w:val="24"/>
          <w:szCs w:val="24"/>
        </w:rPr>
        <w:t>/</w:t>
      </w:r>
      <w:r w:rsidR="00C54F30">
        <w:rPr>
          <w:rFonts w:cstheme="minorHAnsi"/>
          <w:sz w:val="24"/>
          <w:szCs w:val="24"/>
        </w:rPr>
        <w:t xml:space="preserve"> </w:t>
      </w:r>
      <w:r w:rsidR="00D54BA7" w:rsidRPr="002C310E">
        <w:rPr>
          <w:rFonts w:cstheme="minorHAnsi"/>
          <w:sz w:val="24"/>
          <w:szCs w:val="24"/>
        </w:rPr>
        <w:t>integračního plánu</w:t>
      </w:r>
      <w:r w:rsidRPr="002C310E">
        <w:rPr>
          <w:rFonts w:cstheme="minorHAnsi"/>
          <w:sz w:val="24"/>
          <w:szCs w:val="24"/>
        </w:rPr>
        <w:t xml:space="preserve"> byly nezbytné pro dosažení </w:t>
      </w:r>
      <w:r w:rsidR="00D54BA7" w:rsidRPr="002C310E">
        <w:rPr>
          <w:rFonts w:cstheme="minorHAnsi"/>
          <w:sz w:val="24"/>
          <w:szCs w:val="24"/>
        </w:rPr>
        <w:t>stanovených cílů</w:t>
      </w:r>
      <w:r w:rsidRPr="002C310E">
        <w:rPr>
          <w:rFonts w:cstheme="minorHAnsi"/>
          <w:sz w:val="24"/>
          <w:szCs w:val="24"/>
        </w:rPr>
        <w:t xml:space="preserve">, zda </w:t>
      </w:r>
      <w:r w:rsidR="00C54F30" w:rsidRPr="002C310E">
        <w:rPr>
          <w:rFonts w:cstheme="minorHAnsi"/>
          <w:sz w:val="24"/>
          <w:szCs w:val="24"/>
        </w:rPr>
        <w:t xml:space="preserve">byly </w:t>
      </w:r>
      <w:r w:rsidR="004F766B" w:rsidRPr="002C310E">
        <w:rPr>
          <w:rFonts w:cstheme="minorHAnsi"/>
          <w:sz w:val="24"/>
          <w:szCs w:val="24"/>
        </w:rPr>
        <w:t xml:space="preserve">dodávky </w:t>
      </w:r>
      <w:r w:rsidRPr="002C310E">
        <w:rPr>
          <w:rFonts w:cstheme="minorHAnsi"/>
          <w:sz w:val="24"/>
          <w:szCs w:val="24"/>
        </w:rPr>
        <w:t xml:space="preserve">a služby prováděny za ceny </w:t>
      </w:r>
      <w:r w:rsidR="004F766B" w:rsidRPr="002C310E">
        <w:rPr>
          <w:rFonts w:cstheme="minorHAnsi"/>
          <w:sz w:val="24"/>
          <w:szCs w:val="24"/>
        </w:rPr>
        <w:t xml:space="preserve">obvyklé v místě a čase </w:t>
      </w:r>
      <w:r w:rsidRPr="002C310E">
        <w:rPr>
          <w:rFonts w:cstheme="minorHAnsi"/>
          <w:sz w:val="24"/>
          <w:szCs w:val="24"/>
        </w:rPr>
        <w:t>a zda nedochází k</w:t>
      </w:r>
      <w:r w:rsidR="004F766B" w:rsidRPr="002C310E">
        <w:rPr>
          <w:rFonts w:cstheme="minorHAnsi"/>
          <w:sz w:val="24"/>
          <w:szCs w:val="24"/>
        </w:rPr>
        <w:t> </w:t>
      </w:r>
      <w:r w:rsidRPr="002C310E">
        <w:rPr>
          <w:rFonts w:cstheme="minorHAnsi"/>
          <w:sz w:val="24"/>
          <w:szCs w:val="24"/>
        </w:rPr>
        <w:t>překryvu realizovaných projektů se stejným zaměřením;</w:t>
      </w:r>
    </w:p>
    <w:p w14:paraId="1F3A6703" w14:textId="000EC2B0" w:rsidR="004F766B" w:rsidRPr="002C310E" w:rsidRDefault="00F04DCF" w:rsidP="00884775">
      <w:pPr>
        <w:numPr>
          <w:ilvl w:val="0"/>
          <w:numId w:val="5"/>
        </w:numPr>
        <w:spacing w:after="120" w:line="240" w:lineRule="auto"/>
        <w:ind w:left="284" w:hanging="284"/>
        <w:jc w:val="both"/>
        <w:rPr>
          <w:rFonts w:cstheme="minorHAnsi"/>
          <w:sz w:val="24"/>
          <w:szCs w:val="24"/>
        </w:rPr>
      </w:pPr>
      <w:r w:rsidRPr="002C310E">
        <w:rPr>
          <w:rFonts w:cstheme="minorHAnsi"/>
          <w:sz w:val="24"/>
          <w:szCs w:val="24"/>
        </w:rPr>
        <w:t xml:space="preserve">zda MV </w:t>
      </w:r>
      <w:r w:rsidR="004B32D9" w:rsidRPr="002C310E">
        <w:rPr>
          <w:rFonts w:cstheme="minorHAnsi"/>
          <w:sz w:val="24"/>
          <w:szCs w:val="24"/>
        </w:rPr>
        <w:t xml:space="preserve">průběžně monitorovalo realizaci projektů a </w:t>
      </w:r>
      <w:r w:rsidRPr="002C310E">
        <w:rPr>
          <w:rFonts w:cstheme="minorHAnsi"/>
          <w:sz w:val="24"/>
          <w:szCs w:val="24"/>
        </w:rPr>
        <w:t xml:space="preserve">po </w:t>
      </w:r>
      <w:r w:rsidR="004B32D9" w:rsidRPr="002C310E">
        <w:rPr>
          <w:rFonts w:cstheme="minorHAnsi"/>
          <w:sz w:val="24"/>
          <w:szCs w:val="24"/>
        </w:rPr>
        <w:t>jejich u</w:t>
      </w:r>
      <w:r w:rsidRPr="002C310E">
        <w:rPr>
          <w:rFonts w:cstheme="minorHAnsi"/>
          <w:sz w:val="24"/>
          <w:szCs w:val="24"/>
        </w:rPr>
        <w:t xml:space="preserve">končení </w:t>
      </w:r>
      <w:r w:rsidR="004B32D9" w:rsidRPr="002C310E">
        <w:rPr>
          <w:rFonts w:cstheme="minorHAnsi"/>
          <w:sz w:val="24"/>
          <w:szCs w:val="24"/>
        </w:rPr>
        <w:t>vy</w:t>
      </w:r>
      <w:r w:rsidRPr="002C310E">
        <w:rPr>
          <w:rFonts w:cstheme="minorHAnsi"/>
          <w:sz w:val="24"/>
          <w:szCs w:val="24"/>
        </w:rPr>
        <w:t>hodnoti</w:t>
      </w:r>
      <w:r w:rsidR="004B32D9" w:rsidRPr="002C310E">
        <w:rPr>
          <w:rFonts w:cstheme="minorHAnsi"/>
          <w:sz w:val="24"/>
          <w:szCs w:val="24"/>
        </w:rPr>
        <w:t>lo i</w:t>
      </w:r>
      <w:r w:rsidR="0082216C">
        <w:rPr>
          <w:rFonts w:cstheme="minorHAnsi"/>
          <w:sz w:val="24"/>
          <w:szCs w:val="24"/>
        </w:rPr>
        <w:t> </w:t>
      </w:r>
      <w:r w:rsidR="004B32D9" w:rsidRPr="002C310E">
        <w:rPr>
          <w:rFonts w:cstheme="minorHAnsi"/>
          <w:sz w:val="24"/>
          <w:szCs w:val="24"/>
        </w:rPr>
        <w:t>efektivnost</w:t>
      </w:r>
      <w:r w:rsidR="00F4221F">
        <w:rPr>
          <w:rFonts w:cstheme="minorHAnsi"/>
          <w:sz w:val="24"/>
          <w:szCs w:val="24"/>
        </w:rPr>
        <w:t xml:space="preserve"> vynaložených peněžních prostředků</w:t>
      </w:r>
      <w:r w:rsidR="004B32D9" w:rsidRPr="002C310E">
        <w:rPr>
          <w:rFonts w:cstheme="minorHAnsi"/>
          <w:sz w:val="24"/>
          <w:szCs w:val="24"/>
        </w:rPr>
        <w:t>.</w:t>
      </w:r>
    </w:p>
    <w:p w14:paraId="1E8EA5CC" w14:textId="5814020B" w:rsidR="007133F8" w:rsidRPr="002C310E" w:rsidRDefault="00F04DCF" w:rsidP="00733FC4">
      <w:pPr>
        <w:tabs>
          <w:tab w:val="left" w:pos="567"/>
        </w:tabs>
        <w:spacing w:after="120" w:line="240" w:lineRule="auto"/>
        <w:jc w:val="both"/>
        <w:rPr>
          <w:rFonts w:cstheme="minorHAnsi"/>
          <w:sz w:val="24"/>
          <w:szCs w:val="24"/>
        </w:rPr>
      </w:pPr>
      <w:r w:rsidRPr="00A159C0">
        <w:rPr>
          <w:rFonts w:cstheme="minorHAnsi"/>
          <w:b/>
          <w:sz w:val="24"/>
          <w:szCs w:val="24"/>
        </w:rPr>
        <w:t>4.</w:t>
      </w:r>
      <w:r w:rsidR="000B1625" w:rsidRPr="00A159C0">
        <w:rPr>
          <w:rFonts w:cstheme="minorHAnsi"/>
          <w:b/>
          <w:sz w:val="24"/>
          <w:szCs w:val="24"/>
        </w:rPr>
        <w:t>9</w:t>
      </w:r>
      <w:r w:rsidR="00B45B80" w:rsidRPr="002C310E">
        <w:rPr>
          <w:rFonts w:cstheme="minorHAnsi"/>
          <w:sz w:val="24"/>
          <w:szCs w:val="24"/>
        </w:rPr>
        <w:t xml:space="preserve"> </w:t>
      </w:r>
      <w:r w:rsidR="009C48EA" w:rsidRPr="002C310E">
        <w:rPr>
          <w:rFonts w:cstheme="minorHAnsi"/>
          <w:sz w:val="24"/>
          <w:szCs w:val="24"/>
        </w:rPr>
        <w:t>Skutečnosti</w:t>
      </w:r>
      <w:r w:rsidR="00CB3700" w:rsidRPr="002C310E">
        <w:rPr>
          <w:rFonts w:cstheme="minorHAnsi"/>
          <w:sz w:val="24"/>
          <w:szCs w:val="24"/>
        </w:rPr>
        <w:t xml:space="preserve"> </w:t>
      </w:r>
      <w:r w:rsidR="009C48EA" w:rsidRPr="002C310E">
        <w:rPr>
          <w:rFonts w:cstheme="minorHAnsi"/>
          <w:sz w:val="24"/>
          <w:szCs w:val="24"/>
        </w:rPr>
        <w:t>z</w:t>
      </w:r>
      <w:r w:rsidR="00B45B80" w:rsidRPr="002C310E">
        <w:rPr>
          <w:rFonts w:cstheme="minorHAnsi"/>
          <w:sz w:val="24"/>
          <w:szCs w:val="24"/>
        </w:rPr>
        <w:t xml:space="preserve">jištěné </w:t>
      </w:r>
      <w:r w:rsidR="00CB3700" w:rsidRPr="002C310E">
        <w:rPr>
          <w:rFonts w:cstheme="minorHAnsi"/>
          <w:sz w:val="24"/>
          <w:szCs w:val="24"/>
        </w:rPr>
        <w:t xml:space="preserve">NKÚ při hodnocení účelnosti a efektivnosti </w:t>
      </w:r>
      <w:r w:rsidR="008022AA">
        <w:rPr>
          <w:rFonts w:cstheme="minorHAnsi"/>
          <w:sz w:val="24"/>
          <w:szCs w:val="24"/>
        </w:rPr>
        <w:t xml:space="preserve">prostředků </w:t>
      </w:r>
      <w:r w:rsidR="00FB5538">
        <w:rPr>
          <w:rFonts w:cstheme="minorHAnsi"/>
          <w:sz w:val="24"/>
          <w:szCs w:val="24"/>
        </w:rPr>
        <w:t xml:space="preserve">vynaložených </w:t>
      </w:r>
      <w:r w:rsidR="008022AA">
        <w:rPr>
          <w:rFonts w:cstheme="minorHAnsi"/>
          <w:sz w:val="24"/>
          <w:szCs w:val="24"/>
        </w:rPr>
        <w:t>na</w:t>
      </w:r>
      <w:r w:rsidR="00B45B80" w:rsidRPr="002C310E">
        <w:rPr>
          <w:rFonts w:cstheme="minorHAnsi"/>
          <w:sz w:val="24"/>
          <w:szCs w:val="24"/>
        </w:rPr>
        <w:t xml:space="preserve"> kontrolovan</w:t>
      </w:r>
      <w:r w:rsidR="008022AA">
        <w:rPr>
          <w:rFonts w:cstheme="minorHAnsi"/>
          <w:sz w:val="24"/>
          <w:szCs w:val="24"/>
        </w:rPr>
        <w:t>é</w:t>
      </w:r>
      <w:r w:rsidR="00B45B80" w:rsidRPr="002C310E">
        <w:rPr>
          <w:rFonts w:cstheme="minorHAnsi"/>
          <w:sz w:val="24"/>
          <w:szCs w:val="24"/>
        </w:rPr>
        <w:t xml:space="preserve"> </w:t>
      </w:r>
      <w:r w:rsidR="00782437" w:rsidRPr="002C310E">
        <w:rPr>
          <w:rFonts w:cstheme="minorHAnsi"/>
          <w:sz w:val="24"/>
          <w:szCs w:val="24"/>
        </w:rPr>
        <w:t>program</w:t>
      </w:r>
      <w:r w:rsidR="008022AA">
        <w:rPr>
          <w:rFonts w:cstheme="minorHAnsi"/>
          <w:sz w:val="24"/>
          <w:szCs w:val="24"/>
        </w:rPr>
        <w:t>y</w:t>
      </w:r>
      <w:r w:rsidR="00EA2334" w:rsidRPr="002C310E">
        <w:rPr>
          <w:rFonts w:cstheme="minorHAnsi"/>
          <w:sz w:val="24"/>
          <w:szCs w:val="24"/>
        </w:rPr>
        <w:t xml:space="preserve"> </w:t>
      </w:r>
      <w:r w:rsidR="004B32D9" w:rsidRPr="002C310E">
        <w:rPr>
          <w:rFonts w:cstheme="minorHAnsi"/>
          <w:sz w:val="24"/>
          <w:szCs w:val="24"/>
        </w:rPr>
        <w:t>uvádí body</w:t>
      </w:r>
      <w:r w:rsidR="00EA2334" w:rsidRPr="002C310E">
        <w:rPr>
          <w:rFonts w:cstheme="minorHAnsi"/>
          <w:sz w:val="24"/>
          <w:szCs w:val="24"/>
        </w:rPr>
        <w:t xml:space="preserve"> </w:t>
      </w:r>
      <w:r w:rsidR="00CB3700" w:rsidRPr="002C310E">
        <w:rPr>
          <w:rFonts w:cstheme="minorHAnsi"/>
          <w:sz w:val="24"/>
          <w:szCs w:val="24"/>
        </w:rPr>
        <w:t>B.1 až B.4</w:t>
      </w:r>
      <w:r w:rsidR="00B45B80" w:rsidRPr="002C310E">
        <w:rPr>
          <w:rFonts w:cstheme="minorHAnsi"/>
          <w:sz w:val="24"/>
          <w:szCs w:val="24"/>
        </w:rPr>
        <w:t>.</w:t>
      </w:r>
    </w:p>
    <w:tbl>
      <w:tblPr>
        <w:tblStyle w:val="Mkatabulky"/>
        <w:tblW w:w="0" w:type="auto"/>
        <w:tblLook w:val="04A0" w:firstRow="1" w:lastRow="0" w:firstColumn="1" w:lastColumn="0" w:noHBand="0" w:noVBand="1"/>
      </w:tblPr>
      <w:tblGrid>
        <w:gridCol w:w="9062"/>
      </w:tblGrid>
      <w:tr w:rsidR="00C72C9E" w14:paraId="53AF9333" w14:textId="77777777" w:rsidTr="00BD4518">
        <w:trPr>
          <w:trHeight w:val="389"/>
        </w:trPr>
        <w:tc>
          <w:tcPr>
            <w:tcW w:w="9062" w:type="dxa"/>
            <w:shd w:val="clear" w:color="auto" w:fill="E5F1FF"/>
            <w:vAlign w:val="center"/>
          </w:tcPr>
          <w:p w14:paraId="617B566E" w14:textId="31A694F9" w:rsidR="0091544F" w:rsidRPr="002C310E" w:rsidRDefault="007B7D9D" w:rsidP="00C54F30">
            <w:pPr>
              <w:pStyle w:val="Nadpis2"/>
              <w:outlineLvl w:val="1"/>
              <w:rPr>
                <w:rFonts w:asciiTheme="minorHAnsi" w:hAnsiTheme="minorHAnsi" w:cstheme="minorHAnsi"/>
                <w:b/>
                <w:sz w:val="24"/>
                <w:szCs w:val="24"/>
              </w:rPr>
            </w:pPr>
            <w:r>
              <w:rPr>
                <w:rFonts w:asciiTheme="minorHAnsi" w:hAnsiTheme="minorHAnsi" w:cstheme="minorHAnsi"/>
                <w:b/>
                <w:color w:val="1F4E79" w:themeColor="accent1" w:themeShade="80"/>
                <w:sz w:val="24"/>
                <w:szCs w:val="24"/>
              </w:rPr>
              <w:t xml:space="preserve">B.1 </w:t>
            </w:r>
            <w:r w:rsidR="00F04DCF" w:rsidRPr="00A944B0">
              <w:rPr>
                <w:rFonts w:asciiTheme="minorHAnsi" w:hAnsiTheme="minorHAnsi" w:cstheme="minorHAnsi"/>
                <w:b/>
                <w:i/>
                <w:color w:val="1F4E79" w:themeColor="accent1" w:themeShade="80"/>
                <w:sz w:val="24"/>
                <w:szCs w:val="24"/>
              </w:rPr>
              <w:t>Národní program – Fond pro vnitřní bezpečnost</w:t>
            </w:r>
            <w:r w:rsidR="00F04DCF" w:rsidRPr="002C310E">
              <w:rPr>
                <w:rFonts w:asciiTheme="minorHAnsi" w:hAnsiTheme="minorHAnsi" w:cstheme="minorHAnsi"/>
                <w:b/>
                <w:color w:val="1F4E79" w:themeColor="accent1" w:themeShade="80"/>
                <w:sz w:val="24"/>
                <w:szCs w:val="24"/>
              </w:rPr>
              <w:t xml:space="preserve"> – část </w:t>
            </w:r>
            <w:r w:rsidR="00F04DCF" w:rsidRPr="00A944B0">
              <w:rPr>
                <w:rFonts w:asciiTheme="minorHAnsi" w:hAnsiTheme="minorHAnsi" w:cstheme="minorHAnsi"/>
                <w:b/>
                <w:i/>
                <w:color w:val="1F4E79" w:themeColor="accent1" w:themeShade="80"/>
                <w:sz w:val="24"/>
                <w:szCs w:val="24"/>
              </w:rPr>
              <w:t>Hranice</w:t>
            </w:r>
          </w:p>
        </w:tc>
      </w:tr>
    </w:tbl>
    <w:p w14:paraId="11AEF22F" w14:textId="77777777" w:rsidR="006A7457" w:rsidRPr="00A944B0" w:rsidRDefault="00F04DCF" w:rsidP="00733FC4">
      <w:pPr>
        <w:spacing w:before="120" w:after="120" w:line="240" w:lineRule="auto"/>
        <w:jc w:val="both"/>
        <w:rPr>
          <w:rFonts w:cstheme="minorHAnsi"/>
          <w:b/>
          <w:color w:val="1F4E79" w:themeColor="accent1" w:themeShade="80"/>
          <w:sz w:val="24"/>
          <w:szCs w:val="24"/>
        </w:rPr>
      </w:pPr>
      <w:r w:rsidRPr="00A944B0">
        <w:rPr>
          <w:rFonts w:cstheme="minorHAnsi"/>
          <w:b/>
          <w:i/>
          <w:color w:val="1F4E79" w:themeColor="accent1" w:themeShade="80"/>
          <w:sz w:val="24"/>
          <w:szCs w:val="24"/>
        </w:rPr>
        <w:t>Přispěla realizace projektů NP ISF k plnění cílů migrační politiky</w:t>
      </w:r>
      <w:r w:rsidR="00F86360" w:rsidRPr="00A944B0">
        <w:rPr>
          <w:rFonts w:cstheme="minorHAnsi"/>
          <w:b/>
          <w:i/>
          <w:color w:val="1F4E79" w:themeColor="accent1" w:themeShade="80"/>
          <w:sz w:val="24"/>
          <w:szCs w:val="24"/>
        </w:rPr>
        <w:t xml:space="preserve">, tj. </w:t>
      </w:r>
      <w:r w:rsidR="006F6892" w:rsidRPr="00A944B0">
        <w:rPr>
          <w:rFonts w:cstheme="minorHAnsi"/>
          <w:b/>
          <w:i/>
          <w:color w:val="1F4E79" w:themeColor="accent1" w:themeShade="80"/>
          <w:sz w:val="24"/>
          <w:szCs w:val="24"/>
        </w:rPr>
        <w:t xml:space="preserve">byly </w:t>
      </w:r>
      <w:r w:rsidR="006A1715" w:rsidRPr="00A944B0">
        <w:rPr>
          <w:rFonts w:cstheme="minorHAnsi"/>
          <w:b/>
          <w:i/>
          <w:color w:val="1F4E79" w:themeColor="accent1" w:themeShade="80"/>
          <w:sz w:val="24"/>
          <w:szCs w:val="24"/>
        </w:rPr>
        <w:t xml:space="preserve">peněžní </w:t>
      </w:r>
      <w:r w:rsidR="008022AA" w:rsidRPr="00A944B0">
        <w:rPr>
          <w:rFonts w:cstheme="minorHAnsi"/>
          <w:b/>
          <w:i/>
          <w:color w:val="1F4E79" w:themeColor="accent1" w:themeShade="80"/>
          <w:sz w:val="24"/>
          <w:szCs w:val="24"/>
        </w:rPr>
        <w:t xml:space="preserve">prostředky na </w:t>
      </w:r>
      <w:r w:rsidR="006F6892" w:rsidRPr="00A944B0">
        <w:rPr>
          <w:rFonts w:cstheme="minorHAnsi"/>
          <w:b/>
          <w:i/>
          <w:color w:val="1F4E79" w:themeColor="accent1" w:themeShade="80"/>
          <w:sz w:val="24"/>
          <w:szCs w:val="24"/>
        </w:rPr>
        <w:t xml:space="preserve">projekty </w:t>
      </w:r>
      <w:r w:rsidR="008022AA" w:rsidRPr="00A944B0">
        <w:rPr>
          <w:rFonts w:cstheme="minorHAnsi"/>
          <w:b/>
          <w:i/>
          <w:color w:val="1F4E79" w:themeColor="accent1" w:themeShade="80"/>
          <w:sz w:val="24"/>
          <w:szCs w:val="24"/>
        </w:rPr>
        <w:t xml:space="preserve">vynaloženy </w:t>
      </w:r>
      <w:r w:rsidR="006F6892" w:rsidRPr="00A944B0">
        <w:rPr>
          <w:rFonts w:cstheme="minorHAnsi"/>
          <w:b/>
          <w:i/>
          <w:color w:val="1F4E79" w:themeColor="accent1" w:themeShade="80"/>
          <w:sz w:val="24"/>
          <w:szCs w:val="24"/>
        </w:rPr>
        <w:t>účeln</w:t>
      </w:r>
      <w:r w:rsidR="008022AA" w:rsidRPr="00A944B0">
        <w:rPr>
          <w:rFonts w:cstheme="minorHAnsi"/>
          <w:b/>
          <w:i/>
          <w:color w:val="1F4E79" w:themeColor="accent1" w:themeShade="80"/>
          <w:sz w:val="24"/>
          <w:szCs w:val="24"/>
        </w:rPr>
        <w:t>ě</w:t>
      </w:r>
      <w:r w:rsidRPr="00A944B0">
        <w:rPr>
          <w:rFonts w:cstheme="minorHAnsi"/>
          <w:b/>
          <w:i/>
          <w:color w:val="1F4E79" w:themeColor="accent1" w:themeShade="80"/>
          <w:sz w:val="24"/>
          <w:szCs w:val="24"/>
        </w:rPr>
        <w:t>?</w:t>
      </w:r>
    </w:p>
    <w:p w14:paraId="7F8DA2B4" w14:textId="70D439A5" w:rsidR="00DA55C2" w:rsidRPr="002C310E" w:rsidRDefault="00F04DCF" w:rsidP="00733FC4">
      <w:pPr>
        <w:spacing w:after="120" w:line="240" w:lineRule="auto"/>
        <w:jc w:val="both"/>
        <w:rPr>
          <w:rFonts w:cstheme="minorHAnsi"/>
          <w:sz w:val="24"/>
          <w:szCs w:val="24"/>
        </w:rPr>
      </w:pPr>
      <w:r w:rsidRPr="00A159C0">
        <w:rPr>
          <w:rFonts w:cstheme="minorHAnsi"/>
          <w:b/>
          <w:sz w:val="24"/>
          <w:szCs w:val="24"/>
        </w:rPr>
        <w:t>4.1</w:t>
      </w:r>
      <w:r w:rsidR="000B1625" w:rsidRPr="00A159C0">
        <w:rPr>
          <w:rFonts w:cstheme="minorHAnsi"/>
          <w:b/>
          <w:sz w:val="24"/>
          <w:szCs w:val="24"/>
        </w:rPr>
        <w:t>0</w:t>
      </w:r>
      <w:r w:rsidRPr="002C310E">
        <w:rPr>
          <w:rFonts w:cstheme="minorHAnsi"/>
          <w:sz w:val="24"/>
          <w:szCs w:val="24"/>
        </w:rPr>
        <w:t xml:space="preserve"> </w:t>
      </w:r>
      <w:r w:rsidR="00F74EFD" w:rsidRPr="002C310E">
        <w:rPr>
          <w:rFonts w:cstheme="minorHAnsi"/>
          <w:sz w:val="24"/>
          <w:szCs w:val="24"/>
        </w:rPr>
        <w:t>NKÚ ověřil</w:t>
      </w:r>
      <w:r w:rsidR="007D2490">
        <w:rPr>
          <w:rFonts w:cstheme="minorHAnsi"/>
          <w:sz w:val="24"/>
          <w:szCs w:val="24"/>
        </w:rPr>
        <w:t xml:space="preserve"> a potvrdil</w:t>
      </w:r>
      <w:r w:rsidR="00F74EFD" w:rsidRPr="002C310E">
        <w:rPr>
          <w:rFonts w:cstheme="minorHAnsi"/>
          <w:sz w:val="24"/>
          <w:szCs w:val="24"/>
        </w:rPr>
        <w:t xml:space="preserve">, že </w:t>
      </w:r>
      <w:r w:rsidR="00F74EFD" w:rsidRPr="002C310E">
        <w:rPr>
          <w:rFonts w:eastAsia="Times New Roman" w:cstheme="minorHAnsi"/>
          <w:sz w:val="24"/>
          <w:szCs w:val="24"/>
        </w:rPr>
        <w:t xml:space="preserve">cíle stanovené v programové dokumentaci NP ISF v oblasti specifického cíle </w:t>
      </w:r>
      <w:r w:rsidR="00F74EFD" w:rsidRPr="00A944B0">
        <w:rPr>
          <w:rFonts w:eastAsia="Calibri" w:cstheme="minorHAnsi"/>
          <w:i/>
          <w:sz w:val="24"/>
          <w:szCs w:val="24"/>
        </w:rPr>
        <w:t>Hranice</w:t>
      </w:r>
      <w:r w:rsidR="00F74EFD" w:rsidRPr="002C310E">
        <w:rPr>
          <w:rFonts w:eastAsia="Calibri" w:cstheme="minorHAnsi"/>
          <w:sz w:val="24"/>
          <w:szCs w:val="24"/>
        </w:rPr>
        <w:t xml:space="preserve"> </w:t>
      </w:r>
      <w:r w:rsidR="00F74EFD" w:rsidRPr="002C310E">
        <w:rPr>
          <w:rFonts w:eastAsia="Times New Roman" w:cstheme="minorHAnsi"/>
          <w:sz w:val="24"/>
          <w:szCs w:val="24"/>
        </w:rPr>
        <w:t xml:space="preserve">navazovaly </w:t>
      </w:r>
      <w:r w:rsidR="00D03845" w:rsidRPr="002C310E">
        <w:rPr>
          <w:rFonts w:eastAsia="Times New Roman" w:cstheme="minorHAnsi"/>
          <w:sz w:val="24"/>
          <w:szCs w:val="24"/>
        </w:rPr>
        <w:t>na</w:t>
      </w:r>
      <w:r w:rsidR="00F74EFD" w:rsidRPr="002C310E">
        <w:rPr>
          <w:rFonts w:eastAsia="Times New Roman" w:cstheme="minorHAnsi"/>
          <w:sz w:val="24"/>
          <w:szCs w:val="24"/>
        </w:rPr>
        <w:t> úkol</w:t>
      </w:r>
      <w:r w:rsidR="00D03845" w:rsidRPr="002C310E">
        <w:rPr>
          <w:rFonts w:eastAsia="Times New Roman" w:cstheme="minorHAnsi"/>
          <w:sz w:val="24"/>
          <w:szCs w:val="24"/>
        </w:rPr>
        <w:t>y</w:t>
      </w:r>
      <w:r w:rsidR="00F74EFD" w:rsidRPr="002C310E">
        <w:rPr>
          <w:rFonts w:eastAsia="Times New Roman" w:cstheme="minorHAnsi"/>
          <w:sz w:val="24"/>
          <w:szCs w:val="24"/>
        </w:rPr>
        <w:t xml:space="preserve"> uveden</w:t>
      </w:r>
      <w:r w:rsidR="00D03845" w:rsidRPr="002C310E">
        <w:rPr>
          <w:rFonts w:eastAsia="Times New Roman" w:cstheme="minorHAnsi"/>
          <w:sz w:val="24"/>
          <w:szCs w:val="24"/>
        </w:rPr>
        <w:t>é</w:t>
      </w:r>
      <w:r w:rsidR="00F74EFD" w:rsidRPr="002C310E">
        <w:rPr>
          <w:rFonts w:eastAsia="Times New Roman" w:cstheme="minorHAnsi"/>
          <w:sz w:val="24"/>
          <w:szCs w:val="24"/>
        </w:rPr>
        <w:t xml:space="preserve"> v NSP2014.</w:t>
      </w:r>
      <w:r w:rsidR="00D03845" w:rsidRPr="002C310E">
        <w:rPr>
          <w:rFonts w:eastAsia="Calibri" w:cstheme="minorHAnsi"/>
          <w:sz w:val="24"/>
          <w:szCs w:val="24"/>
        </w:rPr>
        <w:t xml:space="preserve"> </w:t>
      </w:r>
      <w:r w:rsidR="00455AF8">
        <w:rPr>
          <w:rFonts w:eastAsia="Calibri" w:cstheme="minorHAnsi"/>
          <w:sz w:val="24"/>
          <w:szCs w:val="24"/>
        </w:rPr>
        <w:t>V</w:t>
      </w:r>
      <w:r w:rsidR="00595B5E" w:rsidRPr="002C310E">
        <w:rPr>
          <w:rFonts w:eastAsia="Calibri" w:cstheme="minorHAnsi"/>
          <w:sz w:val="24"/>
          <w:szCs w:val="24"/>
        </w:rPr>
        <w:t xml:space="preserve"> průběhu kontrolovaného období </w:t>
      </w:r>
      <w:r w:rsidR="00455AF8">
        <w:rPr>
          <w:rFonts w:eastAsia="Calibri" w:cstheme="minorHAnsi"/>
          <w:sz w:val="24"/>
          <w:szCs w:val="24"/>
        </w:rPr>
        <w:t xml:space="preserve">nedocházelo </w:t>
      </w:r>
      <w:r w:rsidR="00D03845" w:rsidRPr="002C310E">
        <w:rPr>
          <w:rFonts w:eastAsia="Calibri" w:cstheme="minorHAnsi"/>
          <w:sz w:val="24"/>
          <w:szCs w:val="24"/>
        </w:rPr>
        <w:t>ke změnám potřeb</w:t>
      </w:r>
      <w:r w:rsidR="006F6892" w:rsidRPr="002C310E">
        <w:rPr>
          <w:rFonts w:eastAsia="Calibri" w:cstheme="minorHAnsi"/>
          <w:sz w:val="24"/>
          <w:szCs w:val="24"/>
        </w:rPr>
        <w:t xml:space="preserve"> v této oblasti</w:t>
      </w:r>
      <w:r w:rsidR="00D03845" w:rsidRPr="002C310E">
        <w:rPr>
          <w:rFonts w:eastAsia="Calibri" w:cstheme="minorHAnsi"/>
          <w:sz w:val="24"/>
          <w:szCs w:val="24"/>
        </w:rPr>
        <w:t xml:space="preserve">, </w:t>
      </w:r>
      <w:r w:rsidR="00455AF8">
        <w:rPr>
          <w:rFonts w:eastAsia="Calibri" w:cstheme="minorHAnsi"/>
          <w:sz w:val="24"/>
          <w:szCs w:val="24"/>
        </w:rPr>
        <w:t xml:space="preserve">na </w:t>
      </w:r>
      <w:r w:rsidR="007E353B">
        <w:rPr>
          <w:rFonts w:eastAsia="Calibri" w:cstheme="minorHAnsi"/>
          <w:sz w:val="24"/>
          <w:szCs w:val="24"/>
        </w:rPr>
        <w:t xml:space="preserve">jejichž </w:t>
      </w:r>
      <w:r w:rsidR="00455AF8">
        <w:rPr>
          <w:rFonts w:eastAsia="Calibri" w:cstheme="minorHAnsi"/>
          <w:sz w:val="24"/>
          <w:szCs w:val="24"/>
        </w:rPr>
        <w:t>základě by bylo nutné změnit nastavené cíle programu</w:t>
      </w:r>
      <w:r w:rsidR="00437399">
        <w:rPr>
          <w:rFonts w:eastAsia="Calibri" w:cstheme="minorHAnsi"/>
          <w:sz w:val="24"/>
          <w:szCs w:val="24"/>
        </w:rPr>
        <w:t>.</w:t>
      </w:r>
    </w:p>
    <w:p w14:paraId="77A7C4FB" w14:textId="77777777" w:rsidR="000036F3" w:rsidRPr="002C310E" w:rsidRDefault="00F04DCF" w:rsidP="00733FC4">
      <w:pPr>
        <w:pStyle w:val="Odstavecseseznamem"/>
        <w:tabs>
          <w:tab w:val="left" w:pos="567"/>
        </w:tabs>
        <w:spacing w:after="120" w:line="240" w:lineRule="auto"/>
        <w:ind w:left="0"/>
        <w:contextualSpacing w:val="0"/>
        <w:jc w:val="both"/>
        <w:rPr>
          <w:rFonts w:cstheme="minorHAnsi"/>
          <w:b/>
          <w:color w:val="C00000"/>
          <w:sz w:val="24"/>
          <w:szCs w:val="24"/>
        </w:rPr>
      </w:pPr>
      <w:r w:rsidRPr="002C310E">
        <w:rPr>
          <w:rFonts w:cstheme="minorHAnsi"/>
          <w:b/>
          <w:color w:val="C00000"/>
          <w:sz w:val="24"/>
          <w:szCs w:val="24"/>
        </w:rPr>
        <w:t xml:space="preserve">→ </w:t>
      </w:r>
      <w:r w:rsidR="002A08C7" w:rsidRPr="002C310E">
        <w:rPr>
          <w:rFonts w:cstheme="minorHAnsi"/>
          <w:b/>
          <w:color w:val="C00000"/>
          <w:sz w:val="24"/>
          <w:szCs w:val="24"/>
        </w:rPr>
        <w:t xml:space="preserve">U čtyř </w:t>
      </w:r>
      <w:r w:rsidR="00C643EC" w:rsidRPr="002C310E">
        <w:rPr>
          <w:rFonts w:cstheme="minorHAnsi"/>
          <w:b/>
          <w:color w:val="C00000"/>
          <w:sz w:val="24"/>
          <w:szCs w:val="24"/>
        </w:rPr>
        <w:t xml:space="preserve">ze sedmi </w:t>
      </w:r>
      <w:r w:rsidR="002A08C7" w:rsidRPr="002C310E">
        <w:rPr>
          <w:rFonts w:cstheme="minorHAnsi"/>
          <w:b/>
          <w:color w:val="C00000"/>
          <w:sz w:val="24"/>
          <w:szCs w:val="24"/>
        </w:rPr>
        <w:t xml:space="preserve">projektů </w:t>
      </w:r>
      <w:r w:rsidR="00C643EC" w:rsidRPr="002C310E">
        <w:rPr>
          <w:rFonts w:cstheme="minorHAnsi"/>
          <w:b/>
          <w:color w:val="C00000"/>
          <w:sz w:val="24"/>
          <w:szCs w:val="24"/>
        </w:rPr>
        <w:t xml:space="preserve">NP ISF </w:t>
      </w:r>
      <w:r w:rsidR="002A08C7" w:rsidRPr="002C310E">
        <w:rPr>
          <w:rFonts w:cstheme="minorHAnsi"/>
          <w:b/>
          <w:color w:val="C00000"/>
          <w:sz w:val="24"/>
          <w:szCs w:val="24"/>
        </w:rPr>
        <w:t xml:space="preserve">nevypovídaly </w:t>
      </w:r>
      <w:r w:rsidR="00EB7CA9" w:rsidRPr="002C310E">
        <w:rPr>
          <w:rFonts w:cstheme="minorHAnsi"/>
          <w:b/>
          <w:color w:val="C00000"/>
          <w:sz w:val="24"/>
          <w:szCs w:val="24"/>
        </w:rPr>
        <w:t xml:space="preserve">monitorovací ukazatele </w:t>
      </w:r>
      <w:r w:rsidR="002A08C7" w:rsidRPr="002C310E">
        <w:rPr>
          <w:rFonts w:cstheme="minorHAnsi"/>
          <w:b/>
          <w:color w:val="C00000"/>
          <w:sz w:val="24"/>
          <w:szCs w:val="24"/>
        </w:rPr>
        <w:t>o všech výstupech projektu</w:t>
      </w:r>
      <w:r w:rsidR="00C643EC" w:rsidRPr="002C310E">
        <w:rPr>
          <w:rFonts w:cstheme="minorHAnsi"/>
          <w:b/>
          <w:color w:val="C00000"/>
          <w:sz w:val="24"/>
          <w:szCs w:val="24"/>
        </w:rPr>
        <w:t>. U dvou projekt</w:t>
      </w:r>
      <w:r w:rsidR="00EB7CA9" w:rsidRPr="002C310E">
        <w:rPr>
          <w:rFonts w:cstheme="minorHAnsi"/>
          <w:b/>
          <w:color w:val="C00000"/>
          <w:sz w:val="24"/>
          <w:szCs w:val="24"/>
        </w:rPr>
        <w:t xml:space="preserve">ů </w:t>
      </w:r>
      <w:r w:rsidR="00C643EC" w:rsidRPr="002C310E">
        <w:rPr>
          <w:rFonts w:cstheme="minorHAnsi"/>
          <w:b/>
          <w:color w:val="C00000"/>
          <w:sz w:val="24"/>
          <w:szCs w:val="24"/>
        </w:rPr>
        <w:t xml:space="preserve">nebyl </w:t>
      </w:r>
      <w:r w:rsidR="00EB7CA9" w:rsidRPr="002C310E">
        <w:rPr>
          <w:rFonts w:cstheme="minorHAnsi"/>
          <w:b/>
          <w:color w:val="C00000"/>
          <w:sz w:val="24"/>
          <w:szCs w:val="24"/>
        </w:rPr>
        <w:t xml:space="preserve">cíl </w:t>
      </w:r>
      <w:r w:rsidR="00C643EC" w:rsidRPr="002C310E">
        <w:rPr>
          <w:rFonts w:cstheme="minorHAnsi"/>
          <w:b/>
          <w:color w:val="C00000"/>
          <w:sz w:val="24"/>
          <w:szCs w:val="24"/>
        </w:rPr>
        <w:t xml:space="preserve">stanoven jako měřitelný a bude tak </w:t>
      </w:r>
      <w:r w:rsidR="00D53BA2" w:rsidRPr="002C310E">
        <w:rPr>
          <w:rFonts w:cstheme="minorHAnsi"/>
          <w:b/>
          <w:color w:val="C00000"/>
          <w:sz w:val="24"/>
          <w:szCs w:val="24"/>
        </w:rPr>
        <w:t xml:space="preserve">pro MV </w:t>
      </w:r>
      <w:r w:rsidR="00C643EC" w:rsidRPr="002C310E">
        <w:rPr>
          <w:rFonts w:cstheme="minorHAnsi"/>
          <w:b/>
          <w:color w:val="C00000"/>
          <w:sz w:val="24"/>
          <w:szCs w:val="24"/>
        </w:rPr>
        <w:t>obtížně vyhodnotitelný</w:t>
      </w:r>
      <w:r w:rsidR="002A08C7" w:rsidRPr="002C310E">
        <w:rPr>
          <w:rFonts w:cstheme="minorHAnsi"/>
          <w:b/>
          <w:color w:val="C00000"/>
          <w:sz w:val="24"/>
          <w:szCs w:val="24"/>
        </w:rPr>
        <w:t>.</w:t>
      </w:r>
    </w:p>
    <w:p w14:paraId="7A3CB91B" w14:textId="18B47118" w:rsidR="006A7150" w:rsidRPr="002C310E" w:rsidRDefault="00F04DCF" w:rsidP="00DA20D7">
      <w:pPr>
        <w:spacing w:after="120" w:line="240" w:lineRule="auto"/>
        <w:jc w:val="both"/>
        <w:rPr>
          <w:rFonts w:eastAsia="Times New Roman" w:cstheme="minorHAnsi"/>
          <w:sz w:val="24"/>
          <w:szCs w:val="24"/>
        </w:rPr>
      </w:pPr>
      <w:r w:rsidRPr="00A159C0">
        <w:rPr>
          <w:rFonts w:cstheme="minorHAnsi"/>
          <w:b/>
          <w:sz w:val="24"/>
          <w:szCs w:val="24"/>
        </w:rPr>
        <w:t>4.1</w:t>
      </w:r>
      <w:r w:rsidR="000B1625" w:rsidRPr="00A159C0">
        <w:rPr>
          <w:rFonts w:cstheme="minorHAnsi"/>
          <w:b/>
          <w:sz w:val="24"/>
          <w:szCs w:val="24"/>
        </w:rPr>
        <w:t>1</w:t>
      </w:r>
      <w:r w:rsidRPr="002C310E">
        <w:rPr>
          <w:rFonts w:cstheme="minorHAnsi"/>
          <w:sz w:val="24"/>
          <w:szCs w:val="24"/>
        </w:rPr>
        <w:t xml:space="preserve"> </w:t>
      </w:r>
      <w:r w:rsidR="00DA20D7" w:rsidRPr="002C310E">
        <w:rPr>
          <w:rFonts w:eastAsia="Times New Roman" w:cstheme="minorHAnsi"/>
          <w:sz w:val="24"/>
          <w:szCs w:val="24"/>
        </w:rPr>
        <w:t>MV nastavilo výběr projektů NP ISF prostřednictvím priorit ve výzvách k předkládání žádostí o podporu. Všechny projekty byly vybrány formou přímého přidělení</w:t>
      </w:r>
      <w:r w:rsidR="009361A2" w:rsidRPr="002C310E">
        <w:rPr>
          <w:rFonts w:eastAsia="Times New Roman" w:cstheme="minorHAnsi"/>
          <w:sz w:val="24"/>
          <w:szCs w:val="24"/>
        </w:rPr>
        <w:t>.</w:t>
      </w:r>
      <w:r>
        <w:rPr>
          <w:rStyle w:val="Znakapoznpodarou"/>
          <w:rFonts w:eastAsia="Times New Roman" w:cstheme="minorHAnsi"/>
          <w:sz w:val="24"/>
          <w:szCs w:val="24"/>
        </w:rPr>
        <w:footnoteReference w:id="40"/>
      </w:r>
      <w:r w:rsidR="00EB7CA9" w:rsidRPr="002C310E">
        <w:rPr>
          <w:rFonts w:eastAsia="Times New Roman" w:cstheme="minorHAnsi"/>
          <w:sz w:val="24"/>
          <w:szCs w:val="24"/>
        </w:rPr>
        <w:t xml:space="preserve"> </w:t>
      </w:r>
      <w:r w:rsidR="00DA20D7" w:rsidRPr="002C310E">
        <w:rPr>
          <w:rFonts w:eastAsia="Times New Roman" w:cstheme="minorHAnsi"/>
          <w:sz w:val="24"/>
          <w:szCs w:val="24"/>
        </w:rPr>
        <w:t>V</w:t>
      </w:r>
      <w:r w:rsidR="00C64F3A">
        <w:rPr>
          <w:rFonts w:eastAsia="Times New Roman" w:cstheme="minorHAnsi"/>
          <w:sz w:val="24"/>
          <w:szCs w:val="24"/>
        </w:rPr>
        <w:t> </w:t>
      </w:r>
      <w:r w:rsidR="00DA20D7" w:rsidRPr="002C310E">
        <w:rPr>
          <w:rFonts w:eastAsia="Times New Roman" w:cstheme="minorHAnsi"/>
          <w:sz w:val="24"/>
          <w:szCs w:val="24"/>
        </w:rPr>
        <w:t>rámci</w:t>
      </w:r>
      <w:r w:rsidR="00C64F3A">
        <w:rPr>
          <w:rFonts w:eastAsia="Times New Roman" w:cstheme="minorHAnsi"/>
          <w:sz w:val="24"/>
          <w:szCs w:val="24"/>
        </w:rPr>
        <w:t xml:space="preserve"> posouzení</w:t>
      </w:r>
      <w:r w:rsidR="00DA20D7" w:rsidRPr="002C310E">
        <w:rPr>
          <w:rFonts w:eastAsia="Times New Roman" w:cstheme="minorHAnsi"/>
          <w:sz w:val="24"/>
          <w:szCs w:val="24"/>
        </w:rPr>
        <w:t xml:space="preserve"> účelnosti</w:t>
      </w:r>
      <w:r w:rsidR="00C64F3A">
        <w:rPr>
          <w:rFonts w:eastAsia="Times New Roman" w:cstheme="minorHAnsi"/>
          <w:sz w:val="24"/>
          <w:szCs w:val="24"/>
        </w:rPr>
        <w:t xml:space="preserve"> vynakládaných prostředků na</w:t>
      </w:r>
      <w:r w:rsidR="00DA20D7" w:rsidRPr="002C310E">
        <w:rPr>
          <w:rFonts w:eastAsia="Times New Roman" w:cstheme="minorHAnsi"/>
          <w:sz w:val="24"/>
          <w:szCs w:val="24"/>
        </w:rPr>
        <w:t xml:space="preserve"> předložen</w:t>
      </w:r>
      <w:r w:rsidR="00C64F3A">
        <w:rPr>
          <w:rFonts w:eastAsia="Times New Roman" w:cstheme="minorHAnsi"/>
          <w:sz w:val="24"/>
          <w:szCs w:val="24"/>
        </w:rPr>
        <w:t>é</w:t>
      </w:r>
      <w:r w:rsidR="00DA20D7" w:rsidRPr="002C310E">
        <w:rPr>
          <w:rFonts w:eastAsia="Times New Roman" w:cstheme="minorHAnsi"/>
          <w:sz w:val="24"/>
          <w:szCs w:val="24"/>
        </w:rPr>
        <w:t xml:space="preserve"> projekt</w:t>
      </w:r>
      <w:r w:rsidR="00C64F3A">
        <w:rPr>
          <w:rFonts w:eastAsia="Times New Roman" w:cstheme="minorHAnsi"/>
          <w:sz w:val="24"/>
          <w:szCs w:val="24"/>
        </w:rPr>
        <w:t>y</w:t>
      </w:r>
      <w:r w:rsidR="00DA20D7" w:rsidRPr="002C310E">
        <w:rPr>
          <w:rFonts w:eastAsia="Times New Roman" w:cstheme="minorHAnsi"/>
          <w:sz w:val="24"/>
          <w:szCs w:val="24"/>
        </w:rPr>
        <w:t xml:space="preserve"> měly být hodnoceny cíle a konzistentnost projektu a způsob ověření dosažení cíle projektu.</w:t>
      </w:r>
      <w:r w:rsidRPr="002C310E">
        <w:rPr>
          <w:rFonts w:eastAsia="Times New Roman" w:cstheme="minorHAnsi"/>
          <w:sz w:val="24"/>
          <w:szCs w:val="24"/>
        </w:rPr>
        <w:t xml:space="preserve"> </w:t>
      </w:r>
      <w:r w:rsidR="00DA20D7" w:rsidRPr="002C310E">
        <w:rPr>
          <w:rFonts w:eastAsia="Times New Roman" w:cstheme="minorHAnsi"/>
          <w:sz w:val="24"/>
          <w:szCs w:val="24"/>
        </w:rPr>
        <w:t xml:space="preserve">NKÚ </w:t>
      </w:r>
      <w:r w:rsidRPr="002C310E">
        <w:rPr>
          <w:rFonts w:eastAsia="Times New Roman" w:cstheme="minorHAnsi"/>
          <w:sz w:val="24"/>
          <w:szCs w:val="24"/>
        </w:rPr>
        <w:t xml:space="preserve">však </w:t>
      </w:r>
      <w:r w:rsidR="00DA20D7" w:rsidRPr="002C310E">
        <w:rPr>
          <w:rFonts w:eastAsia="Times New Roman" w:cstheme="minorHAnsi"/>
          <w:sz w:val="24"/>
          <w:szCs w:val="24"/>
        </w:rPr>
        <w:t xml:space="preserve">kontrolou </w:t>
      </w:r>
      <w:r w:rsidR="00DA20D7" w:rsidRPr="002C310E">
        <w:rPr>
          <w:rFonts w:eastAsia="Times New Roman" w:cstheme="minorHAnsi"/>
          <w:sz w:val="24"/>
          <w:szCs w:val="24"/>
        </w:rPr>
        <w:lastRenderedPageBreak/>
        <w:t xml:space="preserve">vybraných projektů </w:t>
      </w:r>
      <w:r w:rsidRPr="002C310E">
        <w:rPr>
          <w:rFonts w:eastAsia="Times New Roman" w:cstheme="minorHAnsi"/>
          <w:sz w:val="24"/>
          <w:szCs w:val="24"/>
        </w:rPr>
        <w:t>zjistil</w:t>
      </w:r>
      <w:r w:rsidR="00DA20D7" w:rsidRPr="002C310E">
        <w:rPr>
          <w:rFonts w:eastAsia="Times New Roman" w:cstheme="minorHAnsi"/>
          <w:sz w:val="24"/>
          <w:szCs w:val="24"/>
        </w:rPr>
        <w:t xml:space="preserve"> skutečnosti, které </w:t>
      </w:r>
      <w:r w:rsidR="003627E1" w:rsidRPr="002C310E">
        <w:rPr>
          <w:rFonts w:eastAsia="Times New Roman" w:cstheme="minorHAnsi"/>
          <w:sz w:val="24"/>
          <w:szCs w:val="24"/>
        </w:rPr>
        <w:t xml:space="preserve">ukazují na </w:t>
      </w:r>
      <w:r w:rsidR="00850444">
        <w:rPr>
          <w:rFonts w:eastAsia="Times New Roman" w:cstheme="minorHAnsi"/>
          <w:sz w:val="24"/>
          <w:szCs w:val="24"/>
        </w:rPr>
        <w:t>nedostatky</w:t>
      </w:r>
      <w:r w:rsidR="003627E1" w:rsidRPr="002C310E">
        <w:rPr>
          <w:rFonts w:eastAsia="Times New Roman" w:cstheme="minorHAnsi"/>
          <w:sz w:val="24"/>
          <w:szCs w:val="24"/>
        </w:rPr>
        <w:t xml:space="preserve"> ve </w:t>
      </w:r>
      <w:r w:rsidR="00DA20D7" w:rsidRPr="002C310E">
        <w:rPr>
          <w:rFonts w:eastAsia="Times New Roman" w:cstheme="minorHAnsi"/>
          <w:sz w:val="24"/>
          <w:szCs w:val="24"/>
        </w:rPr>
        <w:t>funkčnost</w:t>
      </w:r>
      <w:r w:rsidR="003627E1" w:rsidRPr="002C310E">
        <w:rPr>
          <w:rFonts w:eastAsia="Times New Roman" w:cstheme="minorHAnsi"/>
          <w:sz w:val="24"/>
          <w:szCs w:val="24"/>
        </w:rPr>
        <w:t>i</w:t>
      </w:r>
      <w:r w:rsidR="00DA20D7" w:rsidRPr="002C310E">
        <w:rPr>
          <w:rFonts w:eastAsia="Times New Roman" w:cstheme="minorHAnsi"/>
          <w:sz w:val="24"/>
          <w:szCs w:val="24"/>
        </w:rPr>
        <w:t xml:space="preserve"> </w:t>
      </w:r>
      <w:r w:rsidRPr="002C310E">
        <w:rPr>
          <w:rFonts w:eastAsia="Times New Roman" w:cstheme="minorHAnsi"/>
          <w:sz w:val="24"/>
          <w:szCs w:val="24"/>
        </w:rPr>
        <w:t xml:space="preserve">systému </w:t>
      </w:r>
      <w:r w:rsidR="00DA20D7" w:rsidRPr="002C310E">
        <w:rPr>
          <w:rFonts w:eastAsia="Times New Roman" w:cstheme="minorHAnsi"/>
          <w:sz w:val="24"/>
          <w:szCs w:val="24"/>
        </w:rPr>
        <w:t xml:space="preserve">především </w:t>
      </w:r>
      <w:r w:rsidR="00850444">
        <w:rPr>
          <w:rFonts w:eastAsia="Times New Roman" w:cstheme="minorHAnsi"/>
          <w:sz w:val="24"/>
          <w:szCs w:val="24"/>
        </w:rPr>
        <w:t>v hodnocení žádostí o podporu, na které je navázáno doporučení k realizaci projektu, s rizikem pro výběr</w:t>
      </w:r>
      <w:r w:rsidR="00DA20D7" w:rsidRPr="002C310E">
        <w:rPr>
          <w:rFonts w:eastAsia="Times New Roman" w:cstheme="minorHAnsi"/>
          <w:sz w:val="24"/>
          <w:szCs w:val="24"/>
        </w:rPr>
        <w:t xml:space="preserve"> účelných projektů. Jednalo </w:t>
      </w:r>
      <w:r w:rsidRPr="002C310E">
        <w:rPr>
          <w:rFonts w:eastAsia="Times New Roman" w:cstheme="minorHAnsi"/>
          <w:sz w:val="24"/>
          <w:szCs w:val="24"/>
        </w:rPr>
        <w:t>se zejména o stanovení</w:t>
      </w:r>
      <w:r w:rsidR="00DA20D7" w:rsidRPr="002C310E">
        <w:rPr>
          <w:rFonts w:eastAsia="Times New Roman" w:cstheme="minorHAnsi"/>
          <w:sz w:val="24"/>
          <w:szCs w:val="24"/>
        </w:rPr>
        <w:t xml:space="preserve"> neměřitelný</w:t>
      </w:r>
      <w:r w:rsidRPr="002C310E">
        <w:rPr>
          <w:rFonts w:eastAsia="Times New Roman" w:cstheme="minorHAnsi"/>
          <w:sz w:val="24"/>
          <w:szCs w:val="24"/>
        </w:rPr>
        <w:t>ch</w:t>
      </w:r>
      <w:r w:rsidR="00DA20D7" w:rsidRPr="002C310E">
        <w:rPr>
          <w:rFonts w:eastAsia="Times New Roman" w:cstheme="minorHAnsi"/>
          <w:sz w:val="24"/>
          <w:szCs w:val="24"/>
        </w:rPr>
        <w:t xml:space="preserve"> cíl</w:t>
      </w:r>
      <w:r w:rsidRPr="002C310E">
        <w:rPr>
          <w:rFonts w:eastAsia="Times New Roman" w:cstheme="minorHAnsi"/>
          <w:sz w:val="24"/>
          <w:szCs w:val="24"/>
        </w:rPr>
        <w:t xml:space="preserve">ů </w:t>
      </w:r>
      <w:r w:rsidR="003A52D7" w:rsidRPr="002C310E">
        <w:rPr>
          <w:rFonts w:eastAsia="Times New Roman" w:cstheme="minorHAnsi"/>
          <w:sz w:val="24"/>
          <w:szCs w:val="24"/>
        </w:rPr>
        <w:t xml:space="preserve">projektů </w:t>
      </w:r>
      <w:r w:rsidRPr="002C310E">
        <w:rPr>
          <w:rFonts w:eastAsia="Times New Roman" w:cstheme="minorHAnsi"/>
          <w:sz w:val="24"/>
          <w:szCs w:val="24"/>
        </w:rPr>
        <w:t>jako např.</w:t>
      </w:r>
      <w:r w:rsidR="00C86E67" w:rsidRPr="002C310E">
        <w:rPr>
          <w:rFonts w:eastAsia="Times New Roman" w:cstheme="minorHAnsi"/>
          <w:sz w:val="24"/>
          <w:szCs w:val="24"/>
        </w:rPr>
        <w:t xml:space="preserve"> </w:t>
      </w:r>
      <w:r w:rsidR="00DA20D7" w:rsidRPr="002C310E">
        <w:rPr>
          <w:rFonts w:eastAsia="Times New Roman" w:cstheme="minorHAnsi"/>
          <w:sz w:val="24"/>
          <w:szCs w:val="24"/>
        </w:rPr>
        <w:t>„</w:t>
      </w:r>
      <w:r w:rsidRPr="00A944B0">
        <w:rPr>
          <w:rFonts w:eastAsia="Times New Roman" w:cstheme="minorHAnsi"/>
          <w:i/>
          <w:sz w:val="24"/>
          <w:szCs w:val="24"/>
        </w:rPr>
        <w:t>z</w:t>
      </w:r>
      <w:r w:rsidR="00DA20D7" w:rsidRPr="002C310E">
        <w:rPr>
          <w:rFonts w:eastAsia="Times New Roman" w:cstheme="minorHAnsi"/>
          <w:i/>
          <w:iCs/>
          <w:sz w:val="24"/>
          <w:szCs w:val="24"/>
        </w:rPr>
        <w:t>výšit schopnost Policie ČR odhalovat neregulérní doklady v rámci kontroly vnější hranice</w:t>
      </w:r>
      <w:r w:rsidR="00DA20D7" w:rsidRPr="002C310E">
        <w:rPr>
          <w:rFonts w:eastAsia="Times New Roman" w:cstheme="minorHAnsi"/>
          <w:sz w:val="24"/>
          <w:szCs w:val="24"/>
        </w:rPr>
        <w:t>“</w:t>
      </w:r>
      <w:r w:rsidRPr="002C310E">
        <w:rPr>
          <w:rFonts w:eastAsia="Times New Roman" w:cstheme="minorHAnsi"/>
          <w:sz w:val="24"/>
          <w:szCs w:val="24"/>
        </w:rPr>
        <w:t xml:space="preserve"> </w:t>
      </w:r>
      <w:r w:rsidR="00DA20D7" w:rsidRPr="002C310E">
        <w:rPr>
          <w:rFonts w:eastAsia="Times New Roman" w:cstheme="minorHAnsi"/>
          <w:sz w:val="24"/>
          <w:szCs w:val="24"/>
        </w:rPr>
        <w:t>u projektu</w:t>
      </w:r>
      <w:r w:rsidRPr="002C310E">
        <w:rPr>
          <w:rFonts w:eastAsia="Times New Roman" w:cstheme="minorHAnsi"/>
          <w:sz w:val="24"/>
          <w:szCs w:val="24"/>
        </w:rPr>
        <w:t xml:space="preserve"> </w:t>
      </w:r>
      <w:r w:rsidR="00DA20D7" w:rsidRPr="002C310E">
        <w:rPr>
          <w:rFonts w:eastAsia="Times New Roman" w:cstheme="minorHAnsi"/>
          <w:sz w:val="24"/>
          <w:szCs w:val="24"/>
        </w:rPr>
        <w:t>ISF/10/01</w:t>
      </w:r>
      <w:r w:rsidR="00F80F64">
        <w:rPr>
          <w:rFonts w:eastAsia="Times New Roman" w:cstheme="minorHAnsi"/>
          <w:sz w:val="24"/>
          <w:szCs w:val="24"/>
        </w:rPr>
        <w:t xml:space="preserve"> –</w:t>
      </w:r>
      <w:r w:rsidR="00DA20D7" w:rsidRPr="002C310E">
        <w:rPr>
          <w:rFonts w:eastAsia="Times New Roman" w:cstheme="minorHAnsi"/>
          <w:sz w:val="24"/>
          <w:szCs w:val="24"/>
        </w:rPr>
        <w:t xml:space="preserve"> </w:t>
      </w:r>
      <w:r w:rsidR="00DA20D7" w:rsidRPr="002C310E">
        <w:rPr>
          <w:rFonts w:eastAsia="Times New Roman" w:cstheme="minorHAnsi"/>
          <w:i/>
          <w:iCs/>
          <w:sz w:val="24"/>
          <w:szCs w:val="24"/>
        </w:rPr>
        <w:t>Specializované pracoviště Národního centra pro kontrolu dokladů</w:t>
      </w:r>
      <w:r w:rsidR="00DA20D7" w:rsidRPr="002C310E">
        <w:rPr>
          <w:rFonts w:eastAsia="Times New Roman" w:cstheme="minorHAnsi"/>
          <w:sz w:val="24"/>
          <w:szCs w:val="24"/>
        </w:rPr>
        <w:t xml:space="preserve">. </w:t>
      </w:r>
      <w:r w:rsidRPr="002C310E">
        <w:rPr>
          <w:rFonts w:eastAsia="Times New Roman" w:cstheme="minorHAnsi"/>
          <w:sz w:val="24"/>
          <w:szCs w:val="24"/>
        </w:rPr>
        <w:t>Nedostatky</w:t>
      </w:r>
      <w:r w:rsidR="00DA20D7" w:rsidRPr="002C310E">
        <w:rPr>
          <w:rFonts w:eastAsia="Times New Roman" w:cstheme="minorHAnsi"/>
          <w:sz w:val="24"/>
          <w:szCs w:val="24"/>
        </w:rPr>
        <w:t xml:space="preserve"> </w:t>
      </w:r>
      <w:r w:rsidR="00850444">
        <w:rPr>
          <w:rFonts w:eastAsia="Times New Roman" w:cstheme="minorHAnsi"/>
          <w:sz w:val="24"/>
          <w:szCs w:val="24"/>
        </w:rPr>
        <w:t xml:space="preserve">v </w:t>
      </w:r>
      <w:r w:rsidR="00DA20D7" w:rsidRPr="002C310E">
        <w:rPr>
          <w:rFonts w:eastAsia="Times New Roman" w:cstheme="minorHAnsi"/>
          <w:sz w:val="24"/>
          <w:szCs w:val="24"/>
        </w:rPr>
        <w:t xml:space="preserve">systému </w:t>
      </w:r>
      <w:r w:rsidR="00BC54B7">
        <w:rPr>
          <w:rFonts w:eastAsia="Times New Roman" w:cstheme="minorHAnsi"/>
          <w:sz w:val="24"/>
          <w:szCs w:val="24"/>
        </w:rPr>
        <w:t>hodnocení</w:t>
      </w:r>
      <w:r w:rsidR="00DA20D7" w:rsidRPr="002C310E">
        <w:rPr>
          <w:rFonts w:eastAsia="Times New Roman" w:cstheme="minorHAnsi"/>
          <w:sz w:val="24"/>
          <w:szCs w:val="24"/>
        </w:rPr>
        <w:t xml:space="preserve"> projektů </w:t>
      </w:r>
      <w:r w:rsidRPr="002C310E">
        <w:rPr>
          <w:rFonts w:eastAsia="Times New Roman" w:cstheme="minorHAnsi"/>
          <w:sz w:val="24"/>
          <w:szCs w:val="24"/>
        </w:rPr>
        <w:t xml:space="preserve">dokládají </w:t>
      </w:r>
      <w:r w:rsidR="003A52D7" w:rsidRPr="002C310E">
        <w:rPr>
          <w:rFonts w:eastAsia="Times New Roman" w:cstheme="minorHAnsi"/>
          <w:sz w:val="24"/>
          <w:szCs w:val="24"/>
        </w:rPr>
        <w:t>také</w:t>
      </w:r>
      <w:r w:rsidRPr="002C310E">
        <w:rPr>
          <w:rFonts w:eastAsia="Times New Roman" w:cstheme="minorHAnsi"/>
          <w:sz w:val="24"/>
          <w:szCs w:val="24"/>
        </w:rPr>
        <w:t xml:space="preserve"> </w:t>
      </w:r>
      <w:r w:rsidR="006420B0">
        <w:rPr>
          <w:rFonts w:eastAsia="Times New Roman" w:cstheme="minorHAnsi"/>
          <w:sz w:val="24"/>
          <w:szCs w:val="24"/>
        </w:rPr>
        <w:t xml:space="preserve">kontrolní </w:t>
      </w:r>
      <w:r w:rsidR="00850444">
        <w:rPr>
          <w:rFonts w:eastAsia="Times New Roman" w:cstheme="minorHAnsi"/>
          <w:sz w:val="24"/>
          <w:szCs w:val="24"/>
        </w:rPr>
        <w:t>zjištění</w:t>
      </w:r>
      <w:r w:rsidR="007460E2">
        <w:rPr>
          <w:rFonts w:eastAsia="Times New Roman" w:cstheme="minorHAnsi"/>
          <w:sz w:val="24"/>
          <w:szCs w:val="24"/>
        </w:rPr>
        <w:t xml:space="preserve"> </w:t>
      </w:r>
      <w:r w:rsidR="00DA20D7" w:rsidRPr="002C310E">
        <w:rPr>
          <w:rFonts w:eastAsia="Times New Roman" w:cstheme="minorHAnsi"/>
          <w:sz w:val="24"/>
          <w:szCs w:val="24"/>
        </w:rPr>
        <w:t xml:space="preserve">u projektu ISF/13/01 </w:t>
      </w:r>
      <w:r w:rsidR="00DA20D7" w:rsidRPr="002C310E">
        <w:rPr>
          <w:rFonts w:eastAsia="Times New Roman" w:cstheme="minorHAnsi"/>
          <w:i/>
          <w:iCs/>
          <w:sz w:val="24"/>
          <w:szCs w:val="24"/>
        </w:rPr>
        <w:t>Národní projekt EES I – Implementace systému EES</w:t>
      </w:r>
      <w:r w:rsidRPr="002C310E">
        <w:rPr>
          <w:rFonts w:eastAsia="Times New Roman" w:cstheme="minorHAnsi"/>
          <w:i/>
          <w:iCs/>
          <w:sz w:val="24"/>
          <w:szCs w:val="24"/>
        </w:rPr>
        <w:t>,</w:t>
      </w:r>
      <w:r w:rsidRPr="002C310E">
        <w:rPr>
          <w:rFonts w:eastAsia="Times New Roman" w:cstheme="minorHAnsi"/>
          <w:sz w:val="24"/>
          <w:szCs w:val="24"/>
        </w:rPr>
        <w:t xml:space="preserve"> kdy i přes </w:t>
      </w:r>
      <w:r w:rsidR="003A52D7" w:rsidRPr="002C310E">
        <w:rPr>
          <w:rFonts w:eastAsia="Times New Roman" w:cstheme="minorHAnsi"/>
          <w:sz w:val="24"/>
          <w:szCs w:val="24"/>
        </w:rPr>
        <w:t xml:space="preserve">závažné </w:t>
      </w:r>
      <w:r w:rsidRPr="002C310E">
        <w:rPr>
          <w:rFonts w:eastAsia="Times New Roman" w:cstheme="minorHAnsi"/>
          <w:sz w:val="24"/>
          <w:szCs w:val="24"/>
        </w:rPr>
        <w:t>výtky hodnotitelů, které uvedli při věcném hodnocení žádosti o podporu v</w:t>
      </w:r>
      <w:r w:rsidR="0082216C">
        <w:rPr>
          <w:rFonts w:eastAsia="Times New Roman" w:cstheme="minorHAnsi"/>
          <w:sz w:val="24"/>
          <w:szCs w:val="24"/>
        </w:rPr>
        <w:t> </w:t>
      </w:r>
      <w:r w:rsidRPr="002C310E">
        <w:rPr>
          <w:rFonts w:eastAsia="Times New Roman" w:cstheme="minorHAnsi"/>
          <w:sz w:val="24"/>
          <w:szCs w:val="24"/>
        </w:rPr>
        <w:t xml:space="preserve">podkladových hodnoceních, byl projekt k realizaci doporučen. </w:t>
      </w:r>
    </w:p>
    <w:p w14:paraId="06963E9E" w14:textId="7F511AE3" w:rsidR="00D13385" w:rsidRPr="002C310E" w:rsidRDefault="00F04DCF" w:rsidP="00D13385">
      <w:pPr>
        <w:spacing w:after="120" w:line="240" w:lineRule="auto"/>
        <w:jc w:val="both"/>
        <w:rPr>
          <w:rFonts w:cstheme="minorHAnsi"/>
          <w:sz w:val="24"/>
          <w:szCs w:val="24"/>
        </w:rPr>
      </w:pPr>
      <w:r w:rsidRPr="00A159C0">
        <w:rPr>
          <w:rFonts w:cstheme="minorHAnsi"/>
          <w:b/>
          <w:sz w:val="24"/>
          <w:szCs w:val="24"/>
        </w:rPr>
        <w:t>4.1</w:t>
      </w:r>
      <w:r w:rsidR="000B1625" w:rsidRPr="00A159C0">
        <w:rPr>
          <w:rFonts w:cstheme="minorHAnsi"/>
          <w:b/>
          <w:sz w:val="24"/>
          <w:szCs w:val="24"/>
        </w:rPr>
        <w:t>2</w:t>
      </w:r>
      <w:r w:rsidRPr="002C310E">
        <w:rPr>
          <w:rFonts w:cstheme="minorHAnsi"/>
          <w:sz w:val="24"/>
          <w:szCs w:val="24"/>
        </w:rPr>
        <w:t xml:space="preserve"> NKÚ zjistil, že u vybraných projektů NP ISF stanovilo MV ve většině případů pouze obecný hlavní cíl a dílčí cíle</w:t>
      </w:r>
      <w:r w:rsidR="00C86E67" w:rsidRPr="002C310E">
        <w:rPr>
          <w:rFonts w:cstheme="minorHAnsi"/>
          <w:sz w:val="24"/>
          <w:szCs w:val="24"/>
        </w:rPr>
        <w:t xml:space="preserve"> projektů</w:t>
      </w:r>
      <w:r w:rsidRPr="002C310E">
        <w:rPr>
          <w:rFonts w:cstheme="minorHAnsi"/>
          <w:sz w:val="24"/>
          <w:szCs w:val="24"/>
        </w:rPr>
        <w:t xml:space="preserve">. </w:t>
      </w:r>
      <w:r w:rsidR="00EF18F6" w:rsidRPr="002C310E">
        <w:rPr>
          <w:rFonts w:cstheme="minorHAnsi"/>
          <w:sz w:val="24"/>
          <w:szCs w:val="24"/>
        </w:rPr>
        <w:t>M</w:t>
      </w:r>
      <w:r w:rsidRPr="002C310E">
        <w:rPr>
          <w:rFonts w:cstheme="minorHAnsi"/>
          <w:bCs/>
          <w:sz w:val="24"/>
          <w:szCs w:val="24"/>
        </w:rPr>
        <w:t xml:space="preserve">onitorovací ukazatele </w:t>
      </w:r>
      <w:r w:rsidR="00C70022" w:rsidRPr="002C310E">
        <w:rPr>
          <w:rFonts w:cstheme="minorHAnsi"/>
          <w:bCs/>
          <w:sz w:val="24"/>
          <w:szCs w:val="24"/>
        </w:rPr>
        <w:t>(ukazatele výstupu</w:t>
      </w:r>
      <w:r>
        <w:rPr>
          <w:rStyle w:val="Znakapoznpodarou"/>
          <w:rFonts w:cstheme="minorHAnsi"/>
          <w:bCs/>
          <w:sz w:val="24"/>
          <w:szCs w:val="24"/>
        </w:rPr>
        <w:footnoteReference w:id="41"/>
      </w:r>
      <w:r w:rsidR="00C70022" w:rsidRPr="002C310E">
        <w:rPr>
          <w:rFonts w:cstheme="minorHAnsi"/>
          <w:bCs/>
          <w:sz w:val="24"/>
          <w:szCs w:val="24"/>
        </w:rPr>
        <w:t xml:space="preserve">) </w:t>
      </w:r>
      <w:r w:rsidR="00EF18F6" w:rsidRPr="002C310E">
        <w:rPr>
          <w:rFonts w:cstheme="minorHAnsi"/>
          <w:bCs/>
          <w:sz w:val="24"/>
          <w:szCs w:val="24"/>
        </w:rPr>
        <w:t>projektů stanovilo MV</w:t>
      </w:r>
      <w:r w:rsidR="00563559">
        <w:rPr>
          <w:rFonts w:cstheme="minorHAnsi"/>
          <w:sz w:val="24"/>
          <w:szCs w:val="24"/>
        </w:rPr>
        <w:t xml:space="preserve"> v některých případech bez cílové hodnoty</w:t>
      </w:r>
      <w:r w:rsidRPr="002C310E">
        <w:rPr>
          <w:rFonts w:cstheme="minorHAnsi"/>
          <w:bCs/>
          <w:sz w:val="24"/>
          <w:szCs w:val="24"/>
        </w:rPr>
        <w:t xml:space="preserve">. NKÚ však zjistil, že tyto ukazatele nevypovídaly o všech podstatných aspektech </w:t>
      </w:r>
      <w:r w:rsidR="00EF18F6" w:rsidRPr="002C310E">
        <w:rPr>
          <w:rFonts w:cstheme="minorHAnsi"/>
          <w:bCs/>
          <w:sz w:val="24"/>
          <w:szCs w:val="24"/>
        </w:rPr>
        <w:t xml:space="preserve">vybraných </w:t>
      </w:r>
      <w:r w:rsidRPr="002C310E">
        <w:rPr>
          <w:rFonts w:cstheme="minorHAnsi"/>
          <w:bCs/>
          <w:sz w:val="24"/>
          <w:szCs w:val="24"/>
        </w:rPr>
        <w:t>projektů.</w:t>
      </w:r>
      <w:r w:rsidR="00EF18F6" w:rsidRPr="00A944B0">
        <w:rPr>
          <w:rFonts w:cstheme="minorHAnsi"/>
          <w:bCs/>
          <w:sz w:val="24"/>
          <w:szCs w:val="24"/>
        </w:rPr>
        <w:t xml:space="preserve"> </w:t>
      </w:r>
      <w:r w:rsidRPr="002C310E">
        <w:rPr>
          <w:rFonts w:cstheme="minorHAnsi"/>
          <w:bCs/>
          <w:sz w:val="24"/>
          <w:szCs w:val="24"/>
        </w:rPr>
        <w:t xml:space="preserve">MV po příjemcích nepožadovalo vykazovat ukazatele výsledku, požadovalo sledovat a vykazovat pouze ukazatele dle </w:t>
      </w:r>
      <w:r w:rsidR="00026744" w:rsidRPr="002C310E">
        <w:rPr>
          <w:rFonts w:cstheme="minorHAnsi"/>
          <w:bCs/>
          <w:sz w:val="24"/>
          <w:szCs w:val="24"/>
        </w:rPr>
        <w:t xml:space="preserve">požadavků </w:t>
      </w:r>
      <w:r w:rsidRPr="002C310E">
        <w:rPr>
          <w:rFonts w:cstheme="minorHAnsi"/>
          <w:bCs/>
          <w:sz w:val="24"/>
          <w:szCs w:val="24"/>
        </w:rPr>
        <w:t xml:space="preserve">EK. NKÚ zjistil, že </w:t>
      </w:r>
      <w:r w:rsidR="00295DFC">
        <w:rPr>
          <w:rFonts w:cstheme="minorHAnsi"/>
          <w:bCs/>
          <w:sz w:val="24"/>
          <w:szCs w:val="24"/>
        </w:rPr>
        <w:t xml:space="preserve">v některých případech není jednoznačná a úplná </w:t>
      </w:r>
      <w:r w:rsidRPr="002C310E">
        <w:rPr>
          <w:rFonts w:cstheme="minorHAnsi"/>
          <w:bCs/>
          <w:sz w:val="24"/>
          <w:szCs w:val="24"/>
        </w:rPr>
        <w:t>návaznost</w:t>
      </w:r>
      <w:r w:rsidR="00EF18F6" w:rsidRPr="002C310E">
        <w:rPr>
          <w:rFonts w:cstheme="minorHAnsi"/>
          <w:bCs/>
          <w:sz w:val="24"/>
          <w:szCs w:val="24"/>
        </w:rPr>
        <w:t xml:space="preserve"> </w:t>
      </w:r>
      <w:r w:rsidRPr="002C310E">
        <w:rPr>
          <w:rFonts w:cstheme="minorHAnsi"/>
          <w:bCs/>
          <w:sz w:val="24"/>
          <w:szCs w:val="24"/>
        </w:rPr>
        <w:t>cílů projektu (hlavní cíl, dílčí cíle) a monitorovacích ukazatelů</w:t>
      </w:r>
      <w:r w:rsidRPr="00A159C0">
        <w:rPr>
          <w:rFonts w:cstheme="minorHAnsi"/>
          <w:bCs/>
          <w:sz w:val="24"/>
          <w:szCs w:val="24"/>
        </w:rPr>
        <w:t xml:space="preserve">. </w:t>
      </w:r>
      <w:r w:rsidRPr="002C310E">
        <w:rPr>
          <w:rFonts w:cstheme="minorHAnsi"/>
          <w:sz w:val="24"/>
          <w:szCs w:val="24"/>
        </w:rPr>
        <w:t>Pro zvýšení možnosti vyhodnocení obecného hlavního cíle MV nezávazně umožnilo příjemcům stanovit si dle vlastní volby i</w:t>
      </w:r>
      <w:r w:rsidR="00EF662A">
        <w:rPr>
          <w:rFonts w:cstheme="minorHAnsi"/>
          <w:sz w:val="24"/>
          <w:szCs w:val="24"/>
        </w:rPr>
        <w:t> </w:t>
      </w:r>
      <w:r w:rsidRPr="002C310E">
        <w:rPr>
          <w:rFonts w:cstheme="minorHAnsi"/>
          <w:sz w:val="24"/>
          <w:szCs w:val="24"/>
        </w:rPr>
        <w:t>nepovinné ukazatele. Tyto ukazatele mohly MV poskytnout adekvátní zpětnou vazbu o</w:t>
      </w:r>
      <w:r w:rsidR="00EF662A">
        <w:rPr>
          <w:rFonts w:cstheme="minorHAnsi"/>
          <w:sz w:val="24"/>
          <w:szCs w:val="24"/>
        </w:rPr>
        <w:t> </w:t>
      </w:r>
      <w:r w:rsidRPr="002C310E">
        <w:rPr>
          <w:rFonts w:cstheme="minorHAnsi"/>
          <w:sz w:val="24"/>
          <w:szCs w:val="24"/>
        </w:rPr>
        <w:t>naplnění cílů a účelu projektu. Ve většině případů t</w:t>
      </w:r>
      <w:r w:rsidR="00547821" w:rsidRPr="002C310E">
        <w:rPr>
          <w:rFonts w:cstheme="minorHAnsi"/>
          <w:sz w:val="24"/>
          <w:szCs w:val="24"/>
        </w:rPr>
        <w:t>uto možnost příjemci nevyužili.</w:t>
      </w:r>
    </w:p>
    <w:p w14:paraId="4CECE5F9" w14:textId="6581711F" w:rsidR="00064D33" w:rsidRPr="00B414E3" w:rsidRDefault="00F04DCF" w:rsidP="00733FC4">
      <w:pPr>
        <w:spacing w:after="120" w:line="240" w:lineRule="auto"/>
        <w:jc w:val="both"/>
        <w:rPr>
          <w:rFonts w:cstheme="minorHAnsi"/>
          <w:color w:val="000000" w:themeColor="text1"/>
          <w:sz w:val="24"/>
          <w:szCs w:val="24"/>
        </w:rPr>
      </w:pPr>
      <w:r w:rsidRPr="00A159C0">
        <w:rPr>
          <w:rFonts w:cstheme="minorHAnsi"/>
          <w:b/>
          <w:sz w:val="24"/>
          <w:szCs w:val="24"/>
        </w:rPr>
        <w:t>4.1</w:t>
      </w:r>
      <w:r w:rsidR="000B1625" w:rsidRPr="00A159C0">
        <w:rPr>
          <w:rFonts w:cstheme="minorHAnsi"/>
          <w:b/>
          <w:sz w:val="24"/>
          <w:szCs w:val="24"/>
        </w:rPr>
        <w:t>3</w:t>
      </w:r>
      <w:r w:rsidRPr="002C310E">
        <w:rPr>
          <w:rFonts w:cstheme="minorHAnsi"/>
          <w:sz w:val="24"/>
          <w:szCs w:val="24"/>
        </w:rPr>
        <w:t xml:space="preserve"> </w:t>
      </w:r>
      <w:r w:rsidR="00292327" w:rsidRPr="002C310E">
        <w:rPr>
          <w:rFonts w:eastAsia="Times New Roman" w:cstheme="minorHAnsi"/>
          <w:sz w:val="24"/>
          <w:szCs w:val="24"/>
        </w:rPr>
        <w:t>N</w:t>
      </w:r>
      <w:r w:rsidR="00922750" w:rsidRPr="002C310E">
        <w:rPr>
          <w:rFonts w:eastAsia="Times New Roman" w:cstheme="minorHAnsi"/>
          <w:sz w:val="24"/>
          <w:szCs w:val="24"/>
        </w:rPr>
        <w:t xml:space="preserve">KÚ </w:t>
      </w:r>
      <w:r w:rsidR="00EF18F6" w:rsidRPr="002C310E">
        <w:rPr>
          <w:rFonts w:eastAsia="Times New Roman" w:cstheme="minorHAnsi"/>
          <w:sz w:val="24"/>
          <w:szCs w:val="24"/>
        </w:rPr>
        <w:t xml:space="preserve">dále </w:t>
      </w:r>
      <w:r w:rsidR="00095DF5" w:rsidRPr="002C310E">
        <w:rPr>
          <w:rFonts w:cstheme="minorHAnsi"/>
          <w:sz w:val="24"/>
          <w:szCs w:val="24"/>
        </w:rPr>
        <w:t xml:space="preserve">zjistil, že </w:t>
      </w:r>
      <w:r w:rsidR="008F49BE" w:rsidRPr="002C310E">
        <w:rPr>
          <w:rFonts w:eastAsia="Times New Roman" w:cstheme="minorHAnsi"/>
          <w:sz w:val="24"/>
          <w:szCs w:val="24"/>
        </w:rPr>
        <w:t xml:space="preserve">u </w:t>
      </w:r>
      <w:r w:rsidR="00C30B9D" w:rsidRPr="002C310E">
        <w:rPr>
          <w:rFonts w:eastAsia="Times New Roman" w:cstheme="minorHAnsi"/>
          <w:sz w:val="24"/>
          <w:szCs w:val="24"/>
        </w:rPr>
        <w:t>dvou</w:t>
      </w:r>
      <w:r w:rsidR="008F49BE" w:rsidRPr="002C310E">
        <w:rPr>
          <w:rFonts w:eastAsia="Times New Roman" w:cstheme="minorHAnsi"/>
          <w:sz w:val="24"/>
          <w:szCs w:val="24"/>
        </w:rPr>
        <w:t xml:space="preserve"> ze sedmi vybraných projektů NP ISF </w:t>
      </w:r>
      <w:r w:rsidR="00EF18F6" w:rsidRPr="002C310E">
        <w:rPr>
          <w:rFonts w:eastAsia="Times New Roman" w:cstheme="minorHAnsi"/>
          <w:sz w:val="24"/>
          <w:szCs w:val="24"/>
        </w:rPr>
        <w:t xml:space="preserve">nestanovilo MV </w:t>
      </w:r>
      <w:r w:rsidR="008F49BE" w:rsidRPr="002C310E">
        <w:rPr>
          <w:rFonts w:eastAsia="Times New Roman" w:cstheme="minorHAnsi"/>
          <w:sz w:val="24"/>
          <w:szCs w:val="24"/>
        </w:rPr>
        <w:t xml:space="preserve">cíl </w:t>
      </w:r>
      <w:r w:rsidR="00C30B9D" w:rsidRPr="002C310E">
        <w:rPr>
          <w:rFonts w:eastAsia="Times New Roman" w:cstheme="minorHAnsi"/>
          <w:sz w:val="24"/>
          <w:szCs w:val="24"/>
        </w:rPr>
        <w:t>projektu</w:t>
      </w:r>
      <w:r w:rsidR="00EF18F6" w:rsidRPr="002C310E">
        <w:rPr>
          <w:rFonts w:eastAsia="Times New Roman" w:cstheme="minorHAnsi"/>
          <w:sz w:val="24"/>
          <w:szCs w:val="24"/>
        </w:rPr>
        <w:t xml:space="preserve"> </w:t>
      </w:r>
      <w:r w:rsidR="008F49BE" w:rsidRPr="002C310E">
        <w:rPr>
          <w:rFonts w:eastAsia="Times New Roman" w:cstheme="minorHAnsi"/>
          <w:sz w:val="24"/>
          <w:szCs w:val="24"/>
        </w:rPr>
        <w:t>jako měřitelný</w:t>
      </w:r>
      <w:r w:rsidR="00EF18F6" w:rsidRPr="002C310E">
        <w:rPr>
          <w:rFonts w:eastAsia="Times New Roman" w:cstheme="minorHAnsi"/>
          <w:sz w:val="24"/>
          <w:szCs w:val="24"/>
        </w:rPr>
        <w:t xml:space="preserve"> </w:t>
      </w:r>
      <w:r w:rsidR="00934408" w:rsidRPr="002C310E">
        <w:rPr>
          <w:rFonts w:eastAsia="Times New Roman" w:cstheme="minorHAnsi"/>
          <w:sz w:val="24"/>
          <w:szCs w:val="24"/>
        </w:rPr>
        <w:t>pomocí kvantifikovaných údajů</w:t>
      </w:r>
      <w:r w:rsidR="00CF0DAA">
        <w:rPr>
          <w:rFonts w:eastAsia="Times New Roman" w:cstheme="minorHAnsi"/>
          <w:sz w:val="24"/>
          <w:szCs w:val="24"/>
        </w:rPr>
        <w:t>,</w:t>
      </w:r>
      <w:r w:rsidR="00EF18F6" w:rsidRPr="002C310E">
        <w:rPr>
          <w:rFonts w:eastAsia="Times New Roman" w:cstheme="minorHAnsi"/>
          <w:sz w:val="24"/>
          <w:szCs w:val="24"/>
        </w:rPr>
        <w:t xml:space="preserve"> </w:t>
      </w:r>
      <w:r w:rsidR="008F49BE" w:rsidRPr="002C310E">
        <w:rPr>
          <w:rFonts w:eastAsia="Times New Roman" w:cstheme="minorHAnsi"/>
          <w:sz w:val="24"/>
          <w:szCs w:val="24"/>
        </w:rPr>
        <w:t xml:space="preserve">a po ukončení projektu </w:t>
      </w:r>
      <w:r w:rsidR="00C643EC" w:rsidRPr="002C310E">
        <w:rPr>
          <w:rFonts w:eastAsia="Times New Roman" w:cstheme="minorHAnsi"/>
          <w:sz w:val="24"/>
          <w:szCs w:val="24"/>
        </w:rPr>
        <w:t xml:space="preserve">tak </w:t>
      </w:r>
      <w:r w:rsidR="008F49BE" w:rsidRPr="002C310E">
        <w:rPr>
          <w:rFonts w:eastAsia="Times New Roman" w:cstheme="minorHAnsi"/>
          <w:sz w:val="24"/>
          <w:szCs w:val="24"/>
        </w:rPr>
        <w:t>bude</w:t>
      </w:r>
      <w:r w:rsidR="00C643EC" w:rsidRPr="002C310E">
        <w:rPr>
          <w:rFonts w:eastAsia="Times New Roman" w:cstheme="minorHAnsi"/>
          <w:sz w:val="24"/>
          <w:szCs w:val="24"/>
        </w:rPr>
        <w:t xml:space="preserve"> </w:t>
      </w:r>
      <w:r w:rsidR="008F49BE" w:rsidRPr="002C310E">
        <w:rPr>
          <w:rFonts w:eastAsia="Times New Roman" w:cstheme="minorHAnsi"/>
          <w:sz w:val="24"/>
          <w:szCs w:val="24"/>
        </w:rPr>
        <w:t>obtížně vyhodnotitelný. U</w:t>
      </w:r>
      <w:r w:rsidRPr="002C310E">
        <w:rPr>
          <w:rFonts w:eastAsia="Times New Roman" w:cstheme="minorHAnsi"/>
          <w:sz w:val="24"/>
          <w:szCs w:val="24"/>
        </w:rPr>
        <w:t xml:space="preserve"> čtyř projektů</w:t>
      </w:r>
      <w:r w:rsidR="00C63193" w:rsidRPr="002C310E">
        <w:rPr>
          <w:rFonts w:eastAsia="Times New Roman" w:cstheme="minorHAnsi"/>
          <w:sz w:val="24"/>
          <w:szCs w:val="24"/>
        </w:rPr>
        <w:t xml:space="preserve"> </w:t>
      </w:r>
      <w:r w:rsidR="008F49BE" w:rsidRPr="002C310E">
        <w:rPr>
          <w:rFonts w:eastAsia="Times New Roman" w:cstheme="minorHAnsi"/>
          <w:sz w:val="24"/>
          <w:szCs w:val="24"/>
        </w:rPr>
        <w:t>pak</w:t>
      </w:r>
      <w:r w:rsidR="00DD75C5" w:rsidRPr="002C310E">
        <w:rPr>
          <w:rFonts w:eastAsia="Times New Roman" w:cstheme="minorHAnsi"/>
          <w:sz w:val="24"/>
          <w:szCs w:val="24"/>
        </w:rPr>
        <w:t xml:space="preserve"> </w:t>
      </w:r>
      <w:r w:rsidR="00115ECA" w:rsidRPr="002C310E">
        <w:rPr>
          <w:rFonts w:cstheme="minorHAnsi"/>
          <w:sz w:val="24"/>
          <w:szCs w:val="24"/>
        </w:rPr>
        <w:t>monitorovací</w:t>
      </w:r>
      <w:r w:rsidR="00115ECA" w:rsidRPr="002C310E">
        <w:rPr>
          <w:rFonts w:eastAsia="Times New Roman" w:cstheme="minorHAnsi"/>
          <w:sz w:val="24"/>
          <w:szCs w:val="24"/>
        </w:rPr>
        <w:t xml:space="preserve"> ukazatele </w:t>
      </w:r>
      <w:r w:rsidR="00C63193" w:rsidRPr="002C310E">
        <w:rPr>
          <w:rFonts w:eastAsia="Times New Roman" w:cstheme="minorHAnsi"/>
          <w:sz w:val="24"/>
          <w:szCs w:val="24"/>
        </w:rPr>
        <w:t>nevypovídaly o </w:t>
      </w:r>
      <w:r w:rsidR="00D97075">
        <w:rPr>
          <w:rFonts w:eastAsia="Times New Roman" w:cstheme="minorHAnsi"/>
          <w:sz w:val="24"/>
          <w:szCs w:val="24"/>
        </w:rPr>
        <w:t>relevantních</w:t>
      </w:r>
      <w:r w:rsidRPr="002C310E">
        <w:rPr>
          <w:rFonts w:eastAsia="Times New Roman" w:cstheme="minorHAnsi"/>
          <w:sz w:val="24"/>
          <w:szCs w:val="24"/>
        </w:rPr>
        <w:t xml:space="preserve"> </w:t>
      </w:r>
      <w:r w:rsidR="00934408" w:rsidRPr="002C310E">
        <w:rPr>
          <w:rFonts w:eastAsia="Times New Roman" w:cstheme="minorHAnsi"/>
          <w:sz w:val="24"/>
          <w:szCs w:val="24"/>
        </w:rPr>
        <w:t xml:space="preserve">výstupech </w:t>
      </w:r>
      <w:r w:rsidRPr="002C310E">
        <w:rPr>
          <w:rFonts w:eastAsia="Times New Roman" w:cstheme="minorHAnsi"/>
          <w:sz w:val="24"/>
          <w:szCs w:val="24"/>
        </w:rPr>
        <w:t>projektu</w:t>
      </w:r>
      <w:r w:rsidR="00200FC4" w:rsidRPr="002C310E">
        <w:rPr>
          <w:rFonts w:eastAsia="Times New Roman" w:cstheme="minorHAnsi"/>
          <w:sz w:val="24"/>
          <w:szCs w:val="24"/>
        </w:rPr>
        <w:t xml:space="preserve"> </w:t>
      </w:r>
      <w:r w:rsidR="00200FC4" w:rsidRPr="002C310E">
        <w:rPr>
          <w:rFonts w:eastAsia="Times New Roman" w:cstheme="minorHAnsi"/>
          <w:sz w:val="24"/>
          <w:szCs w:val="24"/>
          <w:shd w:val="clear" w:color="auto" w:fill="FFFFFF" w:themeFill="background1"/>
        </w:rPr>
        <w:t xml:space="preserve">(viz </w:t>
      </w:r>
      <w:r w:rsidR="00095DF5" w:rsidRPr="002C310E">
        <w:rPr>
          <w:rFonts w:eastAsia="Times New Roman" w:cstheme="minorHAnsi"/>
          <w:sz w:val="24"/>
          <w:szCs w:val="24"/>
          <w:shd w:val="clear" w:color="auto" w:fill="FFFFFF" w:themeFill="background1"/>
        </w:rPr>
        <w:t xml:space="preserve">příklad č. </w:t>
      </w:r>
      <w:r w:rsidR="002246A2" w:rsidRPr="002C310E">
        <w:rPr>
          <w:rFonts w:eastAsia="Times New Roman" w:cstheme="minorHAnsi"/>
          <w:sz w:val="24"/>
          <w:szCs w:val="24"/>
          <w:shd w:val="clear" w:color="auto" w:fill="FFFFFF" w:themeFill="background1"/>
        </w:rPr>
        <w:t>1)</w:t>
      </w:r>
      <w:r w:rsidR="006B26F1" w:rsidRPr="002C310E">
        <w:rPr>
          <w:rFonts w:eastAsia="Times New Roman" w:cstheme="minorHAnsi"/>
          <w:sz w:val="24"/>
          <w:szCs w:val="24"/>
          <w:shd w:val="clear" w:color="auto" w:fill="FFFFFF" w:themeFill="background1"/>
        </w:rPr>
        <w:t>.</w:t>
      </w:r>
      <w:r w:rsidR="00C70022" w:rsidRPr="002C310E">
        <w:rPr>
          <w:rFonts w:eastAsia="Times New Roman" w:cstheme="minorHAnsi"/>
          <w:sz w:val="24"/>
          <w:szCs w:val="24"/>
        </w:rPr>
        <w:t xml:space="preserve"> </w:t>
      </w:r>
      <w:r w:rsidRPr="002C310E">
        <w:rPr>
          <w:rFonts w:eastAsia="Times New Roman" w:cstheme="minorHAnsi"/>
          <w:sz w:val="24"/>
          <w:szCs w:val="24"/>
        </w:rPr>
        <w:t>Vypovídac</w:t>
      </w:r>
      <w:r w:rsidRPr="00B414E3">
        <w:rPr>
          <w:rFonts w:eastAsia="Times New Roman" w:cstheme="minorHAnsi"/>
          <w:color w:val="000000" w:themeColor="text1"/>
          <w:sz w:val="24"/>
          <w:szCs w:val="24"/>
        </w:rPr>
        <w:t>í schopnost monitorovacích ukazatelů ve vztahu k výsledkům projekt</w:t>
      </w:r>
      <w:r w:rsidR="00C24287" w:rsidRPr="00B414E3">
        <w:rPr>
          <w:rFonts w:eastAsia="Times New Roman" w:cstheme="minorHAnsi"/>
          <w:color w:val="000000" w:themeColor="text1"/>
          <w:sz w:val="24"/>
          <w:szCs w:val="24"/>
        </w:rPr>
        <w:t>ů</w:t>
      </w:r>
      <w:r w:rsidR="00934408" w:rsidRPr="00B414E3">
        <w:rPr>
          <w:rFonts w:eastAsia="Times New Roman" w:cstheme="minorHAnsi"/>
          <w:color w:val="000000" w:themeColor="text1"/>
          <w:sz w:val="24"/>
          <w:szCs w:val="24"/>
        </w:rPr>
        <w:t xml:space="preserve"> a </w:t>
      </w:r>
      <w:r w:rsidR="008A43EA" w:rsidRPr="00B414E3">
        <w:rPr>
          <w:rFonts w:eastAsia="Times New Roman" w:cstheme="minorHAnsi"/>
          <w:color w:val="000000" w:themeColor="text1"/>
          <w:sz w:val="24"/>
          <w:szCs w:val="24"/>
        </w:rPr>
        <w:t>naplnění cílů tak byla omezená.</w:t>
      </w:r>
    </w:p>
    <w:p w14:paraId="373F729A" w14:textId="18403833" w:rsidR="00257AD9" w:rsidRPr="002C310E" w:rsidRDefault="00F04DCF" w:rsidP="00A159C0">
      <w:pPr>
        <w:spacing w:after="80" w:line="240" w:lineRule="auto"/>
        <w:rPr>
          <w:rFonts w:cstheme="minorHAnsi"/>
          <w:b/>
          <w:bCs/>
          <w:iCs/>
          <w:sz w:val="24"/>
          <w:szCs w:val="24"/>
          <w:lang w:eastAsia="cs-CZ"/>
        </w:rPr>
      </w:pPr>
      <w:r w:rsidRPr="00B414E3">
        <w:rPr>
          <w:rFonts w:cstheme="minorHAnsi"/>
          <w:b/>
          <w:color w:val="000000" w:themeColor="text1"/>
          <w:sz w:val="24"/>
          <w:szCs w:val="24"/>
        </w:rPr>
        <w:t xml:space="preserve">Příklad č. </w:t>
      </w:r>
      <w:r w:rsidR="002246A2" w:rsidRPr="00B414E3">
        <w:rPr>
          <w:rFonts w:cstheme="minorHAnsi"/>
          <w:b/>
          <w:color w:val="000000" w:themeColor="text1"/>
          <w:sz w:val="24"/>
          <w:szCs w:val="24"/>
        </w:rPr>
        <w:t>1</w:t>
      </w:r>
      <w:r w:rsidRPr="00B414E3">
        <w:rPr>
          <w:rFonts w:cstheme="minorHAnsi"/>
          <w:b/>
          <w:color w:val="000000" w:themeColor="text1"/>
          <w:sz w:val="24"/>
          <w:szCs w:val="24"/>
        </w:rPr>
        <w:t xml:space="preserve">: </w:t>
      </w:r>
      <w:r w:rsidRPr="00B414E3">
        <w:rPr>
          <w:rFonts w:cstheme="minorHAnsi"/>
          <w:b/>
          <w:bCs/>
          <w:iCs/>
          <w:color w:val="000000" w:themeColor="text1"/>
          <w:sz w:val="24"/>
          <w:szCs w:val="24"/>
          <w:lang w:eastAsia="cs-CZ"/>
        </w:rPr>
        <w:t xml:space="preserve">Projekt </w:t>
      </w:r>
      <w:r w:rsidRPr="00B414E3">
        <w:rPr>
          <w:rFonts w:cstheme="minorHAnsi"/>
          <w:b/>
          <w:bCs/>
          <w:i/>
          <w:iCs/>
          <w:color w:val="000000" w:themeColor="text1"/>
          <w:sz w:val="24"/>
          <w:szCs w:val="24"/>
          <w:lang w:eastAsia="cs-CZ"/>
        </w:rPr>
        <w:t xml:space="preserve">Specializované pracoviště </w:t>
      </w:r>
      <w:r w:rsidR="00AE2B78" w:rsidRPr="00B414E3">
        <w:rPr>
          <w:rFonts w:cstheme="minorHAnsi"/>
          <w:b/>
          <w:bCs/>
          <w:i/>
          <w:iCs/>
          <w:color w:val="000000" w:themeColor="text1"/>
          <w:sz w:val="24"/>
          <w:szCs w:val="24"/>
          <w:lang w:eastAsia="cs-CZ"/>
        </w:rPr>
        <w:t>N</w:t>
      </w:r>
      <w:r w:rsidRPr="00B414E3">
        <w:rPr>
          <w:rFonts w:cstheme="minorHAnsi"/>
          <w:b/>
          <w:bCs/>
          <w:i/>
          <w:iCs/>
          <w:color w:val="000000" w:themeColor="text1"/>
          <w:sz w:val="24"/>
          <w:szCs w:val="24"/>
          <w:lang w:eastAsia="cs-CZ"/>
        </w:rPr>
        <w:t>árodního centra p</w:t>
      </w:r>
      <w:r w:rsidRPr="002C310E">
        <w:rPr>
          <w:rFonts w:cstheme="minorHAnsi"/>
          <w:b/>
          <w:bCs/>
          <w:i/>
          <w:iCs/>
          <w:sz w:val="24"/>
          <w:szCs w:val="24"/>
          <w:lang w:eastAsia="cs-CZ"/>
        </w:rPr>
        <w:t>ro kontrolu dokladů</w:t>
      </w:r>
      <w:r w:rsidRPr="002C310E">
        <w:rPr>
          <w:rFonts w:cstheme="minorHAnsi"/>
          <w:b/>
          <w:bCs/>
          <w:iCs/>
          <w:sz w:val="24"/>
          <w:szCs w:val="24"/>
          <w:lang w:eastAsia="cs-CZ"/>
        </w:rPr>
        <w:t xml:space="preserve">, u něhož </w:t>
      </w:r>
      <w:r w:rsidR="00C70022" w:rsidRPr="002C310E">
        <w:rPr>
          <w:rFonts w:cstheme="minorHAnsi"/>
          <w:b/>
          <w:bCs/>
          <w:iCs/>
          <w:sz w:val="24"/>
          <w:szCs w:val="24"/>
          <w:lang w:eastAsia="cs-CZ"/>
        </w:rPr>
        <w:t>byl h</w:t>
      </w:r>
      <w:r w:rsidR="008A43EA" w:rsidRPr="002C310E">
        <w:rPr>
          <w:rFonts w:cstheme="minorHAnsi"/>
          <w:b/>
          <w:bCs/>
          <w:iCs/>
          <w:sz w:val="24"/>
          <w:szCs w:val="24"/>
          <w:lang w:eastAsia="cs-CZ"/>
        </w:rPr>
        <w:t xml:space="preserve">lavní </w:t>
      </w:r>
      <w:r w:rsidR="00C74F3B" w:rsidRPr="002C310E">
        <w:rPr>
          <w:rFonts w:cstheme="minorHAnsi"/>
          <w:b/>
          <w:bCs/>
          <w:iCs/>
          <w:sz w:val="24"/>
          <w:szCs w:val="24"/>
          <w:lang w:eastAsia="cs-CZ"/>
        </w:rPr>
        <w:t xml:space="preserve">cíl stanoven jako </w:t>
      </w:r>
      <w:r w:rsidR="00C70022" w:rsidRPr="002C310E">
        <w:rPr>
          <w:rFonts w:cstheme="minorHAnsi"/>
          <w:b/>
          <w:bCs/>
          <w:iCs/>
          <w:sz w:val="24"/>
          <w:szCs w:val="24"/>
          <w:lang w:eastAsia="cs-CZ"/>
        </w:rPr>
        <w:t>ne</w:t>
      </w:r>
      <w:r w:rsidR="00C74F3B" w:rsidRPr="002C310E">
        <w:rPr>
          <w:rFonts w:cstheme="minorHAnsi"/>
          <w:b/>
          <w:bCs/>
          <w:iCs/>
          <w:sz w:val="24"/>
          <w:szCs w:val="24"/>
          <w:lang w:eastAsia="cs-CZ"/>
        </w:rPr>
        <w:t xml:space="preserve">měřitelný a </w:t>
      </w:r>
      <w:r w:rsidRPr="002C310E">
        <w:rPr>
          <w:rFonts w:cstheme="minorHAnsi"/>
          <w:b/>
          <w:bCs/>
          <w:iCs/>
          <w:sz w:val="24"/>
          <w:szCs w:val="24"/>
          <w:lang w:eastAsia="cs-CZ"/>
        </w:rPr>
        <w:t>monitorovací ukazatel</w:t>
      </w:r>
      <w:r w:rsidR="00883488" w:rsidRPr="002C310E">
        <w:rPr>
          <w:rFonts w:cstheme="minorHAnsi"/>
          <w:b/>
          <w:bCs/>
          <w:iCs/>
          <w:sz w:val="24"/>
          <w:szCs w:val="24"/>
          <w:lang w:eastAsia="cs-CZ"/>
        </w:rPr>
        <w:t>e</w:t>
      </w:r>
      <w:r w:rsidRPr="002C310E">
        <w:rPr>
          <w:rFonts w:cstheme="minorHAnsi"/>
          <w:b/>
          <w:bCs/>
          <w:iCs/>
          <w:sz w:val="24"/>
          <w:szCs w:val="24"/>
          <w:lang w:eastAsia="cs-CZ"/>
        </w:rPr>
        <w:t xml:space="preserve"> </w:t>
      </w:r>
      <w:r w:rsidR="00C74F3B" w:rsidRPr="002C310E">
        <w:rPr>
          <w:rFonts w:cstheme="minorHAnsi"/>
          <w:b/>
          <w:bCs/>
          <w:iCs/>
          <w:sz w:val="24"/>
          <w:szCs w:val="24"/>
          <w:lang w:eastAsia="cs-CZ"/>
        </w:rPr>
        <w:t>nevypovídal</w:t>
      </w:r>
      <w:r w:rsidR="00883488" w:rsidRPr="002C310E">
        <w:rPr>
          <w:rFonts w:cstheme="minorHAnsi"/>
          <w:b/>
          <w:bCs/>
          <w:iCs/>
          <w:sz w:val="24"/>
          <w:szCs w:val="24"/>
          <w:lang w:eastAsia="cs-CZ"/>
        </w:rPr>
        <w:t>y</w:t>
      </w:r>
      <w:r w:rsidR="00C74F3B" w:rsidRPr="002C310E">
        <w:rPr>
          <w:rFonts w:cstheme="minorHAnsi"/>
          <w:b/>
          <w:bCs/>
          <w:iCs/>
          <w:sz w:val="24"/>
          <w:szCs w:val="24"/>
          <w:lang w:eastAsia="cs-CZ"/>
        </w:rPr>
        <w:t xml:space="preserve"> o </w:t>
      </w:r>
      <w:r w:rsidR="00D97075">
        <w:rPr>
          <w:rFonts w:cstheme="minorHAnsi"/>
          <w:b/>
          <w:bCs/>
          <w:iCs/>
          <w:sz w:val="24"/>
          <w:szCs w:val="24"/>
          <w:lang w:eastAsia="cs-CZ"/>
        </w:rPr>
        <w:t>relevantních</w:t>
      </w:r>
      <w:r w:rsidR="008A43EA" w:rsidRPr="002C310E">
        <w:rPr>
          <w:rFonts w:cstheme="minorHAnsi"/>
          <w:b/>
          <w:bCs/>
          <w:iCs/>
          <w:sz w:val="24"/>
          <w:szCs w:val="24"/>
          <w:lang w:eastAsia="cs-CZ"/>
        </w:rPr>
        <w:t xml:space="preserve"> </w:t>
      </w:r>
      <w:r w:rsidR="00C70022" w:rsidRPr="002C310E">
        <w:rPr>
          <w:rFonts w:cstheme="minorHAnsi"/>
          <w:b/>
          <w:bCs/>
          <w:iCs/>
          <w:sz w:val="24"/>
          <w:szCs w:val="24"/>
          <w:lang w:eastAsia="cs-CZ"/>
        </w:rPr>
        <w:t>výstupech</w:t>
      </w:r>
      <w:r w:rsidR="00883488" w:rsidRPr="002C310E">
        <w:rPr>
          <w:rFonts w:cstheme="minorHAnsi"/>
          <w:b/>
          <w:bCs/>
          <w:iCs/>
          <w:sz w:val="24"/>
          <w:szCs w:val="24"/>
          <w:lang w:eastAsia="cs-CZ"/>
        </w:rPr>
        <w:t xml:space="preserve"> nebo výsledcích projektu</w:t>
      </w:r>
    </w:p>
    <w:p w14:paraId="181C3C10" w14:textId="77777777" w:rsidR="00257AD9" w:rsidRPr="002C310E" w:rsidRDefault="00F04DCF" w:rsidP="00733FC4">
      <w:pPr>
        <w:pBdr>
          <w:top w:val="single" w:sz="4" w:space="1" w:color="auto"/>
          <w:left w:val="single" w:sz="4" w:space="4" w:color="auto"/>
          <w:bottom w:val="single" w:sz="4" w:space="1" w:color="auto"/>
          <w:right w:val="single" w:sz="4" w:space="4" w:color="auto"/>
        </w:pBdr>
        <w:spacing w:after="0" w:line="240" w:lineRule="auto"/>
        <w:jc w:val="both"/>
        <w:rPr>
          <w:rFonts w:cstheme="minorHAnsi"/>
          <w:bCs/>
          <w:i/>
          <w:iCs/>
          <w:sz w:val="24"/>
          <w:szCs w:val="24"/>
          <w:lang w:eastAsia="cs-CZ"/>
        </w:rPr>
      </w:pPr>
      <w:r w:rsidRPr="002C310E">
        <w:rPr>
          <w:rFonts w:cstheme="minorHAnsi"/>
          <w:bCs/>
          <w:i/>
          <w:iCs/>
          <w:sz w:val="24"/>
          <w:szCs w:val="24"/>
          <w:lang w:eastAsia="cs-CZ"/>
        </w:rPr>
        <w:t xml:space="preserve">Cílem projektu ISF/10/01 – Specializované pracoviště národního centra pro kontrolu dokladů bylo přispět ke zvýšení efektivity Policie ČR při odhalování neregulérních dokladů v rámci kontroly vnějších hranic schengenského prostoru. Toho mělo být dosaženo </w:t>
      </w:r>
      <w:r w:rsidR="00893DC3" w:rsidRPr="002C310E">
        <w:rPr>
          <w:rFonts w:cstheme="minorHAnsi"/>
          <w:bCs/>
          <w:i/>
          <w:iCs/>
          <w:sz w:val="24"/>
          <w:szCs w:val="24"/>
          <w:lang w:eastAsia="cs-CZ"/>
        </w:rPr>
        <w:t xml:space="preserve">a) </w:t>
      </w:r>
      <w:r w:rsidRPr="002C310E">
        <w:rPr>
          <w:rFonts w:cstheme="minorHAnsi"/>
          <w:bCs/>
          <w:i/>
          <w:iCs/>
          <w:sz w:val="24"/>
          <w:szCs w:val="24"/>
          <w:lang w:eastAsia="cs-CZ"/>
        </w:rPr>
        <w:t xml:space="preserve">modernizací specializovaného pracoviště pro odhalování neregulérních dokladů v rámci Národního centra pro kontrolu dokladů, </w:t>
      </w:r>
      <w:r w:rsidR="00893DC3" w:rsidRPr="002C310E">
        <w:rPr>
          <w:rFonts w:cstheme="minorHAnsi"/>
          <w:bCs/>
          <w:i/>
          <w:iCs/>
          <w:sz w:val="24"/>
          <w:szCs w:val="24"/>
          <w:lang w:eastAsia="cs-CZ"/>
        </w:rPr>
        <w:t xml:space="preserve">b) </w:t>
      </w:r>
      <w:r w:rsidRPr="002C310E">
        <w:rPr>
          <w:rFonts w:cstheme="minorHAnsi"/>
          <w:bCs/>
          <w:i/>
          <w:iCs/>
          <w:sz w:val="24"/>
          <w:szCs w:val="24"/>
          <w:lang w:eastAsia="cs-CZ"/>
        </w:rPr>
        <w:t>rekonstrukcí školicího střediska (místnosti) a </w:t>
      </w:r>
      <w:r w:rsidR="00893DC3" w:rsidRPr="002C310E">
        <w:rPr>
          <w:rFonts w:cstheme="minorHAnsi"/>
          <w:bCs/>
          <w:i/>
          <w:iCs/>
          <w:sz w:val="24"/>
          <w:szCs w:val="24"/>
          <w:lang w:eastAsia="cs-CZ"/>
        </w:rPr>
        <w:t xml:space="preserve">c) </w:t>
      </w:r>
      <w:r w:rsidRPr="002C310E">
        <w:rPr>
          <w:rFonts w:cstheme="minorHAnsi"/>
          <w:bCs/>
          <w:i/>
          <w:iCs/>
          <w:sz w:val="24"/>
          <w:szCs w:val="24"/>
          <w:lang w:eastAsia="cs-CZ"/>
        </w:rPr>
        <w:t xml:space="preserve">pořízením speciálního vybavení pro rozpoznání neregulérních dokladů. Celkové náklady na projekt činí 12 mil. Kč (projekt nebyl </w:t>
      </w:r>
      <w:r w:rsidR="009977F8" w:rsidRPr="002C310E">
        <w:rPr>
          <w:rFonts w:cstheme="minorHAnsi"/>
          <w:bCs/>
          <w:i/>
          <w:iCs/>
          <w:sz w:val="24"/>
          <w:szCs w:val="24"/>
          <w:lang w:eastAsia="cs-CZ"/>
        </w:rPr>
        <w:t>v době ukončení kontroly dokončen)</w:t>
      </w:r>
      <w:r w:rsidRPr="002C310E">
        <w:rPr>
          <w:rFonts w:cstheme="minorHAnsi"/>
          <w:bCs/>
          <w:i/>
          <w:iCs/>
          <w:sz w:val="24"/>
          <w:szCs w:val="24"/>
          <w:lang w:eastAsia="cs-CZ"/>
        </w:rPr>
        <w:t>.</w:t>
      </w:r>
    </w:p>
    <w:p w14:paraId="0E38FB8C" w14:textId="0CDA91E4" w:rsidR="00A912C7" w:rsidRPr="002C310E" w:rsidRDefault="00F04DCF" w:rsidP="00733FC4">
      <w:pPr>
        <w:pBdr>
          <w:top w:val="single" w:sz="4" w:space="1" w:color="auto"/>
          <w:left w:val="single" w:sz="4" w:space="4" w:color="auto"/>
          <w:bottom w:val="single" w:sz="4" w:space="1" w:color="auto"/>
          <w:right w:val="single" w:sz="4" w:space="4" w:color="auto"/>
        </w:pBdr>
        <w:spacing w:after="0" w:line="240" w:lineRule="auto"/>
        <w:jc w:val="both"/>
        <w:rPr>
          <w:rFonts w:cstheme="minorHAnsi"/>
          <w:bCs/>
          <w:i/>
          <w:iCs/>
          <w:sz w:val="24"/>
          <w:szCs w:val="24"/>
          <w:lang w:eastAsia="cs-CZ"/>
        </w:rPr>
      </w:pPr>
      <w:r w:rsidRPr="002C310E">
        <w:rPr>
          <w:rFonts w:cstheme="minorHAnsi"/>
          <w:bCs/>
          <w:i/>
          <w:iCs/>
          <w:sz w:val="24"/>
          <w:szCs w:val="24"/>
          <w:lang w:eastAsia="cs-CZ"/>
        </w:rPr>
        <w:t xml:space="preserve">NKÚ zjistil, že stanovený </w:t>
      </w:r>
      <w:r w:rsidR="00D6661A" w:rsidRPr="002C310E">
        <w:rPr>
          <w:rFonts w:cstheme="minorHAnsi"/>
          <w:bCs/>
          <w:i/>
          <w:iCs/>
          <w:sz w:val="24"/>
          <w:szCs w:val="24"/>
          <w:lang w:eastAsia="cs-CZ"/>
        </w:rPr>
        <w:t xml:space="preserve">hlavní </w:t>
      </w:r>
      <w:r w:rsidRPr="002C310E">
        <w:rPr>
          <w:rFonts w:cstheme="minorHAnsi"/>
          <w:bCs/>
          <w:i/>
          <w:iCs/>
          <w:sz w:val="24"/>
          <w:szCs w:val="24"/>
          <w:lang w:eastAsia="cs-CZ"/>
        </w:rPr>
        <w:t>cíl projektu „</w:t>
      </w:r>
      <w:r w:rsidR="00AE2B78">
        <w:rPr>
          <w:rFonts w:cstheme="minorHAnsi"/>
          <w:bCs/>
          <w:i/>
          <w:iCs/>
          <w:sz w:val="24"/>
          <w:szCs w:val="24"/>
          <w:lang w:eastAsia="cs-CZ"/>
        </w:rPr>
        <w:t>z</w:t>
      </w:r>
      <w:r w:rsidRPr="002C310E">
        <w:rPr>
          <w:rFonts w:cstheme="minorHAnsi"/>
          <w:bCs/>
          <w:i/>
          <w:iCs/>
          <w:sz w:val="24"/>
          <w:szCs w:val="24"/>
          <w:lang w:eastAsia="cs-CZ"/>
        </w:rPr>
        <w:t>výšit schopnost Policie ČR odhalovat neregulérní doklady v rámci kontroly vnější hranice“</w:t>
      </w:r>
      <w:r w:rsidR="006E62BA" w:rsidRPr="002C310E">
        <w:rPr>
          <w:rFonts w:cstheme="minorHAnsi"/>
          <w:bCs/>
          <w:i/>
          <w:iCs/>
          <w:sz w:val="24"/>
          <w:szCs w:val="24"/>
          <w:lang w:eastAsia="cs-CZ"/>
        </w:rPr>
        <w:t xml:space="preserve"> nebyl stanoven jako měřitelný. Naplnění hlavního cíle mělo být měřeno prostřednictvím ukazatelů, u kterých však nebyly stanoveny jejich počáteční ani cílové hodnoty.</w:t>
      </w:r>
      <w:r w:rsidR="00893DC3" w:rsidRPr="002C310E">
        <w:rPr>
          <w:rFonts w:cstheme="minorHAnsi"/>
          <w:bCs/>
          <w:i/>
          <w:iCs/>
          <w:sz w:val="24"/>
          <w:szCs w:val="24"/>
          <w:lang w:eastAsia="cs-CZ"/>
        </w:rPr>
        <w:t xml:space="preserve"> </w:t>
      </w:r>
      <w:r w:rsidRPr="002C310E">
        <w:rPr>
          <w:rFonts w:cstheme="minorHAnsi"/>
          <w:bCs/>
          <w:i/>
          <w:iCs/>
          <w:sz w:val="24"/>
          <w:szCs w:val="24"/>
          <w:lang w:eastAsia="cs-CZ"/>
        </w:rPr>
        <w:t xml:space="preserve">Po ukončení projektu bude </w:t>
      </w:r>
      <w:r w:rsidR="00893DC3" w:rsidRPr="002C310E">
        <w:rPr>
          <w:rFonts w:cstheme="minorHAnsi"/>
          <w:bCs/>
          <w:i/>
          <w:iCs/>
          <w:sz w:val="24"/>
          <w:szCs w:val="24"/>
          <w:lang w:eastAsia="cs-CZ"/>
        </w:rPr>
        <w:t xml:space="preserve">hlavní cíl </w:t>
      </w:r>
      <w:r w:rsidRPr="002C310E">
        <w:rPr>
          <w:rFonts w:cstheme="minorHAnsi"/>
          <w:bCs/>
          <w:i/>
          <w:iCs/>
          <w:sz w:val="24"/>
          <w:szCs w:val="24"/>
          <w:lang w:eastAsia="cs-CZ"/>
        </w:rPr>
        <w:t>obtížně vyhodnotitelný, neboť nebyly stanoveny žádné kvantifikova</w:t>
      </w:r>
      <w:r w:rsidR="006F6892" w:rsidRPr="002C310E">
        <w:rPr>
          <w:rFonts w:cstheme="minorHAnsi"/>
          <w:bCs/>
          <w:i/>
          <w:iCs/>
          <w:sz w:val="24"/>
          <w:szCs w:val="24"/>
          <w:lang w:eastAsia="cs-CZ"/>
        </w:rPr>
        <w:t>tel</w:t>
      </w:r>
      <w:r w:rsidRPr="002C310E">
        <w:rPr>
          <w:rFonts w:cstheme="minorHAnsi"/>
          <w:bCs/>
          <w:i/>
          <w:iCs/>
          <w:sz w:val="24"/>
          <w:szCs w:val="24"/>
          <w:lang w:eastAsia="cs-CZ"/>
        </w:rPr>
        <w:t xml:space="preserve">né údaje, </w:t>
      </w:r>
      <w:r w:rsidR="00CF0DAA">
        <w:rPr>
          <w:rFonts w:cstheme="minorHAnsi"/>
          <w:bCs/>
          <w:i/>
          <w:iCs/>
          <w:sz w:val="24"/>
          <w:szCs w:val="24"/>
          <w:lang w:eastAsia="cs-CZ"/>
        </w:rPr>
        <w:t xml:space="preserve">jejichž </w:t>
      </w:r>
      <w:r w:rsidRPr="002C310E">
        <w:rPr>
          <w:rFonts w:cstheme="minorHAnsi"/>
          <w:bCs/>
          <w:i/>
          <w:iCs/>
          <w:sz w:val="24"/>
          <w:szCs w:val="24"/>
          <w:lang w:eastAsia="cs-CZ"/>
        </w:rPr>
        <w:t xml:space="preserve">pomocí by </w:t>
      </w:r>
      <w:r w:rsidR="00E5204D" w:rsidRPr="002C310E">
        <w:rPr>
          <w:rFonts w:cstheme="minorHAnsi"/>
          <w:bCs/>
          <w:i/>
          <w:iCs/>
          <w:sz w:val="24"/>
          <w:szCs w:val="24"/>
          <w:lang w:eastAsia="cs-CZ"/>
        </w:rPr>
        <w:t>bylo možné naplnění</w:t>
      </w:r>
      <w:r w:rsidR="00CF0DAA">
        <w:rPr>
          <w:rFonts w:cstheme="minorHAnsi"/>
          <w:bCs/>
          <w:i/>
          <w:iCs/>
          <w:sz w:val="24"/>
          <w:szCs w:val="24"/>
          <w:lang w:eastAsia="cs-CZ"/>
        </w:rPr>
        <w:t xml:space="preserve"> projektu</w:t>
      </w:r>
      <w:r w:rsidR="00E5204D" w:rsidRPr="002C310E">
        <w:rPr>
          <w:rFonts w:cstheme="minorHAnsi"/>
          <w:bCs/>
          <w:i/>
          <w:iCs/>
          <w:sz w:val="24"/>
          <w:szCs w:val="24"/>
          <w:lang w:eastAsia="cs-CZ"/>
        </w:rPr>
        <w:t xml:space="preserve"> měřit. </w:t>
      </w:r>
      <w:r w:rsidR="00C51A2E">
        <w:rPr>
          <w:rFonts w:cstheme="minorHAnsi"/>
          <w:bCs/>
          <w:i/>
          <w:iCs/>
          <w:sz w:val="24"/>
          <w:szCs w:val="24"/>
          <w:lang w:eastAsia="cs-CZ"/>
        </w:rPr>
        <w:t xml:space="preserve">Navíc vypovídací schopnost jediného povinného monitorovacího ukazatele byla pro hodnocení účelnosti projektu v podstatě </w:t>
      </w:r>
      <w:r w:rsidR="006451E9">
        <w:rPr>
          <w:rFonts w:cstheme="minorHAnsi"/>
          <w:bCs/>
          <w:i/>
          <w:iCs/>
          <w:sz w:val="24"/>
          <w:szCs w:val="24"/>
          <w:lang w:eastAsia="cs-CZ"/>
        </w:rPr>
        <w:t>nulová. T</w:t>
      </w:r>
      <w:r w:rsidR="00C51A2E">
        <w:rPr>
          <w:rFonts w:cstheme="minorHAnsi"/>
          <w:bCs/>
          <w:i/>
          <w:iCs/>
          <w:sz w:val="24"/>
          <w:szCs w:val="24"/>
          <w:lang w:eastAsia="cs-CZ"/>
        </w:rPr>
        <w:t>ím</w:t>
      </w:r>
      <w:r w:rsidR="00A30514">
        <w:rPr>
          <w:rFonts w:cstheme="minorHAnsi"/>
          <w:bCs/>
          <w:i/>
          <w:iCs/>
          <w:sz w:val="24"/>
          <w:szCs w:val="24"/>
          <w:lang w:eastAsia="cs-CZ"/>
        </w:rPr>
        <w:t>to</w:t>
      </w:r>
      <w:r w:rsidR="00C51A2E">
        <w:rPr>
          <w:rFonts w:cstheme="minorHAnsi"/>
          <w:bCs/>
          <w:i/>
          <w:iCs/>
          <w:sz w:val="24"/>
          <w:szCs w:val="24"/>
          <w:lang w:eastAsia="cs-CZ"/>
        </w:rPr>
        <w:t xml:space="preserve"> ukazatelem </w:t>
      </w:r>
      <w:r w:rsidR="00883488" w:rsidRPr="002C310E">
        <w:rPr>
          <w:rFonts w:cstheme="minorHAnsi"/>
          <w:bCs/>
          <w:i/>
          <w:iCs/>
          <w:sz w:val="24"/>
          <w:szCs w:val="24"/>
          <w:lang w:eastAsia="cs-CZ"/>
        </w:rPr>
        <w:t>výstupu</w:t>
      </w:r>
      <w:r w:rsidR="00893DC3" w:rsidRPr="002C310E">
        <w:rPr>
          <w:rFonts w:cstheme="minorHAnsi"/>
          <w:bCs/>
          <w:i/>
          <w:iCs/>
          <w:sz w:val="24"/>
          <w:szCs w:val="24"/>
          <w:lang w:eastAsia="cs-CZ"/>
        </w:rPr>
        <w:t xml:space="preserve"> </w:t>
      </w:r>
      <w:r w:rsidR="00C51A2E">
        <w:rPr>
          <w:rFonts w:cstheme="minorHAnsi"/>
          <w:bCs/>
          <w:i/>
          <w:iCs/>
          <w:sz w:val="24"/>
          <w:szCs w:val="24"/>
          <w:lang w:eastAsia="cs-CZ"/>
        </w:rPr>
        <w:t xml:space="preserve">byl </w:t>
      </w:r>
      <w:r w:rsidR="009A07A6" w:rsidRPr="00CF0DAA">
        <w:rPr>
          <w:rFonts w:cstheme="minorHAnsi"/>
          <w:bCs/>
          <w:i/>
          <w:iCs/>
          <w:sz w:val="24"/>
          <w:szCs w:val="24"/>
          <w:lang w:eastAsia="cs-CZ"/>
        </w:rPr>
        <w:t>„</w:t>
      </w:r>
      <w:r w:rsidR="00CF0DAA">
        <w:rPr>
          <w:rFonts w:cstheme="minorHAnsi"/>
          <w:bCs/>
          <w:i/>
          <w:iCs/>
          <w:sz w:val="24"/>
          <w:szCs w:val="24"/>
          <w:lang w:eastAsia="cs-CZ"/>
        </w:rPr>
        <w:t>p</w:t>
      </w:r>
      <w:r w:rsidR="009A07A6" w:rsidRPr="002C310E">
        <w:rPr>
          <w:rFonts w:cstheme="minorHAnsi"/>
          <w:bCs/>
          <w:i/>
          <w:iCs/>
          <w:sz w:val="24"/>
          <w:szCs w:val="24"/>
          <w:lang w:eastAsia="cs-CZ"/>
        </w:rPr>
        <w:t xml:space="preserve">očet </w:t>
      </w:r>
      <w:r w:rsidR="009A07A6" w:rsidRPr="002C310E">
        <w:rPr>
          <w:rFonts w:cstheme="minorHAnsi"/>
          <w:bCs/>
          <w:i/>
          <w:iCs/>
          <w:sz w:val="24"/>
          <w:szCs w:val="24"/>
          <w:lang w:eastAsia="cs-CZ"/>
        </w:rPr>
        <w:lastRenderedPageBreak/>
        <w:t xml:space="preserve">infrastruktur ochrany hranic </w:t>
      </w:r>
      <w:r w:rsidR="00C51A2E">
        <w:rPr>
          <w:rFonts w:cstheme="minorHAnsi"/>
          <w:bCs/>
          <w:i/>
          <w:iCs/>
          <w:sz w:val="24"/>
          <w:szCs w:val="24"/>
          <w:lang w:eastAsia="cs-CZ"/>
        </w:rPr>
        <w:t>(kontrola a ostraha) zřízených nebo modernizovaných</w:t>
      </w:r>
      <w:r w:rsidR="006451E9">
        <w:rPr>
          <w:rFonts w:cstheme="minorHAnsi"/>
          <w:bCs/>
          <w:i/>
          <w:iCs/>
          <w:sz w:val="24"/>
          <w:szCs w:val="24"/>
          <w:lang w:eastAsia="cs-CZ"/>
        </w:rPr>
        <w:t xml:space="preserve"> za pomoci fondu</w:t>
      </w:r>
      <w:r w:rsidR="009A07A6" w:rsidRPr="002C310E">
        <w:rPr>
          <w:rFonts w:cstheme="minorHAnsi"/>
          <w:bCs/>
          <w:i/>
          <w:iCs/>
          <w:sz w:val="24"/>
          <w:szCs w:val="24"/>
          <w:lang w:eastAsia="cs-CZ"/>
        </w:rPr>
        <w:t>“</w:t>
      </w:r>
      <w:r w:rsidR="006451E9">
        <w:rPr>
          <w:rFonts w:cstheme="minorHAnsi"/>
          <w:bCs/>
          <w:i/>
          <w:iCs/>
          <w:sz w:val="24"/>
          <w:szCs w:val="24"/>
          <w:lang w:eastAsia="cs-CZ"/>
        </w:rPr>
        <w:t>, který se zvýšil z počáteční hodnoty 0 na cílovou 1, tedy pouze uváděl, že projekt byl realizován.</w:t>
      </w:r>
      <w:r w:rsidR="00883488" w:rsidRPr="002C310E">
        <w:rPr>
          <w:rFonts w:cstheme="minorHAnsi"/>
          <w:bCs/>
          <w:i/>
          <w:iCs/>
          <w:sz w:val="24"/>
          <w:szCs w:val="24"/>
          <w:lang w:eastAsia="cs-CZ"/>
        </w:rPr>
        <w:t xml:space="preserve"> </w:t>
      </w:r>
      <w:r w:rsidRPr="002C310E">
        <w:rPr>
          <w:rFonts w:cstheme="minorHAnsi"/>
          <w:bCs/>
          <w:i/>
          <w:iCs/>
          <w:sz w:val="24"/>
          <w:szCs w:val="24"/>
          <w:lang w:eastAsia="cs-CZ"/>
        </w:rPr>
        <w:t>U projektu nebyl stanoven žádný jiný (nepovinný) monitorovací ukazatel, který by lépe vypovídal o</w:t>
      </w:r>
      <w:r w:rsidR="00EF662A">
        <w:rPr>
          <w:rFonts w:cstheme="minorHAnsi"/>
          <w:bCs/>
          <w:i/>
          <w:iCs/>
          <w:sz w:val="24"/>
          <w:szCs w:val="24"/>
          <w:lang w:eastAsia="cs-CZ"/>
        </w:rPr>
        <w:t> </w:t>
      </w:r>
      <w:r w:rsidRPr="002C310E">
        <w:rPr>
          <w:rFonts w:cstheme="minorHAnsi"/>
          <w:bCs/>
          <w:i/>
          <w:iCs/>
          <w:sz w:val="24"/>
          <w:szCs w:val="24"/>
          <w:lang w:eastAsia="cs-CZ"/>
        </w:rPr>
        <w:t>výstupech</w:t>
      </w:r>
      <w:r w:rsidR="006451E9">
        <w:rPr>
          <w:rFonts w:cstheme="minorHAnsi"/>
          <w:bCs/>
          <w:i/>
          <w:iCs/>
          <w:sz w:val="24"/>
          <w:szCs w:val="24"/>
          <w:lang w:eastAsia="cs-CZ"/>
        </w:rPr>
        <w:t xml:space="preserve"> projektu, např. kvantitativní a kvalitativní parametry přístrojů k detekci neregulérních dokladů,</w:t>
      </w:r>
      <w:r w:rsidRPr="002C310E">
        <w:rPr>
          <w:rFonts w:cstheme="minorHAnsi"/>
          <w:bCs/>
          <w:i/>
          <w:iCs/>
          <w:sz w:val="24"/>
          <w:szCs w:val="24"/>
          <w:lang w:eastAsia="cs-CZ"/>
        </w:rPr>
        <w:t xml:space="preserve"> </w:t>
      </w:r>
      <w:r w:rsidR="00D87AB3" w:rsidRPr="002C310E">
        <w:rPr>
          <w:rFonts w:cstheme="minorHAnsi"/>
          <w:bCs/>
          <w:i/>
          <w:iCs/>
          <w:sz w:val="24"/>
          <w:szCs w:val="24"/>
          <w:lang w:eastAsia="cs-CZ"/>
        </w:rPr>
        <w:t>nebo</w:t>
      </w:r>
      <w:r w:rsidR="004B3531" w:rsidRPr="002C310E">
        <w:rPr>
          <w:rFonts w:cstheme="minorHAnsi"/>
          <w:bCs/>
          <w:i/>
          <w:iCs/>
          <w:sz w:val="24"/>
          <w:szCs w:val="24"/>
          <w:lang w:eastAsia="cs-CZ"/>
        </w:rPr>
        <w:t xml:space="preserve"> </w:t>
      </w:r>
      <w:r w:rsidR="00A30514">
        <w:rPr>
          <w:rFonts w:cstheme="minorHAnsi"/>
          <w:bCs/>
          <w:i/>
          <w:iCs/>
          <w:sz w:val="24"/>
          <w:szCs w:val="24"/>
          <w:lang w:eastAsia="cs-CZ"/>
        </w:rPr>
        <w:t>o </w:t>
      </w:r>
      <w:r w:rsidR="004B3531" w:rsidRPr="002C310E">
        <w:rPr>
          <w:rFonts w:cstheme="minorHAnsi"/>
          <w:bCs/>
          <w:i/>
          <w:iCs/>
          <w:sz w:val="24"/>
          <w:szCs w:val="24"/>
          <w:lang w:eastAsia="cs-CZ"/>
        </w:rPr>
        <w:t xml:space="preserve">výsledcích </w:t>
      </w:r>
      <w:r w:rsidR="006451E9">
        <w:rPr>
          <w:rFonts w:cstheme="minorHAnsi"/>
          <w:bCs/>
          <w:i/>
          <w:iCs/>
          <w:sz w:val="24"/>
          <w:szCs w:val="24"/>
          <w:lang w:eastAsia="cs-CZ"/>
        </w:rPr>
        <w:t>navazujících na očekávané přínosy projektu, které MV definovalo jen obecně</w:t>
      </w:r>
      <w:r w:rsidR="00A30514">
        <w:rPr>
          <w:rFonts w:cstheme="minorHAnsi"/>
          <w:bCs/>
          <w:i/>
          <w:iCs/>
          <w:sz w:val="24"/>
          <w:szCs w:val="24"/>
          <w:lang w:eastAsia="cs-CZ"/>
        </w:rPr>
        <w:t>,</w:t>
      </w:r>
      <w:r w:rsidR="006451E9">
        <w:rPr>
          <w:rFonts w:cstheme="minorHAnsi"/>
          <w:bCs/>
          <w:i/>
          <w:iCs/>
          <w:sz w:val="24"/>
          <w:szCs w:val="24"/>
          <w:lang w:eastAsia="cs-CZ"/>
        </w:rPr>
        <w:t xml:space="preserve"> jako např. „zvýšení odborných kompetencí“ či „rozšíření databáze dokladů“</w:t>
      </w:r>
      <w:r w:rsidRPr="002C310E">
        <w:rPr>
          <w:rFonts w:cstheme="minorHAnsi"/>
          <w:bCs/>
          <w:i/>
          <w:iCs/>
          <w:sz w:val="24"/>
          <w:szCs w:val="24"/>
          <w:lang w:eastAsia="cs-CZ"/>
        </w:rPr>
        <w:t>.</w:t>
      </w:r>
      <w:r w:rsidR="003746B9" w:rsidRPr="002C310E">
        <w:rPr>
          <w:rFonts w:cstheme="minorHAnsi"/>
          <w:bCs/>
          <w:i/>
          <w:iCs/>
          <w:sz w:val="24"/>
          <w:szCs w:val="24"/>
          <w:lang w:eastAsia="cs-CZ"/>
        </w:rPr>
        <w:t xml:space="preserve"> </w:t>
      </w:r>
      <w:r w:rsidRPr="002C310E">
        <w:rPr>
          <w:rFonts w:cstheme="minorHAnsi"/>
          <w:bCs/>
          <w:i/>
          <w:iCs/>
          <w:sz w:val="24"/>
          <w:szCs w:val="24"/>
          <w:lang w:eastAsia="cs-CZ"/>
        </w:rPr>
        <w:t>NKÚ proto</w:t>
      </w:r>
      <w:r w:rsidR="00E746D7" w:rsidRPr="002C310E">
        <w:rPr>
          <w:rFonts w:cstheme="minorHAnsi"/>
          <w:bCs/>
          <w:i/>
          <w:iCs/>
          <w:sz w:val="24"/>
          <w:szCs w:val="24"/>
          <w:lang w:eastAsia="cs-CZ"/>
        </w:rPr>
        <w:t xml:space="preserve"> tyto nedostatky na straně navrhovatele (Policejn</w:t>
      </w:r>
      <w:r w:rsidR="00F86360" w:rsidRPr="002C310E">
        <w:rPr>
          <w:rFonts w:cstheme="minorHAnsi"/>
          <w:bCs/>
          <w:i/>
          <w:iCs/>
          <w:sz w:val="24"/>
          <w:szCs w:val="24"/>
          <w:lang w:eastAsia="cs-CZ"/>
        </w:rPr>
        <w:t>í</w:t>
      </w:r>
      <w:r w:rsidR="00E746D7" w:rsidRPr="002C310E">
        <w:rPr>
          <w:rFonts w:cstheme="minorHAnsi"/>
          <w:bCs/>
          <w:i/>
          <w:iCs/>
          <w:sz w:val="24"/>
          <w:szCs w:val="24"/>
          <w:lang w:eastAsia="cs-CZ"/>
        </w:rPr>
        <w:t xml:space="preserve"> prez</w:t>
      </w:r>
      <w:r w:rsidR="00FC12CC">
        <w:rPr>
          <w:rFonts w:cstheme="minorHAnsi"/>
          <w:bCs/>
          <w:i/>
          <w:iCs/>
          <w:sz w:val="24"/>
          <w:szCs w:val="24"/>
          <w:lang w:eastAsia="cs-CZ"/>
        </w:rPr>
        <w:t>i</w:t>
      </w:r>
      <w:r w:rsidR="00E746D7" w:rsidRPr="002C310E">
        <w:rPr>
          <w:rFonts w:cstheme="minorHAnsi"/>
          <w:bCs/>
          <w:i/>
          <w:iCs/>
          <w:sz w:val="24"/>
          <w:szCs w:val="24"/>
          <w:lang w:eastAsia="cs-CZ"/>
        </w:rPr>
        <w:t>dium</w:t>
      </w:r>
      <w:r w:rsidR="00AE2B78">
        <w:rPr>
          <w:rFonts w:cstheme="minorHAnsi"/>
          <w:bCs/>
          <w:i/>
          <w:iCs/>
          <w:sz w:val="24"/>
          <w:szCs w:val="24"/>
          <w:lang w:eastAsia="cs-CZ"/>
        </w:rPr>
        <w:t xml:space="preserve"> ČR</w:t>
      </w:r>
      <w:r w:rsidR="00E746D7" w:rsidRPr="002C310E">
        <w:rPr>
          <w:rFonts w:cstheme="minorHAnsi"/>
          <w:bCs/>
          <w:i/>
          <w:iCs/>
          <w:sz w:val="24"/>
          <w:szCs w:val="24"/>
          <w:lang w:eastAsia="cs-CZ"/>
        </w:rPr>
        <w:t xml:space="preserve"> jako složka MV) a poskytovatele, který projekt schválil (MV)</w:t>
      </w:r>
      <w:r w:rsidR="00D6350E">
        <w:rPr>
          <w:rFonts w:cstheme="minorHAnsi"/>
          <w:bCs/>
          <w:i/>
          <w:iCs/>
          <w:sz w:val="24"/>
          <w:szCs w:val="24"/>
          <w:lang w:eastAsia="cs-CZ"/>
        </w:rPr>
        <w:t>,</w:t>
      </w:r>
      <w:r w:rsidR="00E746D7" w:rsidRPr="002C310E">
        <w:rPr>
          <w:rFonts w:cstheme="minorHAnsi"/>
          <w:bCs/>
          <w:i/>
          <w:iCs/>
          <w:sz w:val="24"/>
          <w:szCs w:val="24"/>
          <w:lang w:eastAsia="cs-CZ"/>
        </w:rPr>
        <w:t xml:space="preserve"> posoudil jako rizika pro účelné vynaložení prostředků a</w:t>
      </w:r>
      <w:r w:rsidRPr="002C310E">
        <w:rPr>
          <w:rFonts w:cstheme="minorHAnsi"/>
          <w:bCs/>
          <w:i/>
          <w:iCs/>
          <w:sz w:val="24"/>
          <w:szCs w:val="24"/>
          <w:lang w:eastAsia="cs-CZ"/>
        </w:rPr>
        <w:t xml:space="preserve"> vyhodnotil</w:t>
      </w:r>
      <w:r w:rsidR="00B66009" w:rsidRPr="002C310E">
        <w:rPr>
          <w:rFonts w:cstheme="minorHAnsi"/>
          <w:bCs/>
          <w:i/>
          <w:iCs/>
          <w:sz w:val="24"/>
          <w:szCs w:val="24"/>
          <w:lang w:eastAsia="cs-CZ"/>
        </w:rPr>
        <w:t xml:space="preserve"> </w:t>
      </w:r>
      <w:r w:rsidRPr="002C310E">
        <w:rPr>
          <w:rFonts w:cstheme="minorHAnsi"/>
          <w:bCs/>
          <w:i/>
          <w:iCs/>
          <w:sz w:val="24"/>
          <w:szCs w:val="24"/>
          <w:lang w:eastAsia="cs-CZ"/>
        </w:rPr>
        <w:t xml:space="preserve">projekt </w:t>
      </w:r>
      <w:r w:rsidR="00E746D7" w:rsidRPr="002C310E">
        <w:rPr>
          <w:rFonts w:cstheme="minorHAnsi"/>
          <w:bCs/>
          <w:i/>
          <w:iCs/>
          <w:sz w:val="24"/>
          <w:szCs w:val="24"/>
          <w:lang w:eastAsia="cs-CZ"/>
        </w:rPr>
        <w:t xml:space="preserve">jen </w:t>
      </w:r>
      <w:r w:rsidRPr="002C310E">
        <w:rPr>
          <w:rFonts w:cstheme="minorHAnsi"/>
          <w:bCs/>
          <w:i/>
          <w:iCs/>
          <w:sz w:val="24"/>
          <w:szCs w:val="24"/>
          <w:lang w:eastAsia="cs-CZ"/>
        </w:rPr>
        <w:t>jako omezeně účeln</w:t>
      </w:r>
      <w:r w:rsidR="00F86360" w:rsidRPr="002C310E">
        <w:rPr>
          <w:rFonts w:cstheme="minorHAnsi"/>
          <w:bCs/>
          <w:i/>
          <w:iCs/>
          <w:sz w:val="24"/>
          <w:szCs w:val="24"/>
          <w:lang w:eastAsia="cs-CZ"/>
        </w:rPr>
        <w:t>ý</w:t>
      </w:r>
      <w:r w:rsidRPr="002C310E">
        <w:rPr>
          <w:rFonts w:cstheme="minorHAnsi"/>
          <w:bCs/>
          <w:i/>
          <w:iCs/>
          <w:sz w:val="24"/>
          <w:szCs w:val="24"/>
          <w:lang w:eastAsia="cs-CZ"/>
        </w:rPr>
        <w:t>.</w:t>
      </w:r>
    </w:p>
    <w:p w14:paraId="3B16D325" w14:textId="77777777" w:rsidR="006669E3" w:rsidRPr="002C310E" w:rsidRDefault="00F04DCF" w:rsidP="00733FC4">
      <w:pPr>
        <w:spacing w:before="120" w:after="120" w:line="240" w:lineRule="auto"/>
        <w:jc w:val="both"/>
        <w:rPr>
          <w:rFonts w:cstheme="minorHAnsi"/>
          <w:b/>
          <w:color w:val="C00000"/>
          <w:sz w:val="24"/>
          <w:szCs w:val="24"/>
        </w:rPr>
      </w:pPr>
      <w:r w:rsidRPr="002C310E">
        <w:rPr>
          <w:rFonts w:cstheme="minorHAnsi"/>
          <w:b/>
          <w:color w:val="C00000"/>
          <w:sz w:val="24"/>
          <w:szCs w:val="24"/>
        </w:rPr>
        <w:t xml:space="preserve">→ </w:t>
      </w:r>
      <w:r w:rsidR="00CE61C3" w:rsidRPr="002C310E">
        <w:rPr>
          <w:rFonts w:cstheme="minorHAnsi"/>
          <w:b/>
          <w:color w:val="C00000"/>
          <w:sz w:val="24"/>
          <w:szCs w:val="24"/>
        </w:rPr>
        <w:t xml:space="preserve">Účelnost </w:t>
      </w:r>
      <w:r w:rsidR="00F4221F">
        <w:rPr>
          <w:rFonts w:cstheme="minorHAnsi"/>
          <w:b/>
          <w:color w:val="C00000"/>
          <w:sz w:val="24"/>
          <w:szCs w:val="24"/>
        </w:rPr>
        <w:t xml:space="preserve">vynaložených peněžních prostředků u </w:t>
      </w:r>
      <w:r w:rsidR="00CE61C3" w:rsidRPr="002C310E">
        <w:rPr>
          <w:rFonts w:cstheme="minorHAnsi"/>
          <w:b/>
          <w:color w:val="C00000"/>
          <w:sz w:val="24"/>
          <w:szCs w:val="24"/>
        </w:rPr>
        <w:t>č</w:t>
      </w:r>
      <w:r w:rsidR="004754BE" w:rsidRPr="002C310E">
        <w:rPr>
          <w:rFonts w:cstheme="minorHAnsi"/>
          <w:b/>
          <w:color w:val="C00000"/>
          <w:sz w:val="24"/>
          <w:szCs w:val="24"/>
        </w:rPr>
        <w:t>tyř z</w:t>
      </w:r>
      <w:r w:rsidR="00CE61C3" w:rsidRPr="002C310E">
        <w:rPr>
          <w:rFonts w:cstheme="minorHAnsi"/>
          <w:b/>
          <w:color w:val="C00000"/>
          <w:sz w:val="24"/>
          <w:szCs w:val="24"/>
        </w:rPr>
        <w:t xml:space="preserve">e sedmi </w:t>
      </w:r>
      <w:r w:rsidRPr="002C310E">
        <w:rPr>
          <w:rFonts w:cstheme="minorHAnsi"/>
          <w:b/>
          <w:color w:val="C00000"/>
          <w:sz w:val="24"/>
          <w:szCs w:val="24"/>
        </w:rPr>
        <w:t>vybraných projektů</w:t>
      </w:r>
      <w:r w:rsidR="00CE61C3" w:rsidRPr="002C310E">
        <w:rPr>
          <w:rFonts w:cstheme="minorHAnsi"/>
          <w:b/>
          <w:color w:val="C00000"/>
          <w:sz w:val="24"/>
          <w:szCs w:val="24"/>
        </w:rPr>
        <w:t xml:space="preserve"> NP ISF vyhodnotil N</w:t>
      </w:r>
      <w:r w:rsidR="00C63DE0" w:rsidRPr="002C310E">
        <w:rPr>
          <w:rFonts w:cstheme="minorHAnsi"/>
          <w:b/>
          <w:color w:val="C00000"/>
          <w:sz w:val="24"/>
          <w:szCs w:val="24"/>
        </w:rPr>
        <w:t>KÚ</w:t>
      </w:r>
      <w:r w:rsidR="00CE61C3" w:rsidRPr="002C310E">
        <w:rPr>
          <w:rFonts w:cstheme="minorHAnsi"/>
          <w:b/>
          <w:color w:val="C00000"/>
          <w:sz w:val="24"/>
          <w:szCs w:val="24"/>
        </w:rPr>
        <w:t xml:space="preserve"> </w:t>
      </w:r>
      <w:r w:rsidR="004754BE" w:rsidRPr="002C310E">
        <w:rPr>
          <w:rFonts w:cstheme="minorHAnsi"/>
          <w:b/>
          <w:color w:val="C00000"/>
          <w:sz w:val="24"/>
          <w:szCs w:val="24"/>
        </w:rPr>
        <w:t>s mírnými nedostatky</w:t>
      </w:r>
      <w:r w:rsidR="00C63DE0" w:rsidRPr="002C310E">
        <w:rPr>
          <w:rFonts w:cstheme="minorHAnsi"/>
          <w:b/>
          <w:color w:val="C00000"/>
          <w:sz w:val="24"/>
          <w:szCs w:val="24"/>
        </w:rPr>
        <w:t xml:space="preserve">, </w:t>
      </w:r>
      <w:r w:rsidR="00F4221F">
        <w:rPr>
          <w:rFonts w:cstheme="minorHAnsi"/>
          <w:b/>
          <w:color w:val="C00000"/>
          <w:sz w:val="24"/>
          <w:szCs w:val="24"/>
        </w:rPr>
        <w:t xml:space="preserve">u </w:t>
      </w:r>
      <w:r w:rsidR="006F49CB" w:rsidRPr="002C310E">
        <w:rPr>
          <w:rFonts w:cstheme="minorHAnsi"/>
          <w:b/>
          <w:color w:val="C00000"/>
          <w:sz w:val="24"/>
          <w:szCs w:val="24"/>
        </w:rPr>
        <w:t>dv</w:t>
      </w:r>
      <w:r w:rsidR="00CE61C3" w:rsidRPr="002C310E">
        <w:rPr>
          <w:rFonts w:cstheme="minorHAnsi"/>
          <w:b/>
          <w:color w:val="C00000"/>
          <w:sz w:val="24"/>
          <w:szCs w:val="24"/>
        </w:rPr>
        <w:t>ou</w:t>
      </w:r>
      <w:r w:rsidR="004754BE" w:rsidRPr="002C310E">
        <w:rPr>
          <w:rFonts w:cstheme="minorHAnsi"/>
          <w:b/>
          <w:color w:val="C00000"/>
          <w:sz w:val="24"/>
          <w:szCs w:val="24"/>
        </w:rPr>
        <w:t xml:space="preserve"> jako omezen</w:t>
      </w:r>
      <w:r w:rsidR="00CE61C3" w:rsidRPr="002C310E">
        <w:rPr>
          <w:rFonts w:cstheme="minorHAnsi"/>
          <w:b/>
          <w:color w:val="C00000"/>
          <w:sz w:val="24"/>
          <w:szCs w:val="24"/>
        </w:rPr>
        <w:t>ou</w:t>
      </w:r>
      <w:r w:rsidR="00C63DE0" w:rsidRPr="002C310E">
        <w:rPr>
          <w:rFonts w:cstheme="minorHAnsi"/>
          <w:b/>
          <w:color w:val="C00000"/>
          <w:sz w:val="24"/>
          <w:szCs w:val="24"/>
        </w:rPr>
        <w:t xml:space="preserve"> a u</w:t>
      </w:r>
      <w:r w:rsidRPr="002C310E">
        <w:rPr>
          <w:rFonts w:cstheme="minorHAnsi"/>
          <w:b/>
          <w:color w:val="C00000"/>
          <w:sz w:val="24"/>
          <w:szCs w:val="24"/>
        </w:rPr>
        <w:t xml:space="preserve"> jed</w:t>
      </w:r>
      <w:r w:rsidR="006F49CB" w:rsidRPr="002C310E">
        <w:rPr>
          <w:rFonts w:cstheme="minorHAnsi"/>
          <w:b/>
          <w:color w:val="C00000"/>
          <w:sz w:val="24"/>
          <w:szCs w:val="24"/>
        </w:rPr>
        <w:t>noho</w:t>
      </w:r>
      <w:r w:rsidRPr="002C310E">
        <w:rPr>
          <w:rFonts w:cstheme="minorHAnsi"/>
          <w:b/>
          <w:color w:val="C00000"/>
          <w:sz w:val="24"/>
          <w:szCs w:val="24"/>
        </w:rPr>
        <w:t xml:space="preserve"> projekt</w:t>
      </w:r>
      <w:r w:rsidR="006F49CB" w:rsidRPr="002C310E">
        <w:rPr>
          <w:rFonts w:cstheme="minorHAnsi"/>
          <w:b/>
          <w:color w:val="C00000"/>
          <w:sz w:val="24"/>
          <w:szCs w:val="24"/>
        </w:rPr>
        <w:t>u</w:t>
      </w:r>
      <w:r w:rsidRPr="002C310E">
        <w:rPr>
          <w:rFonts w:cstheme="minorHAnsi"/>
          <w:b/>
          <w:color w:val="C00000"/>
          <w:sz w:val="24"/>
          <w:szCs w:val="24"/>
        </w:rPr>
        <w:t xml:space="preserve"> nebyl</w:t>
      </w:r>
      <w:r w:rsidR="006F49CB" w:rsidRPr="002C310E">
        <w:rPr>
          <w:rFonts w:cstheme="minorHAnsi"/>
          <w:b/>
          <w:color w:val="C00000"/>
          <w:sz w:val="24"/>
          <w:szCs w:val="24"/>
        </w:rPr>
        <w:t>a</w:t>
      </w:r>
      <w:r w:rsidRPr="002C310E">
        <w:rPr>
          <w:rFonts w:cstheme="minorHAnsi"/>
          <w:b/>
          <w:color w:val="C00000"/>
          <w:sz w:val="24"/>
          <w:szCs w:val="24"/>
        </w:rPr>
        <w:t xml:space="preserve"> </w:t>
      </w:r>
      <w:r w:rsidR="00F10A0E" w:rsidRPr="002C310E">
        <w:rPr>
          <w:rFonts w:cstheme="minorHAnsi"/>
          <w:b/>
          <w:color w:val="C00000"/>
          <w:sz w:val="24"/>
          <w:szCs w:val="24"/>
        </w:rPr>
        <w:t xml:space="preserve">účelnost </w:t>
      </w:r>
      <w:r w:rsidRPr="002C310E">
        <w:rPr>
          <w:rFonts w:cstheme="minorHAnsi"/>
          <w:b/>
          <w:color w:val="C00000"/>
          <w:sz w:val="24"/>
          <w:szCs w:val="24"/>
        </w:rPr>
        <w:t>hodnocen</w:t>
      </w:r>
      <w:r w:rsidR="006F49CB" w:rsidRPr="002C310E">
        <w:rPr>
          <w:rFonts w:cstheme="minorHAnsi"/>
          <w:b/>
          <w:color w:val="C00000"/>
          <w:sz w:val="24"/>
          <w:szCs w:val="24"/>
        </w:rPr>
        <w:t>a</w:t>
      </w:r>
      <w:r w:rsidRPr="002C310E">
        <w:rPr>
          <w:rFonts w:cstheme="minorHAnsi"/>
          <w:b/>
          <w:color w:val="C00000"/>
          <w:sz w:val="24"/>
          <w:szCs w:val="24"/>
        </w:rPr>
        <w:t xml:space="preserve"> z důvodu </w:t>
      </w:r>
      <w:r w:rsidR="00F10A0E" w:rsidRPr="002C310E">
        <w:rPr>
          <w:rFonts w:cstheme="minorHAnsi"/>
          <w:b/>
          <w:color w:val="C00000"/>
          <w:sz w:val="24"/>
          <w:szCs w:val="24"/>
        </w:rPr>
        <w:t xml:space="preserve">jeho </w:t>
      </w:r>
      <w:r w:rsidRPr="002C310E">
        <w:rPr>
          <w:rFonts w:cstheme="minorHAnsi"/>
          <w:b/>
          <w:color w:val="C00000"/>
          <w:sz w:val="24"/>
          <w:szCs w:val="24"/>
        </w:rPr>
        <w:t>nedokončené realizace.</w:t>
      </w:r>
    </w:p>
    <w:p w14:paraId="75AF0F80" w14:textId="4894A1BD" w:rsidR="006669E3" w:rsidRPr="00B414E3" w:rsidRDefault="00F04DCF" w:rsidP="00733FC4">
      <w:pPr>
        <w:spacing w:after="120" w:line="240" w:lineRule="auto"/>
        <w:jc w:val="both"/>
        <w:rPr>
          <w:rFonts w:eastAsia="Times New Roman" w:cstheme="minorHAnsi"/>
          <w:color w:val="000000" w:themeColor="text1"/>
          <w:sz w:val="24"/>
          <w:szCs w:val="24"/>
        </w:rPr>
      </w:pPr>
      <w:r w:rsidRPr="00A159C0">
        <w:rPr>
          <w:rFonts w:eastAsia="Times New Roman" w:cstheme="minorHAnsi"/>
          <w:b/>
          <w:color w:val="000000" w:themeColor="text1"/>
          <w:sz w:val="24"/>
          <w:szCs w:val="24"/>
        </w:rPr>
        <w:t>4.1</w:t>
      </w:r>
      <w:r w:rsidR="000B1625" w:rsidRPr="00A159C0">
        <w:rPr>
          <w:rFonts w:eastAsia="Times New Roman" w:cstheme="minorHAnsi"/>
          <w:b/>
          <w:color w:val="000000" w:themeColor="text1"/>
          <w:sz w:val="24"/>
          <w:szCs w:val="24"/>
        </w:rPr>
        <w:t>4</w:t>
      </w:r>
      <w:r w:rsidRPr="00B414E3">
        <w:rPr>
          <w:rFonts w:eastAsia="Times New Roman" w:cstheme="minorHAnsi"/>
          <w:color w:val="000000" w:themeColor="text1"/>
          <w:sz w:val="24"/>
          <w:szCs w:val="24"/>
        </w:rPr>
        <w:t xml:space="preserve"> </w:t>
      </w:r>
      <w:r w:rsidRPr="00B414E3">
        <w:rPr>
          <w:rFonts w:cstheme="minorHAnsi"/>
          <w:noProof/>
          <w:color w:val="000000" w:themeColor="text1"/>
          <w:sz w:val="24"/>
          <w:szCs w:val="24"/>
        </w:rPr>
        <w:t>NKÚ provedl posouzení účelnosti sedmi vybraných projektů</w:t>
      </w:r>
      <w:r w:rsidR="00C63DE0" w:rsidRPr="00B414E3">
        <w:rPr>
          <w:rFonts w:cstheme="minorHAnsi"/>
          <w:noProof/>
          <w:color w:val="000000" w:themeColor="text1"/>
          <w:sz w:val="24"/>
          <w:szCs w:val="24"/>
        </w:rPr>
        <w:t xml:space="preserve"> NP ISF</w:t>
      </w:r>
      <w:r w:rsidRPr="00B414E3">
        <w:rPr>
          <w:rFonts w:cstheme="minorHAnsi"/>
          <w:noProof/>
          <w:color w:val="000000" w:themeColor="text1"/>
          <w:sz w:val="24"/>
          <w:szCs w:val="24"/>
        </w:rPr>
        <w:t>. K vyhodnocení byla využita čtyřstupňová škála (projekt je účelný / je účelný s mírnými nedostatky / je účelný pouze omezeně / není účelný). Kritéria, která NKÚ využil pro hodnocení účelnosti, jsou uvedena v příloze č. 4</w:t>
      </w:r>
      <w:r w:rsidR="00846288">
        <w:rPr>
          <w:rFonts w:cstheme="minorHAnsi"/>
          <w:noProof/>
          <w:color w:val="000000" w:themeColor="text1"/>
          <w:sz w:val="24"/>
          <w:szCs w:val="24"/>
        </w:rPr>
        <w:t xml:space="preserve"> </w:t>
      </w:r>
      <w:r w:rsidR="00846288">
        <w:rPr>
          <w:rFonts w:eastAsia="Times New Roman" w:cstheme="minorHAnsi"/>
          <w:color w:val="000000"/>
          <w:sz w:val="24"/>
          <w:szCs w:val="24"/>
        </w:rPr>
        <w:t>tohoto kontrolního závěru</w:t>
      </w:r>
      <w:r w:rsidRPr="00B414E3">
        <w:rPr>
          <w:rFonts w:cstheme="minorHAnsi"/>
          <w:noProof/>
          <w:color w:val="000000" w:themeColor="text1"/>
          <w:sz w:val="24"/>
          <w:szCs w:val="24"/>
        </w:rPr>
        <w:t>.</w:t>
      </w:r>
    </w:p>
    <w:p w14:paraId="57F29244" w14:textId="090D9A5E" w:rsidR="006669E3" w:rsidRPr="002C310E" w:rsidRDefault="00F04DCF" w:rsidP="00733FC4">
      <w:pPr>
        <w:spacing w:after="120" w:line="240" w:lineRule="auto"/>
        <w:jc w:val="both"/>
        <w:rPr>
          <w:rFonts w:cstheme="minorHAnsi"/>
          <w:noProof/>
          <w:sz w:val="24"/>
          <w:szCs w:val="24"/>
        </w:rPr>
      </w:pPr>
      <w:r w:rsidRPr="00A159C0">
        <w:rPr>
          <w:rFonts w:cstheme="minorHAnsi"/>
          <w:b/>
          <w:noProof/>
          <w:color w:val="000000" w:themeColor="text1"/>
          <w:sz w:val="24"/>
          <w:szCs w:val="24"/>
        </w:rPr>
        <w:t>4.1</w:t>
      </w:r>
      <w:r w:rsidR="000B1625" w:rsidRPr="00A159C0">
        <w:rPr>
          <w:rFonts w:cstheme="minorHAnsi"/>
          <w:b/>
          <w:noProof/>
          <w:color w:val="000000" w:themeColor="text1"/>
          <w:sz w:val="24"/>
          <w:szCs w:val="24"/>
        </w:rPr>
        <w:t>5</w:t>
      </w:r>
      <w:r w:rsidR="005F0E16" w:rsidRPr="00B414E3">
        <w:rPr>
          <w:rFonts w:cstheme="minorHAnsi"/>
          <w:noProof/>
          <w:color w:val="000000" w:themeColor="text1"/>
          <w:sz w:val="24"/>
          <w:szCs w:val="24"/>
        </w:rPr>
        <w:t xml:space="preserve"> </w:t>
      </w:r>
      <w:r w:rsidR="00557961" w:rsidRPr="00B414E3">
        <w:rPr>
          <w:rFonts w:cstheme="minorHAnsi"/>
          <w:noProof/>
          <w:color w:val="000000" w:themeColor="text1"/>
          <w:sz w:val="24"/>
          <w:szCs w:val="24"/>
        </w:rPr>
        <w:t>NKÚ nevyhodnotil žá</w:t>
      </w:r>
      <w:r w:rsidR="00557961" w:rsidRPr="002C310E">
        <w:rPr>
          <w:rFonts w:cstheme="minorHAnsi"/>
          <w:noProof/>
          <w:sz w:val="24"/>
          <w:szCs w:val="24"/>
        </w:rPr>
        <w:t xml:space="preserve">dný z projektů jako zcela účelný. Nejvíce, </w:t>
      </w:r>
      <w:r w:rsidR="00CF0DAA">
        <w:rPr>
          <w:rFonts w:cstheme="minorHAnsi"/>
          <w:noProof/>
          <w:sz w:val="24"/>
          <w:szCs w:val="24"/>
        </w:rPr>
        <w:t xml:space="preserve">a to </w:t>
      </w:r>
      <w:r w:rsidR="00557961" w:rsidRPr="002C310E">
        <w:rPr>
          <w:rFonts w:cstheme="minorHAnsi"/>
          <w:noProof/>
          <w:sz w:val="24"/>
          <w:szCs w:val="24"/>
        </w:rPr>
        <w:t xml:space="preserve">čtyři </w:t>
      </w:r>
      <w:r w:rsidR="00C63DE0" w:rsidRPr="002C310E">
        <w:rPr>
          <w:rFonts w:cstheme="minorHAnsi"/>
          <w:noProof/>
          <w:sz w:val="24"/>
          <w:szCs w:val="24"/>
        </w:rPr>
        <w:t>projekty</w:t>
      </w:r>
      <w:r w:rsidR="00557961" w:rsidRPr="002C310E">
        <w:rPr>
          <w:rFonts w:cstheme="minorHAnsi"/>
          <w:noProof/>
          <w:sz w:val="24"/>
          <w:szCs w:val="24"/>
        </w:rPr>
        <w:t xml:space="preserve">, </w:t>
      </w:r>
      <w:r w:rsidR="005D7966" w:rsidRPr="002C310E">
        <w:rPr>
          <w:rFonts w:cstheme="minorHAnsi"/>
          <w:noProof/>
          <w:sz w:val="24"/>
          <w:szCs w:val="24"/>
        </w:rPr>
        <w:t>v</w:t>
      </w:r>
      <w:r w:rsidR="00C63DE0" w:rsidRPr="002C310E">
        <w:rPr>
          <w:rFonts w:cstheme="minorHAnsi"/>
          <w:noProof/>
          <w:sz w:val="24"/>
          <w:szCs w:val="24"/>
        </w:rPr>
        <w:t xml:space="preserve">yhodnotil NKÚ </w:t>
      </w:r>
      <w:r w:rsidRPr="002C310E">
        <w:rPr>
          <w:rFonts w:cstheme="minorHAnsi"/>
          <w:noProof/>
          <w:sz w:val="24"/>
          <w:szCs w:val="24"/>
        </w:rPr>
        <w:t>jako účelné s mírnými nedostatky</w:t>
      </w:r>
      <w:r w:rsidR="00F86360" w:rsidRPr="002C310E">
        <w:rPr>
          <w:rFonts w:cstheme="minorHAnsi"/>
          <w:noProof/>
          <w:sz w:val="24"/>
          <w:szCs w:val="24"/>
        </w:rPr>
        <w:t xml:space="preserve">, </w:t>
      </w:r>
      <w:r w:rsidRPr="002C310E">
        <w:rPr>
          <w:rFonts w:cstheme="minorHAnsi"/>
          <w:noProof/>
          <w:sz w:val="24"/>
          <w:szCs w:val="24"/>
        </w:rPr>
        <w:t>dva jako účelné pouze omezeně a</w:t>
      </w:r>
      <w:r w:rsidR="00CF0DAA">
        <w:rPr>
          <w:rFonts w:cstheme="minorHAnsi"/>
          <w:noProof/>
          <w:sz w:val="24"/>
          <w:szCs w:val="24"/>
        </w:rPr>
        <w:t> </w:t>
      </w:r>
      <w:r w:rsidRPr="002C310E">
        <w:rPr>
          <w:rFonts w:cstheme="minorHAnsi"/>
          <w:noProof/>
          <w:sz w:val="24"/>
          <w:szCs w:val="24"/>
        </w:rPr>
        <w:t>u</w:t>
      </w:r>
      <w:r w:rsidR="00CF0DAA">
        <w:rPr>
          <w:rFonts w:cstheme="minorHAnsi"/>
          <w:noProof/>
          <w:sz w:val="24"/>
          <w:szCs w:val="24"/>
        </w:rPr>
        <w:t> </w:t>
      </w:r>
      <w:r w:rsidRPr="002C310E">
        <w:rPr>
          <w:rFonts w:cstheme="minorHAnsi"/>
          <w:noProof/>
          <w:sz w:val="24"/>
          <w:szCs w:val="24"/>
        </w:rPr>
        <w:t xml:space="preserve">jednoho projektu </w:t>
      </w:r>
      <w:r w:rsidR="00CE61C3" w:rsidRPr="002C310E">
        <w:rPr>
          <w:rFonts w:cstheme="minorHAnsi"/>
          <w:noProof/>
          <w:sz w:val="24"/>
          <w:szCs w:val="24"/>
        </w:rPr>
        <w:t>nebyla účelnost hodnocena</w:t>
      </w:r>
      <w:r w:rsidR="00D47EF9" w:rsidRPr="002C310E">
        <w:rPr>
          <w:rFonts w:cstheme="minorHAnsi"/>
          <w:noProof/>
          <w:sz w:val="24"/>
          <w:szCs w:val="24"/>
        </w:rPr>
        <w:t xml:space="preserve"> vzhledem</w:t>
      </w:r>
      <w:r w:rsidR="00F86360" w:rsidRPr="002C310E">
        <w:rPr>
          <w:rFonts w:cstheme="minorHAnsi"/>
          <w:noProof/>
          <w:sz w:val="24"/>
          <w:szCs w:val="24"/>
        </w:rPr>
        <w:t xml:space="preserve"> </w:t>
      </w:r>
      <w:r w:rsidR="00D47EF9" w:rsidRPr="002C310E">
        <w:rPr>
          <w:rFonts w:cstheme="minorHAnsi"/>
          <w:noProof/>
          <w:sz w:val="24"/>
          <w:szCs w:val="24"/>
        </w:rPr>
        <w:t>k</w:t>
      </w:r>
      <w:r w:rsidR="00CE61C3" w:rsidRPr="002C310E">
        <w:rPr>
          <w:rFonts w:cstheme="minorHAnsi"/>
          <w:noProof/>
          <w:sz w:val="24"/>
          <w:szCs w:val="24"/>
        </w:rPr>
        <w:t xml:space="preserve"> jeho </w:t>
      </w:r>
      <w:r w:rsidR="00D47EF9" w:rsidRPr="002C310E">
        <w:rPr>
          <w:rFonts w:cstheme="minorHAnsi"/>
          <w:noProof/>
          <w:sz w:val="24"/>
          <w:szCs w:val="24"/>
        </w:rPr>
        <w:t>nedokončené realizac</w:t>
      </w:r>
      <w:r w:rsidR="00CE61C3" w:rsidRPr="002C310E">
        <w:rPr>
          <w:rFonts w:cstheme="minorHAnsi"/>
          <w:noProof/>
          <w:sz w:val="24"/>
          <w:szCs w:val="24"/>
        </w:rPr>
        <w:t>i</w:t>
      </w:r>
      <w:r w:rsidRPr="002C310E">
        <w:rPr>
          <w:rFonts w:cstheme="minorHAnsi"/>
          <w:noProof/>
          <w:sz w:val="24"/>
          <w:szCs w:val="24"/>
        </w:rPr>
        <w:t xml:space="preserve">. </w:t>
      </w:r>
      <w:r w:rsidR="00BE518E" w:rsidRPr="002C310E">
        <w:rPr>
          <w:rFonts w:cstheme="minorHAnsi"/>
          <w:noProof/>
          <w:color w:val="000000" w:themeColor="text1"/>
          <w:sz w:val="24"/>
          <w:szCs w:val="24"/>
        </w:rPr>
        <w:t>N</w:t>
      </w:r>
      <w:r w:rsidR="00817D98" w:rsidRPr="002C310E">
        <w:rPr>
          <w:rFonts w:cstheme="minorHAnsi"/>
          <w:noProof/>
          <w:color w:val="000000" w:themeColor="text1"/>
          <w:sz w:val="24"/>
          <w:szCs w:val="24"/>
        </w:rPr>
        <w:t>edostatky v účelnosti spatřuje</w:t>
      </w:r>
      <w:r w:rsidR="00BE518E" w:rsidRPr="002C310E">
        <w:rPr>
          <w:rFonts w:cstheme="minorHAnsi"/>
          <w:noProof/>
          <w:color w:val="000000" w:themeColor="text1"/>
          <w:sz w:val="24"/>
          <w:szCs w:val="24"/>
        </w:rPr>
        <w:t xml:space="preserve"> </w:t>
      </w:r>
      <w:r w:rsidR="00817D98" w:rsidRPr="002C310E">
        <w:rPr>
          <w:rFonts w:cstheme="minorHAnsi"/>
          <w:noProof/>
          <w:color w:val="000000" w:themeColor="text1"/>
          <w:sz w:val="24"/>
          <w:szCs w:val="24"/>
        </w:rPr>
        <w:t xml:space="preserve">NKÚ např. v nestanovení měřitelných cílů, nízké vypovídající schopnosti monitorovacích ukazatelů o výstupech </w:t>
      </w:r>
      <w:r w:rsidR="00855943">
        <w:rPr>
          <w:rFonts w:cstheme="minorHAnsi"/>
          <w:noProof/>
          <w:color w:val="000000" w:themeColor="text1"/>
          <w:sz w:val="24"/>
          <w:szCs w:val="24"/>
        </w:rPr>
        <w:t xml:space="preserve">a výsledcích </w:t>
      </w:r>
      <w:r w:rsidR="00817D98" w:rsidRPr="002C310E">
        <w:rPr>
          <w:rFonts w:cstheme="minorHAnsi"/>
          <w:noProof/>
          <w:color w:val="000000" w:themeColor="text1"/>
          <w:sz w:val="24"/>
          <w:szCs w:val="24"/>
        </w:rPr>
        <w:t xml:space="preserve">projektu nebo neuvedení </w:t>
      </w:r>
      <w:r w:rsidR="00BE518E" w:rsidRPr="002C310E">
        <w:rPr>
          <w:rFonts w:cstheme="minorHAnsi"/>
          <w:noProof/>
          <w:color w:val="000000" w:themeColor="text1"/>
          <w:sz w:val="24"/>
          <w:szCs w:val="24"/>
        </w:rPr>
        <w:t>cílových</w:t>
      </w:r>
      <w:r w:rsidR="00817D98" w:rsidRPr="002C310E">
        <w:rPr>
          <w:rFonts w:cstheme="minorHAnsi"/>
          <w:noProof/>
          <w:color w:val="000000" w:themeColor="text1"/>
          <w:sz w:val="24"/>
          <w:szCs w:val="24"/>
        </w:rPr>
        <w:t xml:space="preserve"> hodnot </w:t>
      </w:r>
      <w:r w:rsidR="00BE518E" w:rsidRPr="002C310E">
        <w:rPr>
          <w:rFonts w:cstheme="minorHAnsi"/>
          <w:noProof/>
          <w:color w:val="000000" w:themeColor="text1"/>
          <w:sz w:val="24"/>
          <w:szCs w:val="24"/>
        </w:rPr>
        <w:t>monitorovacích ukazatelů</w:t>
      </w:r>
      <w:r w:rsidR="00817D98" w:rsidRPr="002C310E">
        <w:rPr>
          <w:rFonts w:cstheme="minorHAnsi"/>
          <w:noProof/>
          <w:color w:val="000000" w:themeColor="text1"/>
          <w:sz w:val="24"/>
          <w:szCs w:val="24"/>
        </w:rPr>
        <w:t>.</w:t>
      </w:r>
      <w:r w:rsidR="00BE518E" w:rsidRPr="002C310E">
        <w:rPr>
          <w:rFonts w:cstheme="minorHAnsi"/>
          <w:noProof/>
          <w:color w:val="000000" w:themeColor="text1"/>
          <w:sz w:val="24"/>
          <w:szCs w:val="24"/>
        </w:rPr>
        <w:t xml:space="preserve"> </w:t>
      </w:r>
      <w:r w:rsidRPr="002C310E">
        <w:rPr>
          <w:rFonts w:cstheme="minorHAnsi"/>
          <w:noProof/>
          <w:color w:val="000000" w:themeColor="text1"/>
          <w:sz w:val="24"/>
          <w:szCs w:val="24"/>
        </w:rPr>
        <w:t xml:space="preserve">Výsledek shrnuje graf č. </w:t>
      </w:r>
      <w:r w:rsidR="00126961" w:rsidRPr="002C310E">
        <w:rPr>
          <w:rFonts w:cstheme="minorHAnsi"/>
          <w:noProof/>
          <w:color w:val="000000" w:themeColor="text1"/>
          <w:sz w:val="24"/>
          <w:szCs w:val="24"/>
        </w:rPr>
        <w:t>1</w:t>
      </w:r>
      <w:r w:rsidRPr="002C310E">
        <w:rPr>
          <w:rFonts w:cstheme="minorHAnsi"/>
          <w:noProof/>
          <w:color w:val="000000" w:themeColor="text1"/>
          <w:sz w:val="24"/>
          <w:szCs w:val="24"/>
        </w:rPr>
        <w:t>. Výsledky posouzení jednotlivých projekt</w:t>
      </w:r>
      <w:r w:rsidRPr="002C310E">
        <w:rPr>
          <w:rFonts w:cstheme="minorHAnsi"/>
          <w:noProof/>
          <w:sz w:val="24"/>
          <w:szCs w:val="24"/>
        </w:rPr>
        <w:t xml:space="preserve">ů jsou </w:t>
      </w:r>
      <w:r w:rsidR="00C63DE0" w:rsidRPr="002C310E">
        <w:rPr>
          <w:rFonts w:cstheme="minorHAnsi"/>
          <w:noProof/>
          <w:sz w:val="24"/>
          <w:szCs w:val="24"/>
        </w:rPr>
        <w:t>uvedeny v </w:t>
      </w:r>
      <w:r w:rsidRPr="002C310E">
        <w:rPr>
          <w:rFonts w:cstheme="minorHAnsi"/>
          <w:noProof/>
          <w:sz w:val="24"/>
          <w:szCs w:val="24"/>
        </w:rPr>
        <w:t xml:space="preserve">příloze č. </w:t>
      </w:r>
      <w:r w:rsidR="001D5D00">
        <w:rPr>
          <w:rFonts w:cstheme="minorHAnsi"/>
          <w:noProof/>
          <w:sz w:val="24"/>
          <w:szCs w:val="24"/>
        </w:rPr>
        <w:t>3</w:t>
      </w:r>
      <w:r w:rsidR="00846288">
        <w:rPr>
          <w:rFonts w:cstheme="minorHAnsi"/>
          <w:noProof/>
          <w:sz w:val="24"/>
          <w:szCs w:val="24"/>
        </w:rPr>
        <w:t xml:space="preserve"> </w:t>
      </w:r>
      <w:r w:rsidR="00846288">
        <w:rPr>
          <w:rFonts w:eastAsia="Times New Roman" w:cstheme="minorHAnsi"/>
          <w:color w:val="000000"/>
          <w:sz w:val="24"/>
          <w:szCs w:val="24"/>
        </w:rPr>
        <w:t>tohoto kontrolního závěru</w:t>
      </w:r>
      <w:r w:rsidRPr="002C310E">
        <w:rPr>
          <w:rFonts w:cstheme="minorHAnsi"/>
          <w:noProof/>
          <w:sz w:val="24"/>
          <w:szCs w:val="24"/>
        </w:rPr>
        <w:t>.</w:t>
      </w:r>
    </w:p>
    <w:p w14:paraId="0FE222C8" w14:textId="77777777" w:rsidR="002155B1" w:rsidRPr="002C310E" w:rsidRDefault="00F04DCF" w:rsidP="00A159C0">
      <w:pPr>
        <w:keepNext/>
        <w:spacing w:after="120" w:line="240" w:lineRule="auto"/>
        <w:jc w:val="both"/>
        <w:rPr>
          <w:rFonts w:cstheme="minorHAnsi"/>
          <w:b/>
          <w:sz w:val="24"/>
          <w:szCs w:val="24"/>
        </w:rPr>
      </w:pPr>
      <w:r w:rsidRPr="002C310E">
        <w:rPr>
          <w:rFonts w:cstheme="minorHAnsi"/>
          <w:b/>
          <w:sz w:val="24"/>
          <w:szCs w:val="24"/>
        </w:rPr>
        <w:t xml:space="preserve">Graf č. </w:t>
      </w:r>
      <w:r w:rsidR="00126961" w:rsidRPr="002C310E">
        <w:rPr>
          <w:rFonts w:cstheme="minorHAnsi"/>
          <w:b/>
          <w:sz w:val="24"/>
          <w:szCs w:val="24"/>
        </w:rPr>
        <w:t>1</w:t>
      </w:r>
      <w:r w:rsidRPr="002C310E">
        <w:rPr>
          <w:rFonts w:cstheme="minorHAnsi"/>
          <w:b/>
          <w:sz w:val="24"/>
          <w:szCs w:val="24"/>
        </w:rPr>
        <w:t xml:space="preserve">: Výsledek hodnocení účelnosti </w:t>
      </w:r>
      <w:r w:rsidR="003627E1" w:rsidRPr="002C310E">
        <w:rPr>
          <w:rFonts w:cstheme="minorHAnsi"/>
          <w:b/>
          <w:sz w:val="24"/>
          <w:szCs w:val="24"/>
        </w:rPr>
        <w:t>sedmi</w:t>
      </w:r>
      <w:r w:rsidRPr="002C310E">
        <w:rPr>
          <w:rFonts w:cstheme="minorHAnsi"/>
          <w:b/>
          <w:sz w:val="24"/>
          <w:szCs w:val="24"/>
        </w:rPr>
        <w:t xml:space="preserve"> vybraných projektů </w:t>
      </w:r>
      <w:r w:rsidR="00C23C8F">
        <w:rPr>
          <w:rFonts w:cstheme="minorHAnsi"/>
          <w:b/>
          <w:sz w:val="24"/>
          <w:szCs w:val="24"/>
        </w:rPr>
        <w:t xml:space="preserve">NP </w:t>
      </w:r>
      <w:r w:rsidRPr="002C310E">
        <w:rPr>
          <w:rFonts w:cstheme="minorHAnsi"/>
          <w:b/>
          <w:sz w:val="24"/>
          <w:szCs w:val="24"/>
        </w:rPr>
        <w:t>ISF</w:t>
      </w:r>
    </w:p>
    <w:p w14:paraId="715D1198" w14:textId="77777777" w:rsidR="002155B1" w:rsidRPr="002C310E" w:rsidRDefault="00F04DCF" w:rsidP="00A159C0">
      <w:pPr>
        <w:keepNext/>
        <w:spacing w:after="0" w:line="240" w:lineRule="auto"/>
        <w:jc w:val="center"/>
        <w:rPr>
          <w:rFonts w:cstheme="minorHAnsi"/>
          <w:sz w:val="24"/>
          <w:szCs w:val="24"/>
        </w:rPr>
      </w:pPr>
      <w:r w:rsidRPr="002C310E">
        <w:rPr>
          <w:rFonts w:cstheme="minorHAnsi"/>
          <w:noProof/>
          <w:sz w:val="24"/>
          <w:szCs w:val="24"/>
          <w:lang w:eastAsia="cs-CZ"/>
        </w:rPr>
        <w:drawing>
          <wp:inline distT="0" distB="0" distL="0" distR="0" wp14:anchorId="3F4E2671" wp14:editId="2E2F1533">
            <wp:extent cx="3771900" cy="2771775"/>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78E43D" w14:textId="77777777" w:rsidR="00BE518E" w:rsidRPr="00491FCA" w:rsidRDefault="00F04DCF" w:rsidP="00A159C0">
      <w:pPr>
        <w:keepNext/>
        <w:spacing w:after="0" w:line="240" w:lineRule="auto"/>
        <w:jc w:val="both"/>
        <w:rPr>
          <w:rFonts w:cstheme="minorHAnsi"/>
          <w:noProof/>
          <w:sz w:val="20"/>
          <w:szCs w:val="20"/>
        </w:rPr>
      </w:pPr>
      <w:r w:rsidRPr="00491FCA">
        <w:rPr>
          <w:rFonts w:cstheme="minorHAnsi"/>
          <w:sz w:val="20"/>
          <w:szCs w:val="20"/>
        </w:rPr>
        <w:t>*</w:t>
      </w:r>
      <w:r w:rsidRPr="00491FCA">
        <w:rPr>
          <w:rFonts w:cstheme="minorHAnsi"/>
          <w:noProof/>
          <w:sz w:val="20"/>
          <w:szCs w:val="20"/>
        </w:rPr>
        <w:t xml:space="preserve"> Účelnost nebyla hodnocena vzhledem k nedokončené realizaci projektu.</w:t>
      </w:r>
    </w:p>
    <w:p w14:paraId="2AD8C0EB" w14:textId="2B9A5616" w:rsidR="002155B1" w:rsidRPr="00491FCA" w:rsidRDefault="00F04DCF" w:rsidP="00BE518E">
      <w:pPr>
        <w:spacing w:after="120" w:line="240" w:lineRule="auto"/>
        <w:jc w:val="both"/>
        <w:rPr>
          <w:rFonts w:cstheme="minorHAnsi"/>
          <w:sz w:val="20"/>
          <w:szCs w:val="20"/>
        </w:rPr>
      </w:pPr>
      <w:r w:rsidRPr="00491FCA">
        <w:rPr>
          <w:rFonts w:cstheme="minorHAnsi"/>
          <w:b/>
          <w:sz w:val="20"/>
          <w:szCs w:val="20"/>
        </w:rPr>
        <w:t>Zdroj:</w:t>
      </w:r>
      <w:r w:rsidRPr="00491FCA">
        <w:rPr>
          <w:rFonts w:cstheme="minorHAnsi"/>
          <w:sz w:val="20"/>
          <w:szCs w:val="20"/>
        </w:rPr>
        <w:t xml:space="preserve"> </w:t>
      </w:r>
      <w:r w:rsidR="00CF0DAA">
        <w:rPr>
          <w:rFonts w:cstheme="minorHAnsi"/>
          <w:sz w:val="20"/>
          <w:szCs w:val="20"/>
        </w:rPr>
        <w:t xml:space="preserve">vypracoval </w:t>
      </w:r>
      <w:r w:rsidRPr="00491FCA">
        <w:rPr>
          <w:rFonts w:cstheme="minorHAnsi"/>
          <w:noProof/>
          <w:sz w:val="20"/>
          <w:szCs w:val="20"/>
          <w:lang w:eastAsia="cs-CZ"/>
        </w:rPr>
        <w:t>NKÚ.</w:t>
      </w:r>
    </w:p>
    <w:p w14:paraId="586DB928" w14:textId="3A31B716" w:rsidR="00EB1A12" w:rsidRPr="002C310E" w:rsidRDefault="00F04DCF" w:rsidP="00346E11">
      <w:pPr>
        <w:keepNext/>
        <w:spacing w:after="120" w:line="240" w:lineRule="auto"/>
        <w:jc w:val="both"/>
        <w:rPr>
          <w:rFonts w:cstheme="minorHAnsi"/>
          <w:noProof/>
          <w:sz w:val="24"/>
          <w:szCs w:val="24"/>
        </w:rPr>
      </w:pPr>
      <w:r w:rsidRPr="00A159C0">
        <w:rPr>
          <w:rFonts w:cstheme="minorHAnsi"/>
          <w:b/>
          <w:noProof/>
          <w:sz w:val="24"/>
          <w:szCs w:val="24"/>
        </w:rPr>
        <w:lastRenderedPageBreak/>
        <w:t>4.1</w:t>
      </w:r>
      <w:r w:rsidR="000B1625" w:rsidRPr="00A159C0">
        <w:rPr>
          <w:rFonts w:cstheme="minorHAnsi"/>
          <w:b/>
          <w:noProof/>
          <w:sz w:val="24"/>
          <w:szCs w:val="24"/>
        </w:rPr>
        <w:t>6</w:t>
      </w:r>
      <w:r w:rsidRPr="002C310E">
        <w:rPr>
          <w:rFonts w:cstheme="minorHAnsi"/>
          <w:noProof/>
          <w:sz w:val="24"/>
          <w:szCs w:val="24"/>
        </w:rPr>
        <w:t xml:space="preserve"> </w:t>
      </w:r>
      <w:r w:rsidR="00257AD9" w:rsidRPr="002C310E">
        <w:rPr>
          <w:rFonts w:cstheme="minorHAnsi"/>
          <w:noProof/>
          <w:sz w:val="24"/>
          <w:szCs w:val="24"/>
        </w:rPr>
        <w:t>Příklad</w:t>
      </w:r>
      <w:r w:rsidRPr="002C310E">
        <w:rPr>
          <w:rFonts w:cstheme="minorHAnsi"/>
          <w:noProof/>
          <w:sz w:val="24"/>
          <w:szCs w:val="24"/>
        </w:rPr>
        <w:t xml:space="preserve"> č. </w:t>
      </w:r>
      <w:r w:rsidR="00CE61C3" w:rsidRPr="002C310E">
        <w:rPr>
          <w:rFonts w:cstheme="minorHAnsi"/>
          <w:noProof/>
          <w:sz w:val="24"/>
          <w:szCs w:val="24"/>
        </w:rPr>
        <w:t>2</w:t>
      </w:r>
      <w:r w:rsidRPr="002C310E">
        <w:rPr>
          <w:rFonts w:cstheme="minorHAnsi"/>
          <w:noProof/>
          <w:sz w:val="24"/>
          <w:szCs w:val="24"/>
        </w:rPr>
        <w:t xml:space="preserve"> </w:t>
      </w:r>
      <w:r w:rsidR="00257AD9" w:rsidRPr="002C310E">
        <w:rPr>
          <w:rFonts w:cstheme="minorHAnsi"/>
          <w:noProof/>
          <w:sz w:val="24"/>
          <w:szCs w:val="24"/>
        </w:rPr>
        <w:t>uvádí</w:t>
      </w:r>
      <w:r w:rsidR="00E5204D" w:rsidRPr="002C310E">
        <w:rPr>
          <w:rFonts w:cstheme="minorHAnsi"/>
          <w:noProof/>
          <w:sz w:val="24"/>
          <w:szCs w:val="24"/>
        </w:rPr>
        <w:t xml:space="preserve"> </w:t>
      </w:r>
      <w:r w:rsidR="00D6350E">
        <w:rPr>
          <w:rFonts w:cstheme="minorHAnsi"/>
          <w:noProof/>
          <w:sz w:val="24"/>
          <w:szCs w:val="24"/>
        </w:rPr>
        <w:t xml:space="preserve">další </w:t>
      </w:r>
      <w:r w:rsidR="00E5204D" w:rsidRPr="002C310E">
        <w:rPr>
          <w:rFonts w:cstheme="minorHAnsi"/>
          <w:noProof/>
          <w:sz w:val="24"/>
          <w:szCs w:val="24"/>
        </w:rPr>
        <w:t xml:space="preserve">projekt </w:t>
      </w:r>
      <w:r w:rsidR="00CE61C3" w:rsidRPr="002C310E">
        <w:rPr>
          <w:rFonts w:cstheme="minorHAnsi"/>
          <w:noProof/>
          <w:sz w:val="24"/>
          <w:szCs w:val="24"/>
        </w:rPr>
        <w:t>hodnocený</w:t>
      </w:r>
      <w:r w:rsidR="00E5204D" w:rsidRPr="002C310E">
        <w:rPr>
          <w:rFonts w:cstheme="minorHAnsi"/>
          <w:noProof/>
          <w:sz w:val="24"/>
          <w:szCs w:val="24"/>
        </w:rPr>
        <w:t xml:space="preserve"> NKÚ jako </w:t>
      </w:r>
      <w:r w:rsidRPr="002C310E">
        <w:rPr>
          <w:rFonts w:cstheme="minorHAnsi"/>
          <w:noProof/>
          <w:sz w:val="24"/>
          <w:szCs w:val="24"/>
        </w:rPr>
        <w:t>omezeně účeln</w:t>
      </w:r>
      <w:r w:rsidR="00CE61C3" w:rsidRPr="002C310E">
        <w:rPr>
          <w:rFonts w:cstheme="minorHAnsi"/>
          <w:noProof/>
          <w:sz w:val="24"/>
          <w:szCs w:val="24"/>
        </w:rPr>
        <w:t>ý</w:t>
      </w:r>
      <w:r w:rsidRPr="002C310E">
        <w:rPr>
          <w:rFonts w:cstheme="minorHAnsi"/>
          <w:noProof/>
          <w:sz w:val="24"/>
          <w:szCs w:val="24"/>
        </w:rPr>
        <w:t>.</w:t>
      </w:r>
    </w:p>
    <w:p w14:paraId="04651FCE" w14:textId="339B20AF" w:rsidR="0035434A" w:rsidRPr="002C310E" w:rsidRDefault="00F04DCF" w:rsidP="00346E11">
      <w:pPr>
        <w:keepNext/>
        <w:spacing w:after="80" w:line="240" w:lineRule="auto"/>
        <w:rPr>
          <w:rFonts w:cstheme="minorHAnsi"/>
          <w:b/>
          <w:bCs/>
          <w:iCs/>
          <w:sz w:val="24"/>
          <w:szCs w:val="24"/>
          <w:lang w:eastAsia="cs-CZ"/>
        </w:rPr>
      </w:pPr>
      <w:r w:rsidRPr="002C310E">
        <w:rPr>
          <w:rFonts w:cstheme="minorHAnsi"/>
          <w:b/>
          <w:sz w:val="24"/>
          <w:szCs w:val="24"/>
        </w:rPr>
        <w:t xml:space="preserve">Příklad č. </w:t>
      </w:r>
      <w:r w:rsidR="002246A2" w:rsidRPr="002C310E">
        <w:rPr>
          <w:rFonts w:cstheme="minorHAnsi"/>
          <w:b/>
          <w:sz w:val="24"/>
          <w:szCs w:val="24"/>
        </w:rPr>
        <w:t>2</w:t>
      </w:r>
      <w:r w:rsidR="00DC65CA" w:rsidRPr="002C310E">
        <w:rPr>
          <w:rFonts w:cstheme="minorHAnsi"/>
          <w:b/>
          <w:sz w:val="24"/>
          <w:szCs w:val="24"/>
        </w:rPr>
        <w:t>:</w:t>
      </w:r>
      <w:r w:rsidRPr="00A159C0">
        <w:rPr>
          <w:rFonts w:cstheme="minorHAnsi"/>
          <w:b/>
          <w:sz w:val="24"/>
          <w:szCs w:val="24"/>
        </w:rPr>
        <w:t xml:space="preserve"> </w:t>
      </w:r>
      <w:r w:rsidRPr="002C310E">
        <w:rPr>
          <w:rFonts w:cstheme="minorHAnsi"/>
          <w:b/>
          <w:sz w:val="24"/>
          <w:szCs w:val="24"/>
        </w:rPr>
        <w:t xml:space="preserve">Projekt </w:t>
      </w:r>
      <w:r w:rsidRPr="002C310E">
        <w:rPr>
          <w:rFonts w:cstheme="minorHAnsi"/>
          <w:b/>
          <w:bCs/>
          <w:i/>
          <w:iCs/>
          <w:sz w:val="24"/>
          <w:szCs w:val="24"/>
          <w:lang w:eastAsia="cs-CZ"/>
        </w:rPr>
        <w:t>Monitorovací vozid</w:t>
      </w:r>
      <w:r w:rsidR="00AC3F6A" w:rsidRPr="002C310E">
        <w:rPr>
          <w:rFonts w:cstheme="minorHAnsi"/>
          <w:b/>
          <w:bCs/>
          <w:i/>
          <w:iCs/>
          <w:sz w:val="24"/>
          <w:szCs w:val="24"/>
          <w:lang w:eastAsia="cs-CZ"/>
        </w:rPr>
        <w:t>la</w:t>
      </w:r>
      <w:r w:rsidRPr="002C310E">
        <w:rPr>
          <w:rFonts w:cstheme="minorHAnsi"/>
          <w:b/>
          <w:bCs/>
          <w:i/>
          <w:iCs/>
          <w:sz w:val="24"/>
          <w:szCs w:val="24"/>
          <w:lang w:eastAsia="cs-CZ"/>
        </w:rPr>
        <w:t xml:space="preserve"> s termovizní technikou</w:t>
      </w:r>
      <w:r w:rsidR="00650002" w:rsidRPr="002C310E">
        <w:rPr>
          <w:rFonts w:cstheme="minorHAnsi"/>
          <w:b/>
          <w:bCs/>
          <w:i/>
          <w:iCs/>
          <w:sz w:val="24"/>
          <w:szCs w:val="24"/>
          <w:lang w:eastAsia="cs-CZ"/>
        </w:rPr>
        <w:t xml:space="preserve"> </w:t>
      </w:r>
      <w:r w:rsidR="00650002" w:rsidRPr="002C310E">
        <w:rPr>
          <w:rFonts w:cstheme="minorHAnsi"/>
          <w:b/>
          <w:bCs/>
          <w:iCs/>
          <w:sz w:val="24"/>
          <w:szCs w:val="24"/>
          <w:lang w:eastAsia="cs-CZ"/>
        </w:rPr>
        <w:t xml:space="preserve">vyhodnotil NKÚ jako omezeně </w:t>
      </w:r>
      <w:r w:rsidRPr="002C310E">
        <w:rPr>
          <w:rFonts w:cstheme="minorHAnsi"/>
          <w:b/>
          <w:bCs/>
          <w:iCs/>
          <w:sz w:val="24"/>
          <w:szCs w:val="24"/>
          <w:lang w:eastAsia="cs-CZ"/>
        </w:rPr>
        <w:t>účeln</w:t>
      </w:r>
      <w:r w:rsidR="00650002" w:rsidRPr="002C310E">
        <w:rPr>
          <w:rFonts w:cstheme="minorHAnsi"/>
          <w:b/>
          <w:bCs/>
          <w:iCs/>
          <w:sz w:val="24"/>
          <w:szCs w:val="24"/>
          <w:lang w:eastAsia="cs-CZ"/>
        </w:rPr>
        <w:t>ý</w:t>
      </w:r>
      <w:r w:rsidR="009076B0" w:rsidRPr="002C310E">
        <w:rPr>
          <w:rFonts w:cstheme="minorHAnsi"/>
          <w:b/>
          <w:bCs/>
          <w:iCs/>
          <w:sz w:val="24"/>
          <w:szCs w:val="24"/>
          <w:lang w:eastAsia="cs-CZ"/>
        </w:rPr>
        <w:t>,</w:t>
      </w:r>
      <w:r w:rsidR="00BE518E" w:rsidRPr="002C310E">
        <w:rPr>
          <w:rFonts w:cstheme="minorHAnsi"/>
          <w:b/>
          <w:bCs/>
          <w:iCs/>
          <w:sz w:val="24"/>
          <w:szCs w:val="24"/>
          <w:lang w:eastAsia="cs-CZ"/>
        </w:rPr>
        <w:t xml:space="preserve"> </w:t>
      </w:r>
      <w:r w:rsidR="00634D94" w:rsidRPr="002C310E">
        <w:rPr>
          <w:rFonts w:cstheme="minorHAnsi"/>
          <w:b/>
          <w:bCs/>
          <w:iCs/>
          <w:sz w:val="24"/>
          <w:szCs w:val="24"/>
          <w:lang w:eastAsia="cs-CZ"/>
        </w:rPr>
        <w:t>neboť</w:t>
      </w:r>
      <w:r w:rsidR="00A159C0">
        <w:rPr>
          <w:rFonts w:cstheme="minorHAnsi"/>
          <w:b/>
          <w:bCs/>
          <w:iCs/>
          <w:sz w:val="24"/>
          <w:szCs w:val="24"/>
          <w:lang w:eastAsia="cs-CZ"/>
        </w:rPr>
        <w:t xml:space="preserve"> </w:t>
      </w:r>
      <w:r w:rsidR="006A1715">
        <w:rPr>
          <w:rFonts w:cstheme="minorHAnsi"/>
          <w:b/>
          <w:bCs/>
          <w:iCs/>
          <w:sz w:val="24"/>
          <w:szCs w:val="24"/>
          <w:lang w:eastAsia="cs-CZ"/>
        </w:rPr>
        <w:t>byly využívány jen pro jeden ze dvou uvedených účelů pořízení</w:t>
      </w:r>
    </w:p>
    <w:p w14:paraId="3681E75F" w14:textId="77777777" w:rsidR="0035434A" w:rsidRPr="002C310E" w:rsidRDefault="00F04DCF" w:rsidP="00733FC4">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24"/>
          <w:szCs w:val="24"/>
        </w:rPr>
      </w:pPr>
      <w:r w:rsidRPr="002C310E">
        <w:rPr>
          <w:rFonts w:cstheme="minorHAnsi"/>
          <w:i/>
          <w:sz w:val="24"/>
          <w:szCs w:val="24"/>
        </w:rPr>
        <w:t>Projekt ISF/2/02 – Monitorovací vozidla s termovizní technikou řešil pořízení dvou speciálních vozidel vybavených</w:t>
      </w:r>
      <w:r w:rsidR="00C722D6" w:rsidRPr="002C310E">
        <w:rPr>
          <w:rFonts w:cstheme="minorHAnsi"/>
          <w:i/>
          <w:sz w:val="24"/>
          <w:szCs w:val="24"/>
        </w:rPr>
        <w:t xml:space="preserve"> </w:t>
      </w:r>
      <w:r w:rsidRPr="002C310E">
        <w:rPr>
          <w:rFonts w:cstheme="minorHAnsi"/>
          <w:i/>
          <w:sz w:val="24"/>
          <w:szCs w:val="24"/>
        </w:rPr>
        <w:t>termovizní technikou pro zvýšení připravenosti Policie ČR v boji proti nelegální migraci. Vozidla měla být využívána příslušníky Policie ČR k ochraně perime</w:t>
      </w:r>
      <w:r w:rsidR="009076B0" w:rsidRPr="002C310E">
        <w:rPr>
          <w:rFonts w:cstheme="minorHAnsi"/>
          <w:i/>
          <w:sz w:val="24"/>
          <w:szCs w:val="24"/>
        </w:rPr>
        <w:t xml:space="preserve">tru mezinárodních letišť a dále také </w:t>
      </w:r>
      <w:r w:rsidRPr="002C310E">
        <w:rPr>
          <w:rFonts w:cstheme="minorHAnsi"/>
          <w:i/>
          <w:sz w:val="24"/>
          <w:szCs w:val="24"/>
        </w:rPr>
        <w:t>pro potřeby provádění operací koordinovaných agenturou FRONTEX. Celkové náklady na projekt činily 1</w:t>
      </w:r>
      <w:r w:rsidR="00AC3F6A" w:rsidRPr="002C310E">
        <w:rPr>
          <w:rFonts w:cstheme="minorHAnsi"/>
          <w:i/>
          <w:sz w:val="24"/>
          <w:szCs w:val="24"/>
        </w:rPr>
        <w:t>5 mil. Kč.</w:t>
      </w:r>
      <w:r w:rsidRPr="002C310E">
        <w:rPr>
          <w:rFonts w:cstheme="minorHAnsi"/>
          <w:i/>
          <w:sz w:val="24"/>
          <w:szCs w:val="24"/>
        </w:rPr>
        <w:t xml:space="preserve"> </w:t>
      </w:r>
    </w:p>
    <w:p w14:paraId="3095F091" w14:textId="6141B669" w:rsidR="0035434A" w:rsidRPr="002C310E" w:rsidRDefault="00F04DCF" w:rsidP="00733FC4">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24"/>
          <w:szCs w:val="24"/>
        </w:rPr>
      </w:pPr>
      <w:r w:rsidRPr="002C310E">
        <w:rPr>
          <w:rFonts w:cstheme="minorHAnsi"/>
          <w:i/>
          <w:sz w:val="24"/>
          <w:szCs w:val="24"/>
        </w:rPr>
        <w:t xml:space="preserve">NKÚ zjistil, že </w:t>
      </w:r>
      <w:r w:rsidR="00FB48CF" w:rsidRPr="002C310E">
        <w:rPr>
          <w:rFonts w:cstheme="minorHAnsi"/>
          <w:i/>
          <w:sz w:val="24"/>
          <w:szCs w:val="24"/>
        </w:rPr>
        <w:t>o</w:t>
      </w:r>
      <w:r w:rsidR="00650002" w:rsidRPr="002C310E">
        <w:rPr>
          <w:rFonts w:cstheme="minorHAnsi"/>
          <w:i/>
          <w:sz w:val="24"/>
          <w:szCs w:val="24"/>
        </w:rPr>
        <w:t>bě po</w:t>
      </w:r>
      <w:r w:rsidRPr="002C310E">
        <w:rPr>
          <w:rFonts w:cstheme="minorHAnsi"/>
          <w:i/>
          <w:sz w:val="24"/>
          <w:szCs w:val="24"/>
        </w:rPr>
        <w:t xml:space="preserve">řízená vozidla byla </w:t>
      </w:r>
      <w:r w:rsidR="009938F6" w:rsidRPr="002C310E">
        <w:rPr>
          <w:rFonts w:cstheme="minorHAnsi"/>
          <w:i/>
          <w:sz w:val="24"/>
          <w:szCs w:val="24"/>
        </w:rPr>
        <w:t xml:space="preserve">v období 2018 až 2020 </w:t>
      </w:r>
      <w:r w:rsidRPr="002C310E">
        <w:rPr>
          <w:rFonts w:cstheme="minorHAnsi"/>
          <w:i/>
          <w:sz w:val="24"/>
          <w:szCs w:val="24"/>
        </w:rPr>
        <w:t xml:space="preserve">využívána </w:t>
      </w:r>
      <w:r w:rsidR="00C722D6" w:rsidRPr="002C310E">
        <w:rPr>
          <w:rFonts w:cstheme="minorHAnsi"/>
          <w:i/>
          <w:sz w:val="24"/>
          <w:szCs w:val="24"/>
        </w:rPr>
        <w:t>výhradně</w:t>
      </w:r>
      <w:r w:rsidRPr="002C310E">
        <w:rPr>
          <w:rFonts w:cstheme="minorHAnsi"/>
          <w:i/>
          <w:sz w:val="24"/>
          <w:szCs w:val="24"/>
        </w:rPr>
        <w:t xml:space="preserve"> pro společné operace agentury FRONTEX k ochraně vnějších hranic členských států schengens</w:t>
      </w:r>
      <w:r w:rsidR="009938F6" w:rsidRPr="002C310E">
        <w:rPr>
          <w:rFonts w:cstheme="minorHAnsi"/>
          <w:i/>
          <w:sz w:val="24"/>
          <w:szCs w:val="24"/>
        </w:rPr>
        <w:t>kého prostoru</w:t>
      </w:r>
      <w:r w:rsidR="00DE0829">
        <w:rPr>
          <w:rFonts w:cstheme="minorHAnsi"/>
          <w:i/>
          <w:sz w:val="24"/>
          <w:szCs w:val="24"/>
        </w:rPr>
        <w:t>, tedy jen pro jeden z výše uvedených účelů, pro které byly pořízeny</w:t>
      </w:r>
      <w:r w:rsidR="009938F6" w:rsidRPr="002C310E">
        <w:rPr>
          <w:rFonts w:cstheme="minorHAnsi"/>
          <w:i/>
          <w:sz w:val="24"/>
          <w:szCs w:val="24"/>
        </w:rPr>
        <w:t xml:space="preserve">. </w:t>
      </w:r>
      <w:r w:rsidR="00C722D6" w:rsidRPr="002C310E">
        <w:rPr>
          <w:rFonts w:cstheme="minorHAnsi"/>
          <w:i/>
          <w:sz w:val="24"/>
          <w:szCs w:val="24"/>
        </w:rPr>
        <w:t>P</w:t>
      </w:r>
      <w:r w:rsidR="009938F6" w:rsidRPr="002C310E">
        <w:rPr>
          <w:rFonts w:cstheme="minorHAnsi"/>
          <w:i/>
          <w:sz w:val="24"/>
          <w:szCs w:val="24"/>
        </w:rPr>
        <w:t xml:space="preserve">ro </w:t>
      </w:r>
      <w:r w:rsidR="00DE0829">
        <w:rPr>
          <w:rFonts w:cstheme="minorHAnsi"/>
          <w:i/>
          <w:sz w:val="24"/>
          <w:szCs w:val="24"/>
        </w:rPr>
        <w:t xml:space="preserve">účely ochrany perimetru mezinárodních letišť pro </w:t>
      </w:r>
      <w:r w:rsidR="009938F6" w:rsidRPr="002C310E">
        <w:rPr>
          <w:rFonts w:cstheme="minorHAnsi"/>
          <w:i/>
          <w:sz w:val="24"/>
          <w:szCs w:val="24"/>
        </w:rPr>
        <w:t xml:space="preserve">potřeby Policie ČR </w:t>
      </w:r>
      <w:r w:rsidR="00DE0829">
        <w:rPr>
          <w:rFonts w:cstheme="minorHAnsi"/>
          <w:i/>
          <w:sz w:val="24"/>
          <w:szCs w:val="24"/>
        </w:rPr>
        <w:t xml:space="preserve">navíc nebylo pořízení nezbytné, protože </w:t>
      </w:r>
      <w:r w:rsidR="00C722D6" w:rsidRPr="002C310E">
        <w:rPr>
          <w:rFonts w:cstheme="minorHAnsi"/>
          <w:i/>
          <w:sz w:val="24"/>
          <w:szCs w:val="24"/>
        </w:rPr>
        <w:t xml:space="preserve">v ČR </w:t>
      </w:r>
      <w:r w:rsidR="00DE0829">
        <w:rPr>
          <w:rFonts w:cstheme="minorHAnsi"/>
          <w:i/>
          <w:sz w:val="24"/>
          <w:szCs w:val="24"/>
        </w:rPr>
        <w:t xml:space="preserve">bylo </w:t>
      </w:r>
      <w:r w:rsidR="009938F6" w:rsidRPr="002C310E">
        <w:rPr>
          <w:rFonts w:cstheme="minorHAnsi"/>
          <w:i/>
          <w:sz w:val="24"/>
          <w:szCs w:val="24"/>
        </w:rPr>
        <w:t>v</w:t>
      </w:r>
      <w:r w:rsidR="00C722D6" w:rsidRPr="002C310E">
        <w:rPr>
          <w:rFonts w:cstheme="minorHAnsi"/>
          <w:i/>
          <w:sz w:val="24"/>
          <w:szCs w:val="24"/>
        </w:rPr>
        <w:t> </w:t>
      </w:r>
      <w:r w:rsidR="009938F6" w:rsidRPr="002C310E">
        <w:rPr>
          <w:rFonts w:cstheme="minorHAnsi"/>
          <w:i/>
          <w:sz w:val="24"/>
          <w:szCs w:val="24"/>
        </w:rPr>
        <w:t>tomto</w:t>
      </w:r>
      <w:r w:rsidR="00C722D6" w:rsidRPr="002C310E">
        <w:rPr>
          <w:rFonts w:cstheme="minorHAnsi"/>
          <w:i/>
          <w:sz w:val="24"/>
          <w:szCs w:val="24"/>
        </w:rPr>
        <w:t xml:space="preserve"> </w:t>
      </w:r>
      <w:r w:rsidR="009938F6" w:rsidRPr="002C310E">
        <w:rPr>
          <w:rFonts w:cstheme="minorHAnsi"/>
          <w:i/>
          <w:sz w:val="24"/>
          <w:szCs w:val="24"/>
        </w:rPr>
        <w:t>období využíváno pět starších vozide</w:t>
      </w:r>
      <w:r w:rsidR="00C722D6" w:rsidRPr="002C310E">
        <w:rPr>
          <w:rFonts w:cstheme="minorHAnsi"/>
          <w:i/>
          <w:sz w:val="24"/>
          <w:szCs w:val="24"/>
        </w:rPr>
        <w:t>l, při</w:t>
      </w:r>
      <w:r w:rsidR="00DE0829">
        <w:rPr>
          <w:rFonts w:cstheme="minorHAnsi"/>
          <w:i/>
          <w:sz w:val="24"/>
          <w:szCs w:val="24"/>
        </w:rPr>
        <w:t>čemž</w:t>
      </w:r>
      <w:r w:rsidR="00C722D6" w:rsidRPr="002C310E">
        <w:rPr>
          <w:rFonts w:cstheme="minorHAnsi"/>
          <w:i/>
          <w:sz w:val="24"/>
          <w:szCs w:val="24"/>
        </w:rPr>
        <w:t xml:space="preserve"> </w:t>
      </w:r>
      <w:r w:rsidR="009938F6" w:rsidRPr="002C310E">
        <w:rPr>
          <w:rFonts w:cstheme="minorHAnsi"/>
          <w:i/>
          <w:sz w:val="24"/>
          <w:szCs w:val="24"/>
        </w:rPr>
        <w:t>míra jejich využití byla velmi nízká</w:t>
      </w:r>
      <w:r w:rsidR="00DE0829">
        <w:rPr>
          <w:rFonts w:cstheme="minorHAnsi"/>
          <w:i/>
          <w:sz w:val="24"/>
          <w:szCs w:val="24"/>
        </w:rPr>
        <w:t xml:space="preserve"> </w:t>
      </w:r>
      <w:r w:rsidR="00346E11">
        <w:rPr>
          <w:rFonts w:cstheme="minorHAnsi"/>
          <w:i/>
          <w:sz w:val="24"/>
          <w:szCs w:val="24"/>
        </w:rPr>
        <w:t>–</w:t>
      </w:r>
      <w:r w:rsidR="00DE0829">
        <w:rPr>
          <w:rFonts w:cstheme="minorHAnsi"/>
          <w:i/>
          <w:sz w:val="24"/>
          <w:szCs w:val="24"/>
        </w:rPr>
        <w:t xml:space="preserve"> </w:t>
      </w:r>
      <w:r w:rsidR="009938F6" w:rsidRPr="002C310E">
        <w:rPr>
          <w:rFonts w:cstheme="minorHAnsi"/>
          <w:i/>
          <w:sz w:val="24"/>
          <w:szCs w:val="24"/>
        </w:rPr>
        <w:t xml:space="preserve">jedno vozidlo bylo průměrně využíváno </w:t>
      </w:r>
      <w:r w:rsidR="009076B0" w:rsidRPr="002C310E">
        <w:rPr>
          <w:rFonts w:cstheme="minorHAnsi"/>
          <w:i/>
          <w:sz w:val="24"/>
          <w:szCs w:val="24"/>
        </w:rPr>
        <w:t xml:space="preserve">pouze </w:t>
      </w:r>
      <w:r w:rsidR="009938F6" w:rsidRPr="002C310E">
        <w:rPr>
          <w:rFonts w:cstheme="minorHAnsi"/>
          <w:i/>
          <w:sz w:val="24"/>
          <w:szCs w:val="24"/>
        </w:rPr>
        <w:t xml:space="preserve">dva dny v měsíci. </w:t>
      </w:r>
      <w:r w:rsidRPr="002C310E">
        <w:rPr>
          <w:rFonts w:cstheme="minorHAnsi"/>
          <w:i/>
          <w:sz w:val="24"/>
          <w:szCs w:val="24"/>
        </w:rPr>
        <w:t xml:space="preserve">NKÚ </w:t>
      </w:r>
      <w:r w:rsidR="00AC3F6A" w:rsidRPr="002C310E">
        <w:rPr>
          <w:rFonts w:cstheme="minorHAnsi"/>
          <w:i/>
          <w:sz w:val="24"/>
          <w:szCs w:val="24"/>
        </w:rPr>
        <w:t xml:space="preserve">proto </w:t>
      </w:r>
      <w:r w:rsidRPr="002C310E">
        <w:rPr>
          <w:rFonts w:cstheme="minorHAnsi"/>
          <w:i/>
          <w:sz w:val="24"/>
          <w:szCs w:val="24"/>
        </w:rPr>
        <w:t xml:space="preserve">projekt vyhodnotil jako </w:t>
      </w:r>
      <w:r w:rsidR="00AC3F6A" w:rsidRPr="002C310E">
        <w:rPr>
          <w:rFonts w:cstheme="minorHAnsi"/>
          <w:i/>
          <w:sz w:val="24"/>
          <w:szCs w:val="24"/>
        </w:rPr>
        <w:t>omezeně účelný</w:t>
      </w:r>
      <w:r w:rsidR="00DE0829">
        <w:rPr>
          <w:rFonts w:cstheme="minorHAnsi"/>
          <w:i/>
          <w:sz w:val="24"/>
          <w:szCs w:val="24"/>
        </w:rPr>
        <w:t xml:space="preserve"> i omezeně efektivní</w:t>
      </w:r>
      <w:r w:rsidRPr="002C310E">
        <w:rPr>
          <w:rFonts w:cstheme="minorHAnsi"/>
          <w:i/>
          <w:sz w:val="24"/>
          <w:szCs w:val="24"/>
        </w:rPr>
        <w:t>.</w:t>
      </w:r>
    </w:p>
    <w:p w14:paraId="033AC857" w14:textId="77777777" w:rsidR="00A67D78" w:rsidRPr="002C310E" w:rsidRDefault="00F04DCF" w:rsidP="00733FC4">
      <w:pPr>
        <w:spacing w:before="120" w:after="120" w:line="240" w:lineRule="auto"/>
        <w:jc w:val="both"/>
        <w:rPr>
          <w:rFonts w:cstheme="minorHAnsi"/>
          <w:b/>
          <w:color w:val="C00000"/>
          <w:sz w:val="24"/>
          <w:szCs w:val="24"/>
        </w:rPr>
      </w:pPr>
      <w:r w:rsidRPr="002C310E">
        <w:rPr>
          <w:rFonts w:cstheme="minorHAnsi"/>
          <w:b/>
          <w:color w:val="C00000"/>
          <w:sz w:val="24"/>
          <w:szCs w:val="24"/>
        </w:rPr>
        <w:t xml:space="preserve">→ MV </w:t>
      </w:r>
      <w:r w:rsidR="00650002" w:rsidRPr="002C310E">
        <w:rPr>
          <w:rFonts w:cstheme="minorHAnsi"/>
          <w:b/>
          <w:color w:val="C00000"/>
          <w:sz w:val="24"/>
          <w:szCs w:val="24"/>
        </w:rPr>
        <w:t xml:space="preserve">schvalovalo monitorovací zprávy příjemců pozdě, </w:t>
      </w:r>
      <w:r w:rsidRPr="002C310E">
        <w:rPr>
          <w:rFonts w:cstheme="minorHAnsi"/>
          <w:b/>
          <w:color w:val="C00000"/>
          <w:sz w:val="24"/>
          <w:szCs w:val="24"/>
        </w:rPr>
        <w:t>což vedlo ke zpoždění v čerpání peněžních prostředků.</w:t>
      </w:r>
    </w:p>
    <w:p w14:paraId="01246709" w14:textId="7341266E" w:rsidR="00200FC4" w:rsidRPr="002C310E" w:rsidRDefault="00F04DCF" w:rsidP="0063115A">
      <w:pPr>
        <w:spacing w:after="120" w:line="240" w:lineRule="auto"/>
        <w:jc w:val="both"/>
        <w:rPr>
          <w:rFonts w:cstheme="minorHAnsi"/>
          <w:sz w:val="24"/>
          <w:szCs w:val="24"/>
        </w:rPr>
      </w:pPr>
      <w:r w:rsidRPr="00DF1082">
        <w:rPr>
          <w:rFonts w:cstheme="minorHAnsi"/>
          <w:b/>
          <w:sz w:val="24"/>
          <w:szCs w:val="24"/>
        </w:rPr>
        <w:t>4.</w:t>
      </w:r>
      <w:r w:rsidR="005F0E16" w:rsidRPr="00DF1082">
        <w:rPr>
          <w:rFonts w:cstheme="minorHAnsi"/>
          <w:b/>
          <w:sz w:val="24"/>
          <w:szCs w:val="24"/>
        </w:rPr>
        <w:t>1</w:t>
      </w:r>
      <w:r w:rsidR="000B1625" w:rsidRPr="00DF1082">
        <w:rPr>
          <w:rFonts w:cstheme="minorHAnsi"/>
          <w:b/>
          <w:sz w:val="24"/>
          <w:szCs w:val="24"/>
        </w:rPr>
        <w:t>7</w:t>
      </w:r>
      <w:r w:rsidRPr="002C310E">
        <w:rPr>
          <w:rFonts w:cstheme="minorHAnsi"/>
          <w:sz w:val="24"/>
          <w:szCs w:val="24"/>
        </w:rPr>
        <w:t xml:space="preserve"> </w:t>
      </w:r>
      <w:r w:rsidR="00E37359" w:rsidRPr="002C310E">
        <w:rPr>
          <w:rFonts w:cstheme="minorHAnsi"/>
          <w:sz w:val="24"/>
          <w:szCs w:val="24"/>
        </w:rPr>
        <w:t xml:space="preserve">MV </w:t>
      </w:r>
      <w:r w:rsidR="00634D94" w:rsidRPr="002C310E">
        <w:rPr>
          <w:rFonts w:cstheme="minorHAnsi"/>
          <w:sz w:val="24"/>
          <w:szCs w:val="24"/>
        </w:rPr>
        <w:t>nastavilo</w:t>
      </w:r>
      <w:r w:rsidR="00650002" w:rsidRPr="002C310E">
        <w:rPr>
          <w:rFonts w:cstheme="minorHAnsi"/>
          <w:sz w:val="24"/>
          <w:szCs w:val="24"/>
        </w:rPr>
        <w:t xml:space="preserve"> </w:t>
      </w:r>
      <w:r w:rsidRPr="002C310E">
        <w:rPr>
          <w:rFonts w:cstheme="minorHAnsi"/>
          <w:sz w:val="24"/>
          <w:szCs w:val="24"/>
        </w:rPr>
        <w:t>monitorování real</w:t>
      </w:r>
      <w:r w:rsidR="00650002" w:rsidRPr="002C310E">
        <w:rPr>
          <w:rFonts w:cstheme="minorHAnsi"/>
          <w:sz w:val="24"/>
          <w:szCs w:val="24"/>
        </w:rPr>
        <w:t>izace jednotlivých etap projektů</w:t>
      </w:r>
      <w:r w:rsidRPr="002C310E">
        <w:rPr>
          <w:rFonts w:cstheme="minorHAnsi"/>
          <w:sz w:val="24"/>
          <w:szCs w:val="24"/>
        </w:rPr>
        <w:t xml:space="preserve"> </w:t>
      </w:r>
      <w:r w:rsidR="009A193F" w:rsidRPr="002C310E">
        <w:rPr>
          <w:rFonts w:cstheme="minorHAnsi"/>
          <w:sz w:val="24"/>
          <w:szCs w:val="24"/>
        </w:rPr>
        <w:t xml:space="preserve">průběžně </w:t>
      </w:r>
      <w:r w:rsidRPr="002C310E">
        <w:rPr>
          <w:rFonts w:cstheme="minorHAnsi"/>
          <w:sz w:val="24"/>
          <w:szCs w:val="24"/>
        </w:rPr>
        <w:t>po</w:t>
      </w:r>
      <w:r w:rsidR="00E37359" w:rsidRPr="002C310E">
        <w:rPr>
          <w:rFonts w:cstheme="minorHAnsi"/>
          <w:sz w:val="24"/>
          <w:szCs w:val="24"/>
        </w:rPr>
        <w:t xml:space="preserve"> </w:t>
      </w:r>
      <w:r w:rsidRPr="002C310E">
        <w:rPr>
          <w:rFonts w:cstheme="minorHAnsi"/>
          <w:sz w:val="24"/>
          <w:szCs w:val="24"/>
        </w:rPr>
        <w:t>období</w:t>
      </w:r>
      <w:r w:rsidR="00E37359" w:rsidRPr="002C310E">
        <w:rPr>
          <w:rFonts w:cstheme="minorHAnsi"/>
          <w:sz w:val="24"/>
          <w:szCs w:val="24"/>
        </w:rPr>
        <w:t>ch</w:t>
      </w:r>
      <w:r w:rsidR="00A67D78" w:rsidRPr="002C310E">
        <w:rPr>
          <w:rFonts w:cstheme="minorHAnsi"/>
          <w:sz w:val="24"/>
          <w:szCs w:val="24"/>
        </w:rPr>
        <w:t xml:space="preserve">, která trvají zpravidla </w:t>
      </w:r>
      <w:r w:rsidRPr="002C310E">
        <w:rPr>
          <w:rFonts w:cstheme="minorHAnsi"/>
          <w:sz w:val="24"/>
          <w:szCs w:val="24"/>
        </w:rPr>
        <w:t xml:space="preserve">čtyři až šest měsíců. </w:t>
      </w:r>
      <w:r w:rsidR="00E37359" w:rsidRPr="002C310E">
        <w:rPr>
          <w:rFonts w:cstheme="minorHAnsi"/>
          <w:sz w:val="24"/>
          <w:szCs w:val="24"/>
        </w:rPr>
        <w:t>Monitorovací</w:t>
      </w:r>
      <w:r w:rsidRPr="002C310E">
        <w:rPr>
          <w:rFonts w:cstheme="minorHAnsi"/>
          <w:sz w:val="24"/>
          <w:szCs w:val="24"/>
        </w:rPr>
        <w:t xml:space="preserve"> zprávy sledují plnění jednotlivých klíčových aktivit </w:t>
      </w:r>
      <w:r w:rsidR="00A67D78" w:rsidRPr="002C310E">
        <w:rPr>
          <w:rFonts w:cstheme="minorHAnsi"/>
          <w:sz w:val="24"/>
          <w:szCs w:val="24"/>
        </w:rPr>
        <w:t xml:space="preserve">a </w:t>
      </w:r>
      <w:r w:rsidRPr="002C310E">
        <w:rPr>
          <w:rFonts w:cstheme="minorHAnsi"/>
          <w:sz w:val="24"/>
          <w:szCs w:val="24"/>
        </w:rPr>
        <w:t>výstupů projektu</w:t>
      </w:r>
      <w:r w:rsidR="00805BFE" w:rsidRPr="002C310E">
        <w:rPr>
          <w:rFonts w:cstheme="minorHAnsi"/>
          <w:sz w:val="24"/>
          <w:szCs w:val="24"/>
        </w:rPr>
        <w:t>, monitorovacích ukazatelů a </w:t>
      </w:r>
      <w:r w:rsidR="00634D94" w:rsidRPr="002C310E">
        <w:rPr>
          <w:rFonts w:cstheme="minorHAnsi"/>
          <w:sz w:val="24"/>
          <w:szCs w:val="24"/>
        </w:rPr>
        <w:t>také</w:t>
      </w:r>
      <w:r w:rsidRPr="002C310E">
        <w:rPr>
          <w:rFonts w:cstheme="minorHAnsi"/>
          <w:sz w:val="24"/>
          <w:szCs w:val="24"/>
        </w:rPr>
        <w:t xml:space="preserve"> čerpání peněžních prostředků. </w:t>
      </w:r>
      <w:r w:rsidR="00807DF5" w:rsidRPr="002C310E">
        <w:rPr>
          <w:rFonts w:cstheme="minorHAnsi"/>
          <w:sz w:val="24"/>
          <w:szCs w:val="24"/>
        </w:rPr>
        <w:t xml:space="preserve">NKÚ zjistil, že MV schvalovalo monitorovací zprávy v některých případech až v době, kdy měl příjemce předložit již další monitorovací zprávu, čímž se zpožďovalo čerpání peněžních prostředků, neboť další čerpání je podmíněno jejím schválením. </w:t>
      </w:r>
    </w:p>
    <w:p w14:paraId="6C9164F0" w14:textId="77777777" w:rsidR="006A7457" w:rsidRPr="00A944B0" w:rsidRDefault="006A1715" w:rsidP="00733FC4">
      <w:pPr>
        <w:spacing w:after="120" w:line="240" w:lineRule="auto"/>
        <w:jc w:val="both"/>
        <w:rPr>
          <w:rFonts w:cstheme="minorHAnsi"/>
          <w:b/>
          <w:i/>
          <w:color w:val="1F4E79" w:themeColor="accent1" w:themeShade="80"/>
          <w:sz w:val="24"/>
          <w:szCs w:val="24"/>
        </w:rPr>
      </w:pPr>
      <w:r w:rsidRPr="00A944B0">
        <w:rPr>
          <w:rFonts w:cstheme="minorHAnsi"/>
          <w:b/>
          <w:i/>
          <w:color w:val="1F4E79" w:themeColor="accent1" w:themeShade="80"/>
          <w:sz w:val="24"/>
          <w:szCs w:val="24"/>
        </w:rPr>
        <w:t>Jsou peněžní prostředky</w:t>
      </w:r>
      <w:r w:rsidR="00F04DCF" w:rsidRPr="00A944B0">
        <w:rPr>
          <w:rFonts w:cstheme="minorHAnsi"/>
          <w:b/>
          <w:i/>
          <w:color w:val="1F4E79" w:themeColor="accent1" w:themeShade="80"/>
          <w:sz w:val="24"/>
          <w:szCs w:val="24"/>
        </w:rPr>
        <w:t xml:space="preserve"> na projekty NP ISF vynakládány efektivně?</w:t>
      </w:r>
    </w:p>
    <w:p w14:paraId="20DA4385" w14:textId="09D00338" w:rsidR="009E0256" w:rsidRPr="002C310E" w:rsidRDefault="00F04DCF" w:rsidP="009E0256">
      <w:pPr>
        <w:spacing w:after="120" w:line="240" w:lineRule="auto"/>
        <w:jc w:val="both"/>
        <w:rPr>
          <w:rFonts w:cstheme="minorHAnsi"/>
          <w:bCs/>
          <w:sz w:val="24"/>
          <w:szCs w:val="24"/>
        </w:rPr>
      </w:pPr>
      <w:r w:rsidRPr="00DF1082">
        <w:rPr>
          <w:rFonts w:cstheme="minorHAnsi"/>
          <w:b/>
          <w:sz w:val="24"/>
          <w:szCs w:val="24"/>
        </w:rPr>
        <w:t>4.</w:t>
      </w:r>
      <w:r w:rsidR="000B1625" w:rsidRPr="00DF1082">
        <w:rPr>
          <w:rFonts w:cstheme="minorHAnsi"/>
          <w:b/>
          <w:sz w:val="24"/>
          <w:szCs w:val="24"/>
        </w:rPr>
        <w:t>18</w:t>
      </w:r>
      <w:r w:rsidRPr="002C310E">
        <w:rPr>
          <w:rFonts w:cstheme="minorHAnsi"/>
          <w:sz w:val="24"/>
          <w:szCs w:val="24"/>
        </w:rPr>
        <w:t xml:space="preserve"> Hodnocení efektivnosti a hospodárnosti </w:t>
      </w:r>
      <w:r w:rsidRPr="00E9037C">
        <w:rPr>
          <w:rFonts w:cstheme="minorHAnsi"/>
          <w:sz w:val="24"/>
          <w:szCs w:val="24"/>
        </w:rPr>
        <w:t xml:space="preserve">projektů </w:t>
      </w:r>
      <w:r w:rsidRPr="00AF2905">
        <w:rPr>
          <w:rFonts w:cstheme="minorHAnsi"/>
          <w:sz w:val="24"/>
          <w:szCs w:val="24"/>
        </w:rPr>
        <w:t xml:space="preserve">NP ISF </w:t>
      </w:r>
      <w:r w:rsidR="00295DFC" w:rsidRPr="00AF2905">
        <w:rPr>
          <w:rFonts w:cstheme="minorHAnsi"/>
          <w:sz w:val="24"/>
          <w:szCs w:val="24"/>
        </w:rPr>
        <w:t xml:space="preserve">ze strany MV </w:t>
      </w:r>
      <w:r w:rsidRPr="00E9037C">
        <w:rPr>
          <w:rFonts w:cstheme="minorHAnsi"/>
          <w:sz w:val="24"/>
          <w:szCs w:val="24"/>
        </w:rPr>
        <w:t>je prováděno</w:t>
      </w:r>
      <w:r w:rsidRPr="002C310E">
        <w:rPr>
          <w:rFonts w:cstheme="minorHAnsi"/>
          <w:sz w:val="24"/>
          <w:szCs w:val="24"/>
        </w:rPr>
        <w:t xml:space="preserve"> v rámci věcného hodnocení projektů</w:t>
      </w:r>
      <w:r w:rsidR="00E26B15">
        <w:rPr>
          <w:rFonts w:cstheme="minorHAnsi"/>
          <w:sz w:val="24"/>
          <w:szCs w:val="24"/>
        </w:rPr>
        <w:t>.</w:t>
      </w:r>
      <w:r w:rsidRPr="002C310E">
        <w:rPr>
          <w:rFonts w:cstheme="minorHAnsi"/>
          <w:sz w:val="28"/>
          <w:szCs w:val="28"/>
        </w:rPr>
        <w:t xml:space="preserve"> </w:t>
      </w:r>
      <w:r w:rsidRPr="002C310E">
        <w:rPr>
          <w:rFonts w:cstheme="minorHAnsi"/>
          <w:sz w:val="24"/>
          <w:szCs w:val="24"/>
        </w:rPr>
        <w:t>MV nastav</w:t>
      </w:r>
      <w:r w:rsidR="00346E11">
        <w:rPr>
          <w:rFonts w:cstheme="minorHAnsi"/>
          <w:sz w:val="24"/>
          <w:szCs w:val="24"/>
        </w:rPr>
        <w:t>ilo</w:t>
      </w:r>
      <w:r w:rsidRPr="002C310E">
        <w:rPr>
          <w:rFonts w:cstheme="minorHAnsi"/>
          <w:sz w:val="24"/>
          <w:szCs w:val="24"/>
        </w:rPr>
        <w:t xml:space="preserve"> systém pro hodnocení efektivnosti a</w:t>
      </w:r>
      <w:r w:rsidR="0058305D">
        <w:rPr>
          <w:rFonts w:cstheme="minorHAnsi"/>
          <w:sz w:val="24"/>
          <w:szCs w:val="24"/>
        </w:rPr>
        <w:t> </w:t>
      </w:r>
      <w:r w:rsidRPr="002C310E">
        <w:rPr>
          <w:rFonts w:cstheme="minorHAnsi"/>
          <w:sz w:val="24"/>
          <w:szCs w:val="24"/>
        </w:rPr>
        <w:t xml:space="preserve">hospodárnosti projektů, </w:t>
      </w:r>
      <w:r w:rsidR="00346E11">
        <w:rPr>
          <w:rFonts w:cstheme="minorHAnsi"/>
          <w:sz w:val="24"/>
          <w:szCs w:val="24"/>
        </w:rPr>
        <w:t xml:space="preserve">který však </w:t>
      </w:r>
      <w:r w:rsidRPr="002C310E">
        <w:rPr>
          <w:rFonts w:cstheme="minorHAnsi"/>
          <w:sz w:val="24"/>
          <w:szCs w:val="24"/>
        </w:rPr>
        <w:t>není dostatečně účinný. Kontrolou NKÚ u</w:t>
      </w:r>
      <w:r w:rsidR="00346E11">
        <w:rPr>
          <w:rFonts w:cstheme="minorHAnsi"/>
          <w:sz w:val="24"/>
          <w:szCs w:val="24"/>
        </w:rPr>
        <w:t> </w:t>
      </w:r>
      <w:r w:rsidRPr="002C310E">
        <w:rPr>
          <w:rFonts w:cstheme="minorHAnsi"/>
          <w:sz w:val="24"/>
          <w:szCs w:val="24"/>
        </w:rPr>
        <w:t xml:space="preserve">vybraných projektů byly zjištěny nedostatky snižující efektivnost, které měly být detekovány MV již při schvalovacím procesu. Jednalo </w:t>
      </w:r>
      <w:r w:rsidRPr="00E9037C">
        <w:rPr>
          <w:rFonts w:cstheme="minorHAnsi"/>
          <w:sz w:val="24"/>
          <w:szCs w:val="24"/>
        </w:rPr>
        <w:t xml:space="preserve">se o </w:t>
      </w:r>
      <w:r w:rsidRPr="00AF2905">
        <w:rPr>
          <w:rFonts w:cstheme="minorHAnsi"/>
          <w:sz w:val="24"/>
          <w:szCs w:val="24"/>
        </w:rPr>
        <w:t xml:space="preserve">projekt </w:t>
      </w:r>
      <w:r w:rsidRPr="00E9037C">
        <w:rPr>
          <w:rFonts w:cstheme="minorHAnsi"/>
          <w:bCs/>
          <w:sz w:val="24"/>
          <w:szCs w:val="24"/>
        </w:rPr>
        <w:t>ISF/1/</w:t>
      </w:r>
      <w:r w:rsidRPr="002C310E">
        <w:rPr>
          <w:rFonts w:cstheme="minorHAnsi"/>
          <w:bCs/>
          <w:sz w:val="24"/>
          <w:szCs w:val="24"/>
        </w:rPr>
        <w:t xml:space="preserve">01 </w:t>
      </w:r>
      <w:r w:rsidRPr="002C310E">
        <w:rPr>
          <w:rFonts w:cstheme="minorHAnsi"/>
          <w:bCs/>
          <w:i/>
          <w:sz w:val="24"/>
          <w:szCs w:val="24"/>
        </w:rPr>
        <w:t>Analýza rizik u</w:t>
      </w:r>
      <w:r w:rsidR="00346E11">
        <w:rPr>
          <w:rFonts w:cstheme="minorHAnsi"/>
          <w:bCs/>
          <w:i/>
          <w:sz w:val="24"/>
          <w:szCs w:val="24"/>
        </w:rPr>
        <w:t> </w:t>
      </w:r>
      <w:r w:rsidRPr="002C310E">
        <w:rPr>
          <w:rFonts w:cstheme="minorHAnsi"/>
          <w:bCs/>
          <w:i/>
          <w:sz w:val="24"/>
          <w:szCs w:val="24"/>
        </w:rPr>
        <w:t xml:space="preserve">cestujících, </w:t>
      </w:r>
      <w:r w:rsidRPr="002C310E">
        <w:rPr>
          <w:rFonts w:cstheme="minorHAnsi"/>
          <w:bCs/>
          <w:iCs/>
          <w:sz w:val="24"/>
          <w:szCs w:val="24"/>
        </w:rPr>
        <w:t>kde b</w:t>
      </w:r>
      <w:r w:rsidRPr="002C310E">
        <w:rPr>
          <w:rFonts w:cstheme="minorHAnsi"/>
          <w:bCs/>
          <w:sz w:val="24"/>
          <w:szCs w:val="24"/>
        </w:rPr>
        <w:t>yly zjištěny nedostatky v odůvodnění požadované výše peněžních prostředků a</w:t>
      </w:r>
      <w:r w:rsidR="00CD0CBA">
        <w:rPr>
          <w:rFonts w:cstheme="minorHAnsi"/>
          <w:bCs/>
          <w:sz w:val="24"/>
          <w:szCs w:val="24"/>
        </w:rPr>
        <w:t xml:space="preserve"> v </w:t>
      </w:r>
      <w:r w:rsidR="00A22EF6">
        <w:rPr>
          <w:rFonts w:cstheme="minorHAnsi"/>
          <w:bCs/>
          <w:sz w:val="24"/>
          <w:szCs w:val="24"/>
        </w:rPr>
        <w:t xml:space="preserve">zahrnutí </w:t>
      </w:r>
      <w:r w:rsidRPr="002C310E">
        <w:rPr>
          <w:rFonts w:cstheme="minorHAnsi"/>
          <w:bCs/>
          <w:sz w:val="24"/>
          <w:szCs w:val="24"/>
        </w:rPr>
        <w:t>klíčové aktivity</w:t>
      </w:r>
      <w:r w:rsidR="00A22EF6">
        <w:rPr>
          <w:rFonts w:cstheme="minorHAnsi"/>
          <w:bCs/>
          <w:sz w:val="24"/>
          <w:szCs w:val="24"/>
        </w:rPr>
        <w:t xml:space="preserve">, </w:t>
      </w:r>
      <w:r w:rsidR="006D52C6">
        <w:rPr>
          <w:rFonts w:cstheme="minorHAnsi"/>
          <w:bCs/>
          <w:sz w:val="24"/>
          <w:szCs w:val="24"/>
        </w:rPr>
        <w:t>jejíž výstup byl využit</w:t>
      </w:r>
      <w:r w:rsidR="00850908">
        <w:rPr>
          <w:rFonts w:cstheme="minorHAnsi"/>
          <w:bCs/>
          <w:sz w:val="24"/>
          <w:szCs w:val="24"/>
        </w:rPr>
        <w:t xml:space="preserve"> již </w:t>
      </w:r>
      <w:r w:rsidR="006D52C6">
        <w:rPr>
          <w:rFonts w:cstheme="minorHAnsi"/>
          <w:bCs/>
          <w:sz w:val="24"/>
          <w:szCs w:val="24"/>
        </w:rPr>
        <w:t>před zahájením realizace projektu</w:t>
      </w:r>
      <w:r w:rsidR="00CD0CBA">
        <w:rPr>
          <w:rFonts w:cstheme="minorHAnsi"/>
          <w:bCs/>
          <w:sz w:val="24"/>
          <w:szCs w:val="24"/>
        </w:rPr>
        <w:t>.</w:t>
      </w:r>
      <w:r w:rsidRPr="002C310E">
        <w:rPr>
          <w:rFonts w:cstheme="minorHAnsi"/>
          <w:bCs/>
          <w:sz w:val="24"/>
          <w:szCs w:val="24"/>
        </w:rPr>
        <w:t xml:space="preserve"> NKÚ tento projekt vyhodnotil jako efektivní pouze omezeně. Obdobně NKÚ vyhodnotil také projekt ISF/6/01</w:t>
      </w:r>
      <w:r w:rsidR="00A30514">
        <w:rPr>
          <w:rFonts w:cstheme="minorHAnsi"/>
          <w:bCs/>
          <w:sz w:val="24"/>
          <w:szCs w:val="24"/>
        </w:rPr>
        <w:t xml:space="preserve"> –</w:t>
      </w:r>
      <w:r w:rsidRPr="002C310E">
        <w:rPr>
          <w:rFonts w:cstheme="minorHAnsi"/>
          <w:bCs/>
          <w:i/>
          <w:sz w:val="24"/>
          <w:szCs w:val="24"/>
        </w:rPr>
        <w:t xml:space="preserve"> Národní situační centr</w:t>
      </w:r>
      <w:r w:rsidR="00A30514">
        <w:rPr>
          <w:rFonts w:cstheme="minorHAnsi"/>
          <w:bCs/>
          <w:i/>
          <w:sz w:val="24"/>
          <w:szCs w:val="24"/>
        </w:rPr>
        <w:t>um</w:t>
      </w:r>
      <w:r w:rsidRPr="002C310E">
        <w:rPr>
          <w:rFonts w:cstheme="minorHAnsi"/>
          <w:bCs/>
          <w:i/>
          <w:sz w:val="24"/>
          <w:szCs w:val="24"/>
        </w:rPr>
        <w:t xml:space="preserve"> ochrany hranic </w:t>
      </w:r>
      <w:r w:rsidRPr="002C310E">
        <w:rPr>
          <w:rFonts w:cstheme="minorHAnsi"/>
          <w:bCs/>
          <w:sz w:val="24"/>
          <w:szCs w:val="24"/>
        </w:rPr>
        <w:t>(viz příklad č. 3).</w:t>
      </w:r>
    </w:p>
    <w:p w14:paraId="705D012E" w14:textId="77777777" w:rsidR="00DD7386" w:rsidRPr="002C310E" w:rsidRDefault="00F04DCF" w:rsidP="00733FC4">
      <w:pPr>
        <w:spacing w:after="120" w:line="240" w:lineRule="auto"/>
        <w:jc w:val="both"/>
        <w:rPr>
          <w:rFonts w:cstheme="minorHAnsi"/>
          <w:b/>
          <w:color w:val="C00000"/>
          <w:sz w:val="24"/>
          <w:szCs w:val="24"/>
        </w:rPr>
      </w:pPr>
      <w:r w:rsidRPr="002C310E">
        <w:rPr>
          <w:rFonts w:cstheme="minorHAnsi"/>
          <w:b/>
          <w:color w:val="C00000"/>
          <w:sz w:val="24"/>
          <w:szCs w:val="24"/>
        </w:rPr>
        <w:t xml:space="preserve">→ Efektivnost </w:t>
      </w:r>
      <w:r w:rsidR="00295DFC">
        <w:rPr>
          <w:rFonts w:cstheme="minorHAnsi"/>
          <w:b/>
          <w:color w:val="C00000"/>
          <w:sz w:val="24"/>
          <w:szCs w:val="24"/>
        </w:rPr>
        <w:t xml:space="preserve">vynaložených prostředků u </w:t>
      </w:r>
      <w:r w:rsidR="008C42D5" w:rsidRPr="002C310E">
        <w:rPr>
          <w:rFonts w:cstheme="minorHAnsi"/>
          <w:b/>
          <w:color w:val="C00000"/>
          <w:sz w:val="24"/>
          <w:szCs w:val="24"/>
        </w:rPr>
        <w:t xml:space="preserve">tří </w:t>
      </w:r>
      <w:r w:rsidR="00EE499B" w:rsidRPr="002C310E">
        <w:rPr>
          <w:rFonts w:cstheme="minorHAnsi"/>
          <w:b/>
          <w:color w:val="C00000"/>
          <w:sz w:val="24"/>
          <w:szCs w:val="24"/>
        </w:rPr>
        <w:t xml:space="preserve">ze sedmi </w:t>
      </w:r>
      <w:r w:rsidRPr="002C310E">
        <w:rPr>
          <w:rFonts w:cstheme="minorHAnsi"/>
          <w:b/>
          <w:color w:val="C00000"/>
          <w:sz w:val="24"/>
          <w:szCs w:val="24"/>
        </w:rPr>
        <w:t xml:space="preserve">vybraných projektů </w:t>
      </w:r>
      <w:r w:rsidR="00CE61C3" w:rsidRPr="002C310E">
        <w:rPr>
          <w:rFonts w:cstheme="minorHAnsi"/>
          <w:b/>
          <w:color w:val="C00000"/>
          <w:sz w:val="24"/>
          <w:szCs w:val="24"/>
        </w:rPr>
        <w:t>NP ISF vyhodnotil</w:t>
      </w:r>
      <w:r w:rsidR="00EE499B" w:rsidRPr="002C310E">
        <w:rPr>
          <w:rFonts w:cstheme="minorHAnsi"/>
          <w:b/>
          <w:color w:val="C00000"/>
          <w:sz w:val="24"/>
          <w:szCs w:val="24"/>
        </w:rPr>
        <w:t xml:space="preserve"> NKÚ </w:t>
      </w:r>
      <w:r w:rsidR="00CE61C3" w:rsidRPr="002C310E">
        <w:rPr>
          <w:rFonts w:cstheme="minorHAnsi"/>
          <w:b/>
          <w:color w:val="C00000"/>
          <w:sz w:val="24"/>
          <w:szCs w:val="24"/>
        </w:rPr>
        <w:t>jako</w:t>
      </w:r>
      <w:r w:rsidR="008C42D5" w:rsidRPr="002C310E">
        <w:rPr>
          <w:rFonts w:cstheme="minorHAnsi"/>
          <w:b/>
          <w:color w:val="C00000"/>
          <w:sz w:val="24"/>
          <w:szCs w:val="24"/>
        </w:rPr>
        <w:t xml:space="preserve"> omezen</w:t>
      </w:r>
      <w:r w:rsidR="00CE61C3" w:rsidRPr="002C310E">
        <w:rPr>
          <w:rFonts w:cstheme="minorHAnsi"/>
          <w:b/>
          <w:color w:val="C00000"/>
          <w:sz w:val="24"/>
          <w:szCs w:val="24"/>
        </w:rPr>
        <w:t>ou a u </w:t>
      </w:r>
      <w:r w:rsidR="008C42D5" w:rsidRPr="002C310E">
        <w:rPr>
          <w:rFonts w:cstheme="minorHAnsi"/>
          <w:b/>
          <w:color w:val="C00000"/>
          <w:sz w:val="24"/>
          <w:szCs w:val="24"/>
        </w:rPr>
        <w:t xml:space="preserve">čtyř projektů </w:t>
      </w:r>
      <w:r w:rsidR="00CE61C3" w:rsidRPr="002C310E">
        <w:rPr>
          <w:rFonts w:cstheme="minorHAnsi"/>
          <w:b/>
          <w:color w:val="C00000"/>
          <w:sz w:val="24"/>
          <w:szCs w:val="24"/>
        </w:rPr>
        <w:t>ji nehodnotil</w:t>
      </w:r>
      <w:r w:rsidR="008C42D5" w:rsidRPr="002C310E">
        <w:rPr>
          <w:rFonts w:cstheme="minorHAnsi"/>
          <w:b/>
          <w:color w:val="C00000"/>
          <w:sz w:val="24"/>
          <w:szCs w:val="24"/>
        </w:rPr>
        <w:t xml:space="preserve"> z důvodu </w:t>
      </w:r>
      <w:r w:rsidR="00F10A0E" w:rsidRPr="002C310E">
        <w:rPr>
          <w:rFonts w:cstheme="minorHAnsi"/>
          <w:b/>
          <w:color w:val="C00000"/>
          <w:sz w:val="24"/>
          <w:szCs w:val="24"/>
        </w:rPr>
        <w:t xml:space="preserve">jejich </w:t>
      </w:r>
      <w:r w:rsidR="008C42D5" w:rsidRPr="002C310E">
        <w:rPr>
          <w:rFonts w:cstheme="minorHAnsi"/>
          <w:b/>
          <w:color w:val="C00000"/>
          <w:sz w:val="24"/>
          <w:szCs w:val="24"/>
        </w:rPr>
        <w:t>nedokončené realizace</w:t>
      </w:r>
      <w:r w:rsidRPr="002C310E">
        <w:rPr>
          <w:rFonts w:cstheme="minorHAnsi"/>
          <w:b/>
          <w:color w:val="C00000"/>
          <w:sz w:val="24"/>
          <w:szCs w:val="24"/>
        </w:rPr>
        <w:t>.</w:t>
      </w:r>
    </w:p>
    <w:p w14:paraId="3B0346EF" w14:textId="32176716" w:rsidR="008C42D5" w:rsidRPr="002C310E" w:rsidRDefault="00F04DCF" w:rsidP="00733FC4">
      <w:pPr>
        <w:spacing w:after="120" w:line="240" w:lineRule="auto"/>
        <w:jc w:val="both"/>
        <w:rPr>
          <w:rFonts w:cstheme="minorHAnsi"/>
          <w:noProof/>
          <w:sz w:val="24"/>
          <w:szCs w:val="24"/>
        </w:rPr>
      </w:pPr>
      <w:r w:rsidRPr="00DF1082">
        <w:rPr>
          <w:rFonts w:cstheme="minorHAnsi"/>
          <w:b/>
          <w:noProof/>
          <w:sz w:val="24"/>
          <w:szCs w:val="24"/>
        </w:rPr>
        <w:t>4.</w:t>
      </w:r>
      <w:r w:rsidR="000B1625" w:rsidRPr="00DF1082">
        <w:rPr>
          <w:rFonts w:cstheme="minorHAnsi"/>
          <w:b/>
          <w:noProof/>
          <w:sz w:val="24"/>
          <w:szCs w:val="24"/>
        </w:rPr>
        <w:t>19</w:t>
      </w:r>
      <w:r w:rsidRPr="002C310E">
        <w:rPr>
          <w:rFonts w:cstheme="minorHAnsi"/>
          <w:noProof/>
          <w:sz w:val="24"/>
          <w:szCs w:val="24"/>
        </w:rPr>
        <w:t xml:space="preserve"> NKÚ provedl posouzení efektivnosti</w:t>
      </w:r>
      <w:r w:rsidRPr="0045367F">
        <w:rPr>
          <w:sz w:val="24"/>
        </w:rPr>
        <w:t xml:space="preserve"> </w:t>
      </w:r>
      <w:r w:rsidR="00EE499B" w:rsidRPr="002C310E">
        <w:rPr>
          <w:rFonts w:cstheme="minorHAnsi"/>
          <w:noProof/>
          <w:sz w:val="24"/>
          <w:szCs w:val="24"/>
        </w:rPr>
        <w:t>sedmi vybraných projektů NP ISF.</w:t>
      </w:r>
      <w:r w:rsidRPr="002C310E">
        <w:rPr>
          <w:rFonts w:cstheme="minorHAnsi"/>
          <w:noProof/>
          <w:sz w:val="24"/>
          <w:szCs w:val="24"/>
        </w:rPr>
        <w:t xml:space="preserve"> Stejně jako v případě účelnosti byla k vyhodnocení využita čtyřstupňová škála (projekt je efektivní / je efektivní s mírnými nedostatky / je efektivní pouze omezeně / není efektivní). Kritéria pro posouzení efektivnosti, která NKÚ použil, jsou uvedena v příloze č. 4</w:t>
      </w:r>
      <w:r w:rsidR="00366836">
        <w:rPr>
          <w:rFonts w:cstheme="minorHAnsi"/>
          <w:noProof/>
          <w:sz w:val="24"/>
          <w:szCs w:val="24"/>
        </w:rPr>
        <w:t xml:space="preserve"> </w:t>
      </w:r>
      <w:r w:rsidR="00366836">
        <w:rPr>
          <w:rFonts w:eastAsia="Times New Roman" w:cstheme="minorHAnsi"/>
          <w:sz w:val="24"/>
          <w:szCs w:val="24"/>
        </w:rPr>
        <w:t>tohoto kontrolního závěru</w:t>
      </w:r>
      <w:r w:rsidRPr="002C310E">
        <w:rPr>
          <w:rFonts w:cstheme="minorHAnsi"/>
          <w:noProof/>
          <w:sz w:val="24"/>
          <w:szCs w:val="24"/>
        </w:rPr>
        <w:t>.</w:t>
      </w:r>
    </w:p>
    <w:p w14:paraId="07C5172B" w14:textId="292E06F0" w:rsidR="008C42D5" w:rsidRPr="00B414E3" w:rsidRDefault="00F04DCF" w:rsidP="00733FC4">
      <w:pPr>
        <w:spacing w:after="120" w:line="240" w:lineRule="auto"/>
        <w:jc w:val="both"/>
        <w:rPr>
          <w:rFonts w:cstheme="minorHAnsi"/>
          <w:noProof/>
          <w:spacing w:val="-2"/>
          <w:sz w:val="24"/>
          <w:szCs w:val="24"/>
        </w:rPr>
      </w:pPr>
      <w:r w:rsidRPr="00DF1082">
        <w:rPr>
          <w:rFonts w:cstheme="minorHAnsi"/>
          <w:b/>
          <w:noProof/>
          <w:spacing w:val="-2"/>
          <w:sz w:val="24"/>
          <w:szCs w:val="24"/>
        </w:rPr>
        <w:t>4.2</w:t>
      </w:r>
      <w:r w:rsidR="000B1625" w:rsidRPr="00DF1082">
        <w:rPr>
          <w:rFonts w:cstheme="minorHAnsi"/>
          <w:b/>
          <w:noProof/>
          <w:spacing w:val="-2"/>
          <w:sz w:val="24"/>
          <w:szCs w:val="24"/>
        </w:rPr>
        <w:t>0</w:t>
      </w:r>
      <w:r w:rsidRPr="00B414E3">
        <w:rPr>
          <w:rFonts w:cstheme="minorHAnsi"/>
          <w:noProof/>
          <w:spacing w:val="-2"/>
          <w:sz w:val="24"/>
          <w:szCs w:val="24"/>
        </w:rPr>
        <w:t xml:space="preserve"> </w:t>
      </w:r>
      <w:r w:rsidR="00EE499B" w:rsidRPr="00B414E3">
        <w:rPr>
          <w:rFonts w:cstheme="minorHAnsi"/>
          <w:noProof/>
          <w:spacing w:val="-2"/>
          <w:sz w:val="24"/>
          <w:szCs w:val="24"/>
        </w:rPr>
        <w:t xml:space="preserve">Tři projekty vyhodnotil NKÚ jako </w:t>
      </w:r>
      <w:r w:rsidRPr="00B414E3">
        <w:rPr>
          <w:rFonts w:cstheme="minorHAnsi"/>
          <w:noProof/>
          <w:spacing w:val="-2"/>
          <w:sz w:val="24"/>
          <w:szCs w:val="24"/>
        </w:rPr>
        <w:t>efektivní pouze omezeně a čtyř</w:t>
      </w:r>
      <w:r w:rsidR="00CE61C3" w:rsidRPr="00B414E3">
        <w:rPr>
          <w:rFonts w:cstheme="minorHAnsi"/>
          <w:noProof/>
          <w:spacing w:val="-2"/>
          <w:sz w:val="24"/>
          <w:szCs w:val="24"/>
        </w:rPr>
        <w:t>i projekty</w:t>
      </w:r>
      <w:r w:rsidRPr="00B414E3">
        <w:rPr>
          <w:rFonts w:cstheme="minorHAnsi"/>
          <w:noProof/>
          <w:spacing w:val="-2"/>
          <w:sz w:val="24"/>
          <w:szCs w:val="24"/>
        </w:rPr>
        <w:t xml:space="preserve"> </w:t>
      </w:r>
      <w:r w:rsidR="00CE61C3" w:rsidRPr="00B414E3">
        <w:rPr>
          <w:rFonts w:cstheme="minorHAnsi"/>
          <w:noProof/>
          <w:spacing w:val="-2"/>
          <w:sz w:val="24"/>
          <w:szCs w:val="24"/>
        </w:rPr>
        <w:t>nehodnotil</w:t>
      </w:r>
      <w:r w:rsidRPr="00B414E3">
        <w:rPr>
          <w:rFonts w:cstheme="minorHAnsi"/>
          <w:noProof/>
          <w:spacing w:val="-2"/>
          <w:sz w:val="24"/>
          <w:szCs w:val="24"/>
        </w:rPr>
        <w:t xml:space="preserve"> vzhledem k</w:t>
      </w:r>
      <w:r w:rsidR="00D47EF9" w:rsidRPr="00B414E3">
        <w:rPr>
          <w:rFonts w:cstheme="minorHAnsi"/>
          <w:noProof/>
          <w:spacing w:val="-2"/>
          <w:sz w:val="24"/>
          <w:szCs w:val="24"/>
        </w:rPr>
        <w:t xml:space="preserve"> jejich nedokončené </w:t>
      </w:r>
      <w:r w:rsidRPr="00B414E3">
        <w:rPr>
          <w:rFonts w:cstheme="minorHAnsi"/>
          <w:noProof/>
          <w:spacing w:val="-2"/>
          <w:sz w:val="24"/>
          <w:szCs w:val="24"/>
        </w:rPr>
        <w:t>realizac</w:t>
      </w:r>
      <w:r w:rsidR="00D47EF9" w:rsidRPr="00B414E3">
        <w:rPr>
          <w:rFonts w:cstheme="minorHAnsi"/>
          <w:noProof/>
          <w:spacing w:val="-2"/>
          <w:sz w:val="24"/>
          <w:szCs w:val="24"/>
        </w:rPr>
        <w:t>i</w:t>
      </w:r>
      <w:r w:rsidRPr="00B414E3">
        <w:rPr>
          <w:rFonts w:cstheme="minorHAnsi"/>
          <w:noProof/>
          <w:spacing w:val="-2"/>
          <w:sz w:val="24"/>
          <w:szCs w:val="24"/>
        </w:rPr>
        <w:t xml:space="preserve">. </w:t>
      </w:r>
      <w:r w:rsidR="002557DF" w:rsidRPr="00B414E3">
        <w:rPr>
          <w:rFonts w:cstheme="minorHAnsi"/>
          <w:noProof/>
          <w:spacing w:val="-2"/>
          <w:sz w:val="24"/>
          <w:szCs w:val="24"/>
        </w:rPr>
        <w:t>Omezenou efektivnost projektů spatřuje NKÚ zejména</w:t>
      </w:r>
      <w:r w:rsidR="00A711FE" w:rsidRPr="00B414E3">
        <w:rPr>
          <w:rFonts w:cstheme="minorHAnsi"/>
          <w:noProof/>
          <w:spacing w:val="-2"/>
          <w:sz w:val="24"/>
          <w:szCs w:val="24"/>
        </w:rPr>
        <w:t xml:space="preserve"> </w:t>
      </w:r>
      <w:r w:rsidR="002557DF" w:rsidRPr="00B414E3">
        <w:rPr>
          <w:rFonts w:cstheme="minorHAnsi"/>
          <w:noProof/>
          <w:spacing w:val="-2"/>
          <w:sz w:val="24"/>
          <w:szCs w:val="24"/>
        </w:rPr>
        <w:t>v nedostatečném zdůvodnění výše požadovných peněžních prostředků</w:t>
      </w:r>
      <w:r w:rsidR="00472E85" w:rsidRPr="00B414E3">
        <w:rPr>
          <w:rFonts w:cstheme="minorHAnsi"/>
          <w:noProof/>
          <w:spacing w:val="-2"/>
          <w:sz w:val="24"/>
          <w:szCs w:val="24"/>
        </w:rPr>
        <w:t xml:space="preserve"> nebo </w:t>
      </w:r>
      <w:r w:rsidR="00346E11">
        <w:rPr>
          <w:rFonts w:cstheme="minorHAnsi"/>
          <w:noProof/>
          <w:spacing w:val="-2"/>
          <w:sz w:val="24"/>
          <w:szCs w:val="24"/>
        </w:rPr>
        <w:t>v </w:t>
      </w:r>
      <w:r w:rsidR="00472E85" w:rsidRPr="00B414E3">
        <w:rPr>
          <w:rFonts w:cstheme="minorHAnsi"/>
          <w:noProof/>
          <w:spacing w:val="-2"/>
          <w:sz w:val="24"/>
          <w:szCs w:val="24"/>
        </w:rPr>
        <w:t>opakovaný</w:t>
      </w:r>
      <w:r w:rsidR="00346E11">
        <w:rPr>
          <w:rFonts w:cstheme="minorHAnsi"/>
          <w:noProof/>
          <w:spacing w:val="-2"/>
          <w:sz w:val="24"/>
          <w:szCs w:val="24"/>
        </w:rPr>
        <w:t>ch</w:t>
      </w:r>
      <w:r w:rsidR="00472E85" w:rsidRPr="00B414E3">
        <w:rPr>
          <w:rFonts w:cstheme="minorHAnsi"/>
          <w:noProof/>
          <w:spacing w:val="-2"/>
          <w:sz w:val="24"/>
          <w:szCs w:val="24"/>
        </w:rPr>
        <w:t xml:space="preserve"> změná</w:t>
      </w:r>
      <w:r w:rsidR="00346E11">
        <w:rPr>
          <w:rFonts w:cstheme="minorHAnsi"/>
          <w:noProof/>
          <w:spacing w:val="-2"/>
          <w:sz w:val="24"/>
          <w:szCs w:val="24"/>
        </w:rPr>
        <w:t>ch</w:t>
      </w:r>
      <w:r w:rsidR="00472E85" w:rsidRPr="00B414E3">
        <w:rPr>
          <w:rFonts w:cstheme="minorHAnsi"/>
          <w:noProof/>
          <w:spacing w:val="-2"/>
          <w:sz w:val="24"/>
          <w:szCs w:val="24"/>
        </w:rPr>
        <w:t xml:space="preserve"> nákladů jednotlivých položek projektu bez řádného zdůvodnění</w:t>
      </w:r>
      <w:r w:rsidR="00A711FE" w:rsidRPr="00B414E3">
        <w:rPr>
          <w:rFonts w:cstheme="minorHAnsi"/>
          <w:noProof/>
          <w:spacing w:val="-2"/>
          <w:sz w:val="24"/>
          <w:szCs w:val="24"/>
        </w:rPr>
        <w:t xml:space="preserve"> </w:t>
      </w:r>
      <w:r w:rsidR="00A711FE" w:rsidRPr="00B414E3">
        <w:rPr>
          <w:rFonts w:cstheme="minorHAnsi"/>
          <w:bCs/>
          <w:spacing w:val="-2"/>
          <w:sz w:val="24"/>
          <w:szCs w:val="24"/>
        </w:rPr>
        <w:t>(viz příklad č. 3)</w:t>
      </w:r>
      <w:r w:rsidR="00472E85" w:rsidRPr="00B414E3">
        <w:rPr>
          <w:rFonts w:cstheme="minorHAnsi"/>
          <w:noProof/>
          <w:spacing w:val="-2"/>
          <w:sz w:val="24"/>
          <w:szCs w:val="24"/>
        </w:rPr>
        <w:t>.</w:t>
      </w:r>
      <w:r w:rsidR="002557DF" w:rsidRPr="00B414E3">
        <w:rPr>
          <w:rFonts w:cstheme="minorHAnsi"/>
          <w:noProof/>
          <w:spacing w:val="-2"/>
          <w:sz w:val="24"/>
          <w:szCs w:val="24"/>
        </w:rPr>
        <w:t xml:space="preserve"> </w:t>
      </w:r>
      <w:r w:rsidRPr="00B414E3">
        <w:rPr>
          <w:rFonts w:cstheme="minorHAnsi"/>
          <w:noProof/>
          <w:spacing w:val="-2"/>
          <w:sz w:val="24"/>
          <w:szCs w:val="24"/>
        </w:rPr>
        <w:lastRenderedPageBreak/>
        <w:t>Výsledek shrnuje</w:t>
      </w:r>
      <w:r w:rsidR="00416071" w:rsidRPr="00B414E3">
        <w:rPr>
          <w:rFonts w:cstheme="minorHAnsi"/>
          <w:noProof/>
          <w:spacing w:val="-2"/>
          <w:sz w:val="24"/>
          <w:szCs w:val="24"/>
        </w:rPr>
        <w:t xml:space="preserve"> </w:t>
      </w:r>
      <w:r w:rsidRPr="00B414E3">
        <w:rPr>
          <w:rFonts w:cstheme="minorHAnsi"/>
          <w:noProof/>
          <w:spacing w:val="-2"/>
          <w:sz w:val="24"/>
          <w:szCs w:val="24"/>
        </w:rPr>
        <w:t xml:space="preserve">graf č. </w:t>
      </w:r>
      <w:r w:rsidR="00416071" w:rsidRPr="00B414E3">
        <w:rPr>
          <w:rFonts w:cstheme="minorHAnsi"/>
          <w:noProof/>
          <w:spacing w:val="-2"/>
          <w:sz w:val="24"/>
          <w:szCs w:val="24"/>
        </w:rPr>
        <w:t>2</w:t>
      </w:r>
      <w:r w:rsidRPr="00B414E3">
        <w:rPr>
          <w:rFonts w:cstheme="minorHAnsi"/>
          <w:noProof/>
          <w:spacing w:val="-2"/>
          <w:sz w:val="24"/>
          <w:szCs w:val="24"/>
        </w:rPr>
        <w:t xml:space="preserve">. </w:t>
      </w:r>
      <w:r w:rsidR="00E26B15" w:rsidRPr="00B414E3">
        <w:rPr>
          <w:rFonts w:cstheme="minorHAnsi"/>
          <w:noProof/>
          <w:spacing w:val="-2"/>
          <w:sz w:val="24"/>
          <w:szCs w:val="24"/>
        </w:rPr>
        <w:t xml:space="preserve">Hodnocení </w:t>
      </w:r>
      <w:r w:rsidRPr="00B414E3">
        <w:rPr>
          <w:rFonts w:cstheme="minorHAnsi"/>
          <w:noProof/>
          <w:spacing w:val="-2"/>
          <w:sz w:val="24"/>
          <w:szCs w:val="24"/>
        </w:rPr>
        <w:t>jednotlivých projektů j</w:t>
      </w:r>
      <w:r w:rsidR="00E26B15" w:rsidRPr="00B414E3">
        <w:rPr>
          <w:rFonts w:cstheme="minorHAnsi"/>
          <w:noProof/>
          <w:spacing w:val="-2"/>
          <w:sz w:val="24"/>
          <w:szCs w:val="24"/>
        </w:rPr>
        <w:t>e</w:t>
      </w:r>
      <w:r w:rsidRPr="00B414E3">
        <w:rPr>
          <w:rFonts w:cstheme="minorHAnsi"/>
          <w:noProof/>
          <w:spacing w:val="-2"/>
          <w:sz w:val="24"/>
          <w:szCs w:val="24"/>
        </w:rPr>
        <w:t xml:space="preserve"> </w:t>
      </w:r>
      <w:r w:rsidR="009F1452" w:rsidRPr="00B414E3">
        <w:rPr>
          <w:rFonts w:cstheme="minorHAnsi"/>
          <w:noProof/>
          <w:spacing w:val="-2"/>
          <w:sz w:val="24"/>
          <w:szCs w:val="24"/>
        </w:rPr>
        <w:t>uveden</w:t>
      </w:r>
      <w:r w:rsidR="00E26B15" w:rsidRPr="00B414E3">
        <w:rPr>
          <w:rFonts w:cstheme="minorHAnsi"/>
          <w:noProof/>
          <w:spacing w:val="-2"/>
          <w:sz w:val="24"/>
          <w:szCs w:val="24"/>
        </w:rPr>
        <w:t>o</w:t>
      </w:r>
      <w:r w:rsidR="009F1452" w:rsidRPr="00B414E3">
        <w:rPr>
          <w:rFonts w:cstheme="minorHAnsi"/>
          <w:noProof/>
          <w:spacing w:val="-2"/>
          <w:sz w:val="24"/>
          <w:szCs w:val="24"/>
        </w:rPr>
        <w:t xml:space="preserve"> v příloze č. </w:t>
      </w:r>
      <w:r w:rsidR="001D5D00" w:rsidRPr="00B414E3">
        <w:rPr>
          <w:rFonts w:cstheme="minorHAnsi"/>
          <w:noProof/>
          <w:spacing w:val="-2"/>
          <w:sz w:val="24"/>
          <w:szCs w:val="24"/>
        </w:rPr>
        <w:t>3</w:t>
      </w:r>
      <w:r w:rsidR="00846288">
        <w:rPr>
          <w:rFonts w:cstheme="minorHAnsi"/>
          <w:noProof/>
          <w:spacing w:val="-2"/>
          <w:sz w:val="24"/>
          <w:szCs w:val="24"/>
        </w:rPr>
        <w:t xml:space="preserve"> </w:t>
      </w:r>
      <w:r w:rsidR="00846288">
        <w:rPr>
          <w:rFonts w:eastAsia="Times New Roman" w:cstheme="minorHAnsi"/>
          <w:color w:val="000000"/>
          <w:sz w:val="24"/>
          <w:szCs w:val="24"/>
        </w:rPr>
        <w:t>tohoto kontrolního závěru</w:t>
      </w:r>
      <w:r w:rsidRPr="00B414E3">
        <w:rPr>
          <w:rFonts w:cstheme="minorHAnsi"/>
          <w:noProof/>
          <w:spacing w:val="-2"/>
          <w:sz w:val="24"/>
          <w:szCs w:val="24"/>
        </w:rPr>
        <w:t>.</w:t>
      </w:r>
    </w:p>
    <w:p w14:paraId="2F168604" w14:textId="666921F4" w:rsidR="002155B1" w:rsidRPr="002C310E" w:rsidRDefault="00F04DCF" w:rsidP="00A159C0">
      <w:pPr>
        <w:keepNext/>
        <w:spacing w:after="120" w:line="240" w:lineRule="auto"/>
        <w:jc w:val="both"/>
        <w:rPr>
          <w:rFonts w:cstheme="minorHAnsi"/>
          <w:b/>
          <w:sz w:val="24"/>
          <w:szCs w:val="24"/>
        </w:rPr>
      </w:pPr>
      <w:r w:rsidRPr="002C310E">
        <w:rPr>
          <w:rFonts w:cstheme="minorHAnsi"/>
          <w:b/>
          <w:sz w:val="24"/>
          <w:szCs w:val="24"/>
        </w:rPr>
        <w:t xml:space="preserve">Graf č. </w:t>
      </w:r>
      <w:r w:rsidR="00416071" w:rsidRPr="002C310E">
        <w:rPr>
          <w:rFonts w:cstheme="minorHAnsi"/>
          <w:b/>
          <w:sz w:val="24"/>
          <w:szCs w:val="24"/>
        </w:rPr>
        <w:t>2</w:t>
      </w:r>
      <w:r w:rsidRPr="002C310E">
        <w:rPr>
          <w:rFonts w:cstheme="minorHAnsi"/>
          <w:b/>
          <w:sz w:val="24"/>
          <w:szCs w:val="24"/>
        </w:rPr>
        <w:t xml:space="preserve">: Výsledek hodnocení efektivnosti </w:t>
      </w:r>
      <w:r w:rsidR="003627E1" w:rsidRPr="002C310E">
        <w:rPr>
          <w:rFonts w:cstheme="minorHAnsi"/>
          <w:b/>
          <w:sz w:val="24"/>
          <w:szCs w:val="24"/>
        </w:rPr>
        <w:t>sedmi</w:t>
      </w:r>
      <w:r w:rsidRPr="002C310E">
        <w:rPr>
          <w:rFonts w:cstheme="minorHAnsi"/>
          <w:b/>
          <w:sz w:val="24"/>
          <w:szCs w:val="24"/>
        </w:rPr>
        <w:t xml:space="preserve"> vybraných projektů</w:t>
      </w:r>
      <w:r w:rsidR="00C23C8F">
        <w:rPr>
          <w:rFonts w:cstheme="minorHAnsi"/>
          <w:b/>
          <w:sz w:val="24"/>
          <w:szCs w:val="24"/>
        </w:rPr>
        <w:t xml:space="preserve"> NP</w:t>
      </w:r>
      <w:r w:rsidRPr="002C310E">
        <w:rPr>
          <w:rFonts w:cstheme="minorHAnsi"/>
          <w:b/>
          <w:sz w:val="24"/>
          <w:szCs w:val="24"/>
        </w:rPr>
        <w:t xml:space="preserve"> ISF</w:t>
      </w:r>
    </w:p>
    <w:p w14:paraId="0E20268A" w14:textId="77777777" w:rsidR="002155B1" w:rsidRPr="002C310E" w:rsidRDefault="00F04DCF" w:rsidP="00A159C0">
      <w:pPr>
        <w:keepNext/>
        <w:spacing w:after="0" w:line="240" w:lineRule="auto"/>
        <w:jc w:val="center"/>
        <w:rPr>
          <w:rFonts w:cstheme="minorHAnsi"/>
          <w:sz w:val="24"/>
          <w:szCs w:val="24"/>
        </w:rPr>
      </w:pPr>
      <w:r w:rsidRPr="002C310E">
        <w:rPr>
          <w:rFonts w:cstheme="minorHAnsi"/>
          <w:noProof/>
          <w:sz w:val="24"/>
          <w:szCs w:val="24"/>
          <w:lang w:eastAsia="cs-CZ"/>
        </w:rPr>
        <w:drawing>
          <wp:inline distT="0" distB="0" distL="0" distR="0" wp14:anchorId="1DF2BED8" wp14:editId="20A3930D">
            <wp:extent cx="3771900" cy="277177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7342DF" w14:textId="77777777" w:rsidR="00A711FE" w:rsidRPr="00491FCA" w:rsidRDefault="00F04DCF" w:rsidP="00A159C0">
      <w:pPr>
        <w:keepNext/>
        <w:spacing w:after="0" w:line="240" w:lineRule="auto"/>
        <w:jc w:val="both"/>
        <w:rPr>
          <w:rFonts w:cstheme="minorHAnsi"/>
          <w:noProof/>
          <w:sz w:val="20"/>
          <w:szCs w:val="20"/>
        </w:rPr>
      </w:pPr>
      <w:r w:rsidRPr="00491FCA">
        <w:rPr>
          <w:rFonts w:cstheme="minorHAnsi"/>
          <w:sz w:val="20"/>
          <w:szCs w:val="20"/>
        </w:rPr>
        <w:t>*</w:t>
      </w:r>
      <w:r w:rsidRPr="00491FCA">
        <w:rPr>
          <w:rFonts w:cstheme="minorHAnsi"/>
          <w:noProof/>
          <w:sz w:val="20"/>
          <w:szCs w:val="20"/>
        </w:rPr>
        <w:t xml:space="preserve"> Efektivnost nebyla hodnocena vzhledem k nedokončené realizaci projektů.</w:t>
      </w:r>
    </w:p>
    <w:p w14:paraId="1AD9041C" w14:textId="3B4DF3E3" w:rsidR="00A711FE" w:rsidRPr="00491FCA" w:rsidRDefault="00F04DCF" w:rsidP="00A711FE">
      <w:pPr>
        <w:spacing w:after="120" w:line="240" w:lineRule="auto"/>
        <w:jc w:val="both"/>
        <w:rPr>
          <w:rFonts w:cstheme="minorHAnsi"/>
          <w:sz w:val="20"/>
          <w:szCs w:val="20"/>
        </w:rPr>
      </w:pPr>
      <w:r w:rsidRPr="00491FCA">
        <w:rPr>
          <w:rFonts w:cstheme="minorHAnsi"/>
          <w:b/>
          <w:sz w:val="20"/>
          <w:szCs w:val="20"/>
        </w:rPr>
        <w:t>Zdroj:</w:t>
      </w:r>
      <w:r w:rsidRPr="00491FCA">
        <w:rPr>
          <w:rFonts w:cstheme="minorHAnsi"/>
          <w:sz w:val="20"/>
          <w:szCs w:val="20"/>
        </w:rPr>
        <w:t xml:space="preserve"> </w:t>
      </w:r>
      <w:r w:rsidR="00346E11">
        <w:rPr>
          <w:rFonts w:cstheme="minorHAnsi"/>
          <w:sz w:val="20"/>
          <w:szCs w:val="20"/>
        </w:rPr>
        <w:t xml:space="preserve">vypracoval </w:t>
      </w:r>
      <w:r w:rsidRPr="00491FCA">
        <w:rPr>
          <w:rFonts w:cstheme="minorHAnsi"/>
          <w:noProof/>
          <w:sz w:val="20"/>
          <w:szCs w:val="20"/>
          <w:lang w:eastAsia="cs-CZ"/>
        </w:rPr>
        <w:t>NKÚ.</w:t>
      </w:r>
    </w:p>
    <w:p w14:paraId="127F6844" w14:textId="77777777" w:rsidR="0035434A" w:rsidRPr="002C310E" w:rsidRDefault="00F04DCF" w:rsidP="00733FC4">
      <w:pPr>
        <w:spacing w:after="120" w:line="240" w:lineRule="auto"/>
        <w:jc w:val="both"/>
        <w:rPr>
          <w:rFonts w:cstheme="minorHAnsi"/>
          <w:noProof/>
          <w:sz w:val="24"/>
          <w:szCs w:val="24"/>
        </w:rPr>
      </w:pPr>
      <w:r w:rsidRPr="00DF1082">
        <w:rPr>
          <w:rFonts w:cstheme="minorHAnsi"/>
          <w:b/>
          <w:noProof/>
          <w:sz w:val="24"/>
          <w:szCs w:val="24"/>
        </w:rPr>
        <w:t>4.2</w:t>
      </w:r>
      <w:r w:rsidR="000B1625" w:rsidRPr="00DF1082">
        <w:rPr>
          <w:rFonts w:cstheme="minorHAnsi"/>
          <w:b/>
          <w:noProof/>
          <w:sz w:val="24"/>
          <w:szCs w:val="24"/>
        </w:rPr>
        <w:t>1</w:t>
      </w:r>
      <w:r w:rsidRPr="002C310E">
        <w:rPr>
          <w:rFonts w:cstheme="minorHAnsi"/>
          <w:noProof/>
          <w:sz w:val="24"/>
          <w:szCs w:val="24"/>
        </w:rPr>
        <w:t xml:space="preserve"> </w:t>
      </w:r>
      <w:r w:rsidRPr="002C310E">
        <w:rPr>
          <w:rFonts w:cstheme="minorHAnsi"/>
          <w:noProof/>
          <w:sz w:val="24"/>
          <w:szCs w:val="24"/>
          <w:shd w:val="clear" w:color="auto" w:fill="FFFFFF" w:themeFill="background1"/>
        </w:rPr>
        <w:t xml:space="preserve">Příklad č. </w:t>
      </w:r>
      <w:r w:rsidR="002246A2" w:rsidRPr="002C310E">
        <w:rPr>
          <w:rFonts w:cstheme="minorHAnsi"/>
          <w:noProof/>
          <w:sz w:val="24"/>
          <w:szCs w:val="24"/>
          <w:shd w:val="clear" w:color="auto" w:fill="FFFFFF" w:themeFill="background1"/>
        </w:rPr>
        <w:t>3</w:t>
      </w:r>
      <w:r w:rsidRPr="002C310E">
        <w:rPr>
          <w:rFonts w:cstheme="minorHAnsi"/>
          <w:noProof/>
          <w:sz w:val="24"/>
          <w:szCs w:val="24"/>
        </w:rPr>
        <w:t xml:space="preserve"> uvádí, proč NKÚ hodnotil projekt jako omezeně </w:t>
      </w:r>
      <w:r w:rsidR="009F1452" w:rsidRPr="002C310E">
        <w:rPr>
          <w:rFonts w:cstheme="minorHAnsi"/>
          <w:noProof/>
          <w:sz w:val="24"/>
          <w:szCs w:val="24"/>
        </w:rPr>
        <w:t>efektivní</w:t>
      </w:r>
      <w:r w:rsidRPr="002C310E">
        <w:rPr>
          <w:rFonts w:cstheme="minorHAnsi"/>
          <w:noProof/>
          <w:sz w:val="24"/>
          <w:szCs w:val="24"/>
        </w:rPr>
        <w:t>.</w:t>
      </w:r>
    </w:p>
    <w:p w14:paraId="3CCFA4C3" w14:textId="7549C0FA" w:rsidR="0035434A" w:rsidRPr="002C310E" w:rsidRDefault="00F04DCF" w:rsidP="00DF1082">
      <w:pPr>
        <w:spacing w:after="80" w:line="240" w:lineRule="auto"/>
        <w:rPr>
          <w:rFonts w:cstheme="minorHAnsi"/>
          <w:b/>
          <w:sz w:val="24"/>
          <w:szCs w:val="24"/>
        </w:rPr>
      </w:pPr>
      <w:r w:rsidRPr="002C310E">
        <w:rPr>
          <w:rFonts w:cstheme="minorHAnsi"/>
          <w:b/>
          <w:sz w:val="24"/>
          <w:szCs w:val="24"/>
        </w:rPr>
        <w:t xml:space="preserve">Příklad č. </w:t>
      </w:r>
      <w:r w:rsidR="002246A2" w:rsidRPr="002C310E">
        <w:rPr>
          <w:rFonts w:cstheme="minorHAnsi"/>
          <w:b/>
          <w:sz w:val="24"/>
          <w:szCs w:val="24"/>
        </w:rPr>
        <w:t>3</w:t>
      </w:r>
      <w:r w:rsidR="00346E11">
        <w:rPr>
          <w:rFonts w:cstheme="minorHAnsi"/>
          <w:b/>
          <w:sz w:val="24"/>
          <w:szCs w:val="24"/>
        </w:rPr>
        <w:t>:</w:t>
      </w:r>
      <w:r w:rsidRPr="002C310E">
        <w:rPr>
          <w:rFonts w:cstheme="minorHAnsi"/>
          <w:b/>
          <w:sz w:val="24"/>
          <w:szCs w:val="24"/>
        </w:rPr>
        <w:t xml:space="preserve"> Projekt </w:t>
      </w:r>
      <w:r w:rsidRPr="002C310E">
        <w:rPr>
          <w:rFonts w:cstheme="minorHAnsi"/>
          <w:b/>
          <w:i/>
          <w:sz w:val="24"/>
          <w:szCs w:val="24"/>
        </w:rPr>
        <w:t>Národního situačního centra ochrany hranic</w:t>
      </w:r>
      <w:r w:rsidRPr="002C310E">
        <w:rPr>
          <w:rFonts w:cstheme="minorHAnsi"/>
          <w:b/>
          <w:sz w:val="24"/>
          <w:szCs w:val="24"/>
        </w:rPr>
        <w:t xml:space="preserve"> </w:t>
      </w:r>
      <w:r w:rsidR="006401DC" w:rsidRPr="002C310E">
        <w:rPr>
          <w:rFonts w:cstheme="minorHAnsi"/>
          <w:b/>
          <w:sz w:val="24"/>
          <w:szCs w:val="24"/>
        </w:rPr>
        <w:t xml:space="preserve">vyhodnotil NKÚ jako </w:t>
      </w:r>
      <w:r w:rsidR="00D54A0E" w:rsidRPr="002C310E">
        <w:rPr>
          <w:rFonts w:cstheme="minorHAnsi"/>
          <w:b/>
          <w:sz w:val="24"/>
          <w:szCs w:val="24"/>
        </w:rPr>
        <w:t>omezeně efektivní</w:t>
      </w:r>
      <w:r w:rsidR="00ED4CE9" w:rsidRPr="002C310E">
        <w:rPr>
          <w:rFonts w:cstheme="minorHAnsi"/>
          <w:b/>
          <w:sz w:val="24"/>
          <w:szCs w:val="24"/>
        </w:rPr>
        <w:t xml:space="preserve">, neboť každé snížení nákladů bylo </w:t>
      </w:r>
      <w:r w:rsidR="00EA4CCC" w:rsidRPr="002C310E">
        <w:rPr>
          <w:rFonts w:cstheme="minorHAnsi"/>
          <w:b/>
          <w:sz w:val="24"/>
          <w:szCs w:val="24"/>
        </w:rPr>
        <w:t>okamžitě</w:t>
      </w:r>
      <w:r w:rsidR="00ED4CE9" w:rsidRPr="002C310E">
        <w:rPr>
          <w:rFonts w:cstheme="minorHAnsi"/>
          <w:b/>
          <w:sz w:val="24"/>
          <w:szCs w:val="24"/>
        </w:rPr>
        <w:t xml:space="preserve"> kompenzováno zvýšením jiné nákladové položky</w:t>
      </w:r>
      <w:r w:rsidR="002C1E89" w:rsidRPr="002C310E">
        <w:rPr>
          <w:rFonts w:cstheme="minorHAnsi"/>
          <w:b/>
          <w:sz w:val="24"/>
          <w:szCs w:val="24"/>
        </w:rPr>
        <w:t xml:space="preserve"> </w:t>
      </w:r>
      <w:r w:rsidR="00ED4CE9" w:rsidRPr="002C310E">
        <w:rPr>
          <w:rFonts w:cstheme="minorHAnsi"/>
          <w:b/>
          <w:sz w:val="24"/>
          <w:szCs w:val="24"/>
        </w:rPr>
        <w:t>a naopak,</w:t>
      </w:r>
      <w:r w:rsidR="002C1E89" w:rsidRPr="002C310E">
        <w:rPr>
          <w:rFonts w:cstheme="minorHAnsi"/>
          <w:b/>
          <w:sz w:val="24"/>
          <w:szCs w:val="24"/>
        </w:rPr>
        <w:t xml:space="preserve"> zároveň</w:t>
      </w:r>
      <w:r w:rsidR="00ED4CE9" w:rsidRPr="002C310E">
        <w:rPr>
          <w:rFonts w:cstheme="minorHAnsi"/>
          <w:b/>
          <w:sz w:val="24"/>
          <w:szCs w:val="24"/>
        </w:rPr>
        <w:t xml:space="preserve"> příjemce ve většině případů nezdůvodnil provedené změny ve vztahu k c</w:t>
      </w:r>
      <w:r w:rsidR="00EA4CCC" w:rsidRPr="002C310E">
        <w:rPr>
          <w:rFonts w:cstheme="minorHAnsi"/>
          <w:b/>
          <w:sz w:val="24"/>
          <w:szCs w:val="24"/>
        </w:rPr>
        <w:t>í</w:t>
      </w:r>
      <w:r w:rsidR="00ED4CE9" w:rsidRPr="002C310E">
        <w:rPr>
          <w:rFonts w:cstheme="minorHAnsi"/>
          <w:b/>
          <w:sz w:val="24"/>
          <w:szCs w:val="24"/>
        </w:rPr>
        <w:t>li projektu</w:t>
      </w:r>
    </w:p>
    <w:p w14:paraId="04F09F31" w14:textId="5F0390C4" w:rsidR="0035434A" w:rsidRPr="002C310E" w:rsidRDefault="00F04DCF" w:rsidP="00733FC4">
      <w:pPr>
        <w:pBdr>
          <w:top w:val="single" w:sz="4" w:space="1" w:color="auto"/>
          <w:left w:val="single" w:sz="4" w:space="1" w:color="auto"/>
          <w:bottom w:val="single" w:sz="4" w:space="1" w:color="auto"/>
          <w:right w:val="single" w:sz="4" w:space="1" w:color="auto"/>
        </w:pBdr>
        <w:spacing w:after="0" w:line="240" w:lineRule="auto"/>
        <w:jc w:val="both"/>
        <w:rPr>
          <w:rFonts w:cstheme="minorHAnsi"/>
          <w:bCs/>
          <w:i/>
          <w:iCs/>
          <w:sz w:val="24"/>
          <w:szCs w:val="24"/>
          <w:lang w:eastAsia="cs-CZ"/>
        </w:rPr>
      </w:pPr>
      <w:r w:rsidRPr="002C310E">
        <w:rPr>
          <w:rFonts w:cstheme="minorHAnsi"/>
          <w:i/>
          <w:sz w:val="24"/>
          <w:szCs w:val="24"/>
        </w:rPr>
        <w:t xml:space="preserve">Cílem projektu ISF/6/01 </w:t>
      </w:r>
      <w:r w:rsidR="00D42727" w:rsidRPr="002C310E">
        <w:rPr>
          <w:rFonts w:cstheme="minorHAnsi"/>
          <w:i/>
          <w:sz w:val="24"/>
          <w:szCs w:val="24"/>
        </w:rPr>
        <w:t xml:space="preserve">bylo vybudování </w:t>
      </w:r>
      <w:r w:rsidRPr="002C310E">
        <w:rPr>
          <w:rFonts w:cstheme="minorHAnsi"/>
          <w:i/>
          <w:sz w:val="24"/>
          <w:szCs w:val="24"/>
        </w:rPr>
        <w:t>Národní</w:t>
      </w:r>
      <w:r w:rsidR="00D42727" w:rsidRPr="002C310E">
        <w:rPr>
          <w:rFonts w:cstheme="minorHAnsi"/>
          <w:i/>
          <w:sz w:val="24"/>
          <w:szCs w:val="24"/>
        </w:rPr>
        <w:t>ho</w:t>
      </w:r>
      <w:r w:rsidRPr="002C310E">
        <w:rPr>
          <w:rFonts w:cstheme="minorHAnsi"/>
          <w:i/>
          <w:sz w:val="24"/>
          <w:szCs w:val="24"/>
        </w:rPr>
        <w:t xml:space="preserve"> situační</w:t>
      </w:r>
      <w:r w:rsidR="00D42727" w:rsidRPr="002C310E">
        <w:rPr>
          <w:rFonts w:cstheme="minorHAnsi"/>
          <w:i/>
          <w:sz w:val="24"/>
          <w:szCs w:val="24"/>
        </w:rPr>
        <w:t>ho</w:t>
      </w:r>
      <w:r w:rsidRPr="002C310E">
        <w:rPr>
          <w:rFonts w:cstheme="minorHAnsi"/>
          <w:i/>
          <w:sz w:val="24"/>
          <w:szCs w:val="24"/>
        </w:rPr>
        <w:t xml:space="preserve"> centr</w:t>
      </w:r>
      <w:r w:rsidR="00D42727" w:rsidRPr="002C310E">
        <w:rPr>
          <w:rFonts w:cstheme="minorHAnsi"/>
          <w:i/>
          <w:sz w:val="24"/>
          <w:szCs w:val="24"/>
        </w:rPr>
        <w:t>a</w:t>
      </w:r>
      <w:r w:rsidRPr="002C310E">
        <w:rPr>
          <w:rFonts w:cstheme="minorHAnsi"/>
          <w:i/>
          <w:sz w:val="24"/>
          <w:szCs w:val="24"/>
        </w:rPr>
        <w:t xml:space="preserve"> ochrany hranic jako společného komunikačního centra pro Policii </w:t>
      </w:r>
      <w:r w:rsidR="002C1E89" w:rsidRPr="002C310E">
        <w:rPr>
          <w:rFonts w:cstheme="minorHAnsi"/>
          <w:i/>
          <w:sz w:val="24"/>
          <w:szCs w:val="24"/>
        </w:rPr>
        <w:t>ČR</w:t>
      </w:r>
      <w:r w:rsidRPr="002C310E">
        <w:rPr>
          <w:rFonts w:cstheme="minorHAnsi"/>
          <w:i/>
          <w:sz w:val="24"/>
          <w:szCs w:val="24"/>
        </w:rPr>
        <w:t xml:space="preserve"> a Celní správu </w:t>
      </w:r>
      <w:r w:rsidR="002C1E89" w:rsidRPr="002C310E">
        <w:rPr>
          <w:rFonts w:cstheme="minorHAnsi"/>
          <w:i/>
          <w:sz w:val="24"/>
          <w:szCs w:val="24"/>
        </w:rPr>
        <w:t xml:space="preserve">ČR </w:t>
      </w:r>
      <w:r w:rsidRPr="002C310E">
        <w:rPr>
          <w:rFonts w:cstheme="minorHAnsi"/>
          <w:i/>
          <w:sz w:val="24"/>
          <w:szCs w:val="24"/>
        </w:rPr>
        <w:t xml:space="preserve">za účelem systémového řešení a centralizace společných úkolů při ochraně vnějších hranic schengenského prostoru. Předmětem projektu byla rekonstrukce prostor objektu, zařízení těchto prostor pro operační řízení a vybavení příslušnou technologií, vytvoření datového skladu s možností provádění pokročilých analýz a pořízení/vytvoření/úprava informačních systémů pro provoz centra a ochrany hranic. </w:t>
      </w:r>
      <w:r w:rsidRPr="002C310E">
        <w:rPr>
          <w:rFonts w:cstheme="minorHAnsi"/>
          <w:bCs/>
          <w:i/>
          <w:iCs/>
          <w:sz w:val="24"/>
          <w:szCs w:val="24"/>
          <w:lang w:eastAsia="cs-CZ"/>
        </w:rPr>
        <w:t xml:space="preserve">Celkové náklady na projekt </w:t>
      </w:r>
      <w:r w:rsidR="009977F8" w:rsidRPr="002C310E">
        <w:rPr>
          <w:rFonts w:cstheme="minorHAnsi"/>
          <w:bCs/>
          <w:i/>
          <w:iCs/>
          <w:sz w:val="24"/>
          <w:szCs w:val="24"/>
          <w:lang w:eastAsia="cs-CZ"/>
        </w:rPr>
        <w:t>čin</w:t>
      </w:r>
      <w:r w:rsidR="002C1E89" w:rsidRPr="002C310E">
        <w:rPr>
          <w:rFonts w:cstheme="minorHAnsi"/>
          <w:bCs/>
          <w:i/>
          <w:iCs/>
          <w:sz w:val="24"/>
          <w:szCs w:val="24"/>
          <w:lang w:eastAsia="cs-CZ"/>
        </w:rPr>
        <w:t xml:space="preserve">í </w:t>
      </w:r>
      <w:r w:rsidRPr="002C310E">
        <w:rPr>
          <w:rFonts w:cstheme="minorHAnsi"/>
          <w:bCs/>
          <w:i/>
          <w:iCs/>
          <w:sz w:val="24"/>
          <w:szCs w:val="24"/>
          <w:lang w:eastAsia="cs-CZ"/>
        </w:rPr>
        <w:t>120 </w:t>
      </w:r>
      <w:r w:rsidR="000D3AD3">
        <w:rPr>
          <w:rFonts w:cstheme="minorHAnsi"/>
          <w:bCs/>
          <w:i/>
          <w:iCs/>
          <w:sz w:val="24"/>
          <w:szCs w:val="24"/>
          <w:lang w:eastAsia="cs-CZ"/>
        </w:rPr>
        <w:t xml:space="preserve">mil. Kč (projekt </w:t>
      </w:r>
      <w:r w:rsidR="009977F8" w:rsidRPr="002C310E">
        <w:rPr>
          <w:rFonts w:cstheme="minorHAnsi"/>
          <w:bCs/>
          <w:i/>
          <w:iCs/>
          <w:sz w:val="24"/>
          <w:szCs w:val="24"/>
          <w:lang w:eastAsia="cs-CZ"/>
        </w:rPr>
        <w:t xml:space="preserve">byl v době kontroly </w:t>
      </w:r>
      <w:r w:rsidR="000D3AD3">
        <w:rPr>
          <w:rFonts w:cstheme="minorHAnsi"/>
          <w:bCs/>
          <w:i/>
          <w:iCs/>
          <w:sz w:val="24"/>
          <w:szCs w:val="24"/>
          <w:lang w:eastAsia="cs-CZ"/>
        </w:rPr>
        <w:t xml:space="preserve">téměř </w:t>
      </w:r>
      <w:r w:rsidR="009977F8" w:rsidRPr="002C310E">
        <w:rPr>
          <w:rFonts w:cstheme="minorHAnsi"/>
          <w:bCs/>
          <w:i/>
          <w:iCs/>
          <w:sz w:val="24"/>
          <w:szCs w:val="24"/>
          <w:lang w:eastAsia="cs-CZ"/>
        </w:rPr>
        <w:t>dokončen).</w:t>
      </w:r>
    </w:p>
    <w:p w14:paraId="1E17BFD1" w14:textId="238FE8BB" w:rsidR="006420B0" w:rsidRDefault="00F04DCF" w:rsidP="00733FC4">
      <w:pPr>
        <w:pBdr>
          <w:top w:val="single" w:sz="4" w:space="1" w:color="auto"/>
          <w:left w:val="single" w:sz="4" w:space="1" w:color="auto"/>
          <w:bottom w:val="single" w:sz="4" w:space="1" w:color="auto"/>
          <w:right w:val="single" w:sz="4" w:space="1" w:color="auto"/>
        </w:pBdr>
        <w:spacing w:after="0" w:line="240" w:lineRule="auto"/>
        <w:jc w:val="both"/>
        <w:rPr>
          <w:rFonts w:eastAsia="Calibri" w:cstheme="minorHAnsi"/>
          <w:bCs/>
          <w:i/>
          <w:iCs/>
          <w:noProof/>
          <w:sz w:val="24"/>
          <w:szCs w:val="24"/>
        </w:rPr>
      </w:pPr>
      <w:r w:rsidRPr="002C310E">
        <w:rPr>
          <w:rFonts w:cstheme="minorHAnsi"/>
          <w:i/>
          <w:sz w:val="24"/>
          <w:szCs w:val="24"/>
        </w:rPr>
        <w:t xml:space="preserve">NKÚ zjistil, že </w:t>
      </w:r>
      <w:r w:rsidR="009F1452" w:rsidRPr="002C310E">
        <w:rPr>
          <w:rFonts w:cstheme="minorHAnsi"/>
          <w:i/>
          <w:sz w:val="24"/>
          <w:szCs w:val="24"/>
        </w:rPr>
        <w:t>příjemce</w:t>
      </w:r>
      <w:r w:rsidR="00143366" w:rsidRPr="002C310E">
        <w:rPr>
          <w:rFonts w:cstheme="minorHAnsi"/>
          <w:i/>
          <w:sz w:val="24"/>
          <w:szCs w:val="24"/>
        </w:rPr>
        <w:t xml:space="preserve"> z</w:t>
      </w:r>
      <w:r w:rsidR="007A2AA9" w:rsidRPr="002C310E">
        <w:rPr>
          <w:rFonts w:cstheme="minorHAnsi"/>
          <w:i/>
          <w:sz w:val="24"/>
          <w:szCs w:val="24"/>
        </w:rPr>
        <w:t xml:space="preserve">pracoval </w:t>
      </w:r>
      <w:r w:rsidR="00143366" w:rsidRPr="002C310E">
        <w:rPr>
          <w:rFonts w:cstheme="minorHAnsi"/>
          <w:i/>
          <w:sz w:val="24"/>
          <w:szCs w:val="24"/>
        </w:rPr>
        <w:t>projektovou dokumentaci, návrh interiéru</w:t>
      </w:r>
      <w:r w:rsidR="007A2AA9" w:rsidRPr="002C310E">
        <w:rPr>
          <w:rFonts w:cstheme="minorHAnsi"/>
          <w:i/>
          <w:sz w:val="24"/>
          <w:szCs w:val="24"/>
        </w:rPr>
        <w:t xml:space="preserve"> a audiovizuální techniky i technické specifikace </w:t>
      </w:r>
      <w:r w:rsidR="002C1E89" w:rsidRPr="002C310E">
        <w:rPr>
          <w:rFonts w:cstheme="minorHAnsi"/>
          <w:i/>
          <w:sz w:val="24"/>
          <w:szCs w:val="24"/>
        </w:rPr>
        <w:t>hardware a software</w:t>
      </w:r>
      <w:r w:rsidR="007A2AA9" w:rsidRPr="002C310E">
        <w:rPr>
          <w:rFonts w:cstheme="minorHAnsi"/>
          <w:i/>
          <w:sz w:val="24"/>
          <w:szCs w:val="24"/>
        </w:rPr>
        <w:t xml:space="preserve"> až po schválení projektu a některé položky rozpočtu</w:t>
      </w:r>
      <w:r w:rsidR="002C1E89" w:rsidRPr="002C310E">
        <w:rPr>
          <w:rFonts w:cstheme="minorHAnsi"/>
          <w:i/>
          <w:sz w:val="24"/>
          <w:szCs w:val="24"/>
        </w:rPr>
        <w:t xml:space="preserve"> </w:t>
      </w:r>
      <w:r w:rsidR="007A2AA9" w:rsidRPr="002C310E">
        <w:rPr>
          <w:rFonts w:cstheme="minorHAnsi"/>
          <w:i/>
          <w:sz w:val="24"/>
          <w:szCs w:val="24"/>
        </w:rPr>
        <w:t xml:space="preserve">sloužily jako rezervy. </w:t>
      </w:r>
      <w:r w:rsidR="002C1E89" w:rsidRPr="002C310E">
        <w:rPr>
          <w:rFonts w:cstheme="minorHAnsi"/>
          <w:i/>
          <w:sz w:val="24"/>
          <w:szCs w:val="24"/>
        </w:rPr>
        <w:t xml:space="preserve">Nákladové položky </w:t>
      </w:r>
      <w:r w:rsidRPr="002C310E">
        <w:rPr>
          <w:rFonts w:eastAsia="Calibri" w:cstheme="minorHAnsi"/>
          <w:bCs/>
          <w:i/>
          <w:iCs/>
          <w:noProof/>
          <w:sz w:val="24"/>
          <w:szCs w:val="24"/>
        </w:rPr>
        <w:t>projekt</w:t>
      </w:r>
      <w:r w:rsidR="007A2AA9" w:rsidRPr="002C310E">
        <w:rPr>
          <w:rFonts w:eastAsia="Calibri" w:cstheme="minorHAnsi"/>
          <w:bCs/>
          <w:i/>
          <w:iCs/>
          <w:noProof/>
          <w:sz w:val="24"/>
          <w:szCs w:val="24"/>
        </w:rPr>
        <w:t xml:space="preserve">u </w:t>
      </w:r>
      <w:r w:rsidRPr="002C310E">
        <w:rPr>
          <w:rFonts w:eastAsia="Calibri" w:cstheme="minorHAnsi"/>
          <w:bCs/>
          <w:i/>
          <w:iCs/>
          <w:noProof/>
          <w:sz w:val="24"/>
          <w:szCs w:val="24"/>
        </w:rPr>
        <w:t xml:space="preserve">byly v průběhu </w:t>
      </w:r>
      <w:r w:rsidR="00620FCD">
        <w:rPr>
          <w:rFonts w:eastAsia="Calibri" w:cstheme="minorHAnsi"/>
          <w:bCs/>
          <w:i/>
          <w:iCs/>
          <w:noProof/>
          <w:sz w:val="24"/>
          <w:szCs w:val="24"/>
        </w:rPr>
        <w:t xml:space="preserve">jeho </w:t>
      </w:r>
      <w:r w:rsidRPr="002C310E">
        <w:rPr>
          <w:rFonts w:eastAsia="Calibri" w:cstheme="minorHAnsi"/>
          <w:bCs/>
          <w:i/>
          <w:iCs/>
          <w:noProof/>
          <w:sz w:val="24"/>
          <w:szCs w:val="24"/>
        </w:rPr>
        <w:t xml:space="preserve">realizace </w:t>
      </w:r>
      <w:r w:rsidR="009977F8" w:rsidRPr="002C310E">
        <w:rPr>
          <w:rFonts w:eastAsia="Calibri" w:cstheme="minorHAnsi"/>
          <w:bCs/>
          <w:i/>
          <w:iCs/>
          <w:noProof/>
          <w:sz w:val="24"/>
          <w:szCs w:val="24"/>
        </w:rPr>
        <w:t>opakovaně</w:t>
      </w:r>
      <w:r w:rsidRPr="002C310E">
        <w:rPr>
          <w:rFonts w:eastAsia="Calibri" w:cstheme="minorHAnsi"/>
          <w:bCs/>
          <w:i/>
          <w:iCs/>
          <w:noProof/>
          <w:sz w:val="24"/>
          <w:szCs w:val="24"/>
        </w:rPr>
        <w:t xml:space="preserve"> měněny, </w:t>
      </w:r>
      <w:r w:rsidR="009977F8" w:rsidRPr="002C310E">
        <w:rPr>
          <w:rFonts w:eastAsia="Calibri" w:cstheme="minorHAnsi"/>
          <w:bCs/>
          <w:i/>
          <w:iCs/>
          <w:noProof/>
          <w:sz w:val="24"/>
          <w:szCs w:val="24"/>
        </w:rPr>
        <w:t>přitom</w:t>
      </w:r>
      <w:r w:rsidRPr="002C310E">
        <w:rPr>
          <w:rFonts w:eastAsia="Calibri" w:cstheme="minorHAnsi"/>
          <w:bCs/>
          <w:i/>
          <w:iCs/>
          <w:noProof/>
          <w:sz w:val="24"/>
          <w:szCs w:val="24"/>
        </w:rPr>
        <w:t xml:space="preserve"> celkové náklady zůstaly vždy ve stejné výši</w:t>
      </w:r>
      <w:r w:rsidR="009977F8" w:rsidRPr="002C310E">
        <w:rPr>
          <w:rFonts w:eastAsia="Calibri" w:cstheme="minorHAnsi"/>
          <w:bCs/>
          <w:i/>
          <w:iCs/>
          <w:noProof/>
          <w:sz w:val="24"/>
          <w:szCs w:val="24"/>
        </w:rPr>
        <w:t>. K</w:t>
      </w:r>
      <w:r w:rsidRPr="002C310E">
        <w:rPr>
          <w:rFonts w:eastAsia="Calibri" w:cstheme="minorHAnsi"/>
          <w:bCs/>
          <w:i/>
          <w:iCs/>
          <w:noProof/>
          <w:sz w:val="24"/>
          <w:szCs w:val="24"/>
        </w:rPr>
        <w:t xml:space="preserve">aždé </w:t>
      </w:r>
      <w:r w:rsidR="009977F8" w:rsidRPr="002C310E">
        <w:rPr>
          <w:rFonts w:eastAsia="Calibri" w:cstheme="minorHAnsi"/>
          <w:bCs/>
          <w:i/>
          <w:iCs/>
          <w:noProof/>
          <w:sz w:val="24"/>
          <w:szCs w:val="24"/>
        </w:rPr>
        <w:t xml:space="preserve">snížení </w:t>
      </w:r>
      <w:r w:rsidRPr="002C310E">
        <w:rPr>
          <w:rFonts w:eastAsia="Calibri" w:cstheme="minorHAnsi"/>
          <w:bCs/>
          <w:i/>
          <w:iCs/>
          <w:noProof/>
          <w:sz w:val="24"/>
          <w:szCs w:val="24"/>
        </w:rPr>
        <w:t xml:space="preserve">nákladů bylo </w:t>
      </w:r>
      <w:r w:rsidR="002C1E89" w:rsidRPr="002C310E">
        <w:rPr>
          <w:rFonts w:eastAsia="Calibri" w:cstheme="minorHAnsi"/>
          <w:bCs/>
          <w:i/>
          <w:iCs/>
          <w:noProof/>
          <w:sz w:val="24"/>
          <w:szCs w:val="24"/>
        </w:rPr>
        <w:t>okamžitě</w:t>
      </w:r>
      <w:r w:rsidR="00D42727" w:rsidRPr="002C310E">
        <w:rPr>
          <w:rFonts w:eastAsia="Calibri" w:cstheme="minorHAnsi"/>
          <w:bCs/>
          <w:i/>
          <w:iCs/>
          <w:noProof/>
          <w:sz w:val="24"/>
          <w:szCs w:val="24"/>
        </w:rPr>
        <w:t xml:space="preserve"> </w:t>
      </w:r>
      <w:r w:rsidRPr="002C310E">
        <w:rPr>
          <w:rFonts w:eastAsia="Calibri" w:cstheme="minorHAnsi"/>
          <w:bCs/>
          <w:i/>
          <w:iCs/>
          <w:noProof/>
          <w:sz w:val="24"/>
          <w:szCs w:val="24"/>
        </w:rPr>
        <w:t xml:space="preserve">kompenzováno </w:t>
      </w:r>
      <w:r w:rsidR="009977F8" w:rsidRPr="002C310E">
        <w:rPr>
          <w:rFonts w:eastAsia="Calibri" w:cstheme="minorHAnsi"/>
          <w:bCs/>
          <w:i/>
          <w:iCs/>
          <w:noProof/>
          <w:sz w:val="24"/>
          <w:szCs w:val="24"/>
        </w:rPr>
        <w:t xml:space="preserve">zvýšením </w:t>
      </w:r>
      <w:r w:rsidRPr="002C310E">
        <w:rPr>
          <w:rFonts w:eastAsia="Calibri" w:cstheme="minorHAnsi"/>
          <w:bCs/>
          <w:i/>
          <w:iCs/>
          <w:noProof/>
          <w:sz w:val="24"/>
          <w:szCs w:val="24"/>
        </w:rPr>
        <w:t xml:space="preserve">jiné </w:t>
      </w:r>
      <w:r w:rsidR="009977F8" w:rsidRPr="002C310E">
        <w:rPr>
          <w:rFonts w:eastAsia="Calibri" w:cstheme="minorHAnsi"/>
          <w:bCs/>
          <w:i/>
          <w:iCs/>
          <w:noProof/>
          <w:sz w:val="24"/>
          <w:szCs w:val="24"/>
        </w:rPr>
        <w:t>nákladové položky</w:t>
      </w:r>
      <w:r w:rsidR="002C1E89" w:rsidRPr="002C310E">
        <w:rPr>
          <w:rFonts w:eastAsia="Calibri" w:cstheme="minorHAnsi"/>
          <w:bCs/>
          <w:i/>
          <w:iCs/>
          <w:noProof/>
          <w:sz w:val="24"/>
          <w:szCs w:val="24"/>
        </w:rPr>
        <w:t xml:space="preserve"> </w:t>
      </w:r>
      <w:r w:rsidR="009977F8" w:rsidRPr="002C310E">
        <w:rPr>
          <w:rFonts w:eastAsia="Calibri" w:cstheme="minorHAnsi"/>
          <w:bCs/>
          <w:i/>
          <w:iCs/>
          <w:noProof/>
          <w:sz w:val="24"/>
          <w:szCs w:val="24"/>
        </w:rPr>
        <w:t>a </w:t>
      </w:r>
      <w:r w:rsidRPr="002C310E">
        <w:rPr>
          <w:rFonts w:eastAsia="Calibri" w:cstheme="minorHAnsi"/>
          <w:bCs/>
          <w:i/>
          <w:iCs/>
          <w:noProof/>
          <w:sz w:val="24"/>
          <w:szCs w:val="24"/>
        </w:rPr>
        <w:t>naopak</w:t>
      </w:r>
      <w:r w:rsidR="007A2AA9" w:rsidRPr="002C310E">
        <w:rPr>
          <w:rFonts w:eastAsia="Calibri" w:cstheme="minorHAnsi"/>
          <w:bCs/>
          <w:i/>
          <w:iCs/>
          <w:noProof/>
          <w:sz w:val="24"/>
          <w:szCs w:val="24"/>
        </w:rPr>
        <w:t xml:space="preserve">, přitom </w:t>
      </w:r>
      <w:r w:rsidR="009F1452" w:rsidRPr="002C310E">
        <w:rPr>
          <w:rFonts w:eastAsia="Calibri" w:cstheme="minorHAnsi"/>
          <w:bCs/>
          <w:i/>
          <w:iCs/>
          <w:noProof/>
          <w:sz w:val="24"/>
          <w:szCs w:val="24"/>
        </w:rPr>
        <w:t>příjemce</w:t>
      </w:r>
      <w:r w:rsidR="007A2AA9" w:rsidRPr="002C310E">
        <w:rPr>
          <w:rFonts w:eastAsia="Calibri" w:cstheme="minorHAnsi"/>
          <w:bCs/>
          <w:i/>
          <w:iCs/>
          <w:noProof/>
          <w:sz w:val="24"/>
          <w:szCs w:val="24"/>
        </w:rPr>
        <w:t xml:space="preserve"> v</w:t>
      </w:r>
      <w:r w:rsidR="00FE65F2" w:rsidRPr="002C310E">
        <w:rPr>
          <w:rFonts w:eastAsia="Calibri" w:cstheme="minorHAnsi"/>
          <w:bCs/>
          <w:i/>
          <w:iCs/>
          <w:noProof/>
          <w:sz w:val="24"/>
          <w:szCs w:val="24"/>
        </w:rPr>
        <w:t xml:space="preserve">e většině </w:t>
      </w:r>
      <w:r w:rsidR="007A2AA9" w:rsidRPr="002C310E">
        <w:rPr>
          <w:rFonts w:eastAsia="Calibri" w:cstheme="minorHAnsi"/>
          <w:bCs/>
          <w:i/>
          <w:iCs/>
          <w:noProof/>
          <w:sz w:val="24"/>
          <w:szCs w:val="24"/>
        </w:rPr>
        <w:t>případ</w:t>
      </w:r>
      <w:r w:rsidR="00FE65F2" w:rsidRPr="002C310E">
        <w:rPr>
          <w:rFonts w:eastAsia="Calibri" w:cstheme="minorHAnsi"/>
          <w:bCs/>
          <w:i/>
          <w:iCs/>
          <w:noProof/>
          <w:sz w:val="24"/>
          <w:szCs w:val="24"/>
        </w:rPr>
        <w:t>ů nezdůvodnil provedené změny ve vztahu k c</w:t>
      </w:r>
      <w:r w:rsidR="002C1E89" w:rsidRPr="002C310E">
        <w:rPr>
          <w:rFonts w:eastAsia="Calibri" w:cstheme="minorHAnsi"/>
          <w:bCs/>
          <w:i/>
          <w:iCs/>
          <w:noProof/>
          <w:sz w:val="24"/>
          <w:szCs w:val="24"/>
        </w:rPr>
        <w:t>í</w:t>
      </w:r>
      <w:r w:rsidR="00FE65F2" w:rsidRPr="002C310E">
        <w:rPr>
          <w:rFonts w:eastAsia="Calibri" w:cstheme="minorHAnsi"/>
          <w:bCs/>
          <w:i/>
          <w:iCs/>
          <w:noProof/>
          <w:sz w:val="24"/>
          <w:szCs w:val="24"/>
        </w:rPr>
        <w:t>li projektu</w:t>
      </w:r>
      <w:r w:rsidRPr="002C310E">
        <w:rPr>
          <w:rFonts w:eastAsia="Calibri" w:cstheme="minorHAnsi"/>
          <w:bCs/>
          <w:i/>
          <w:iCs/>
          <w:noProof/>
          <w:sz w:val="24"/>
          <w:szCs w:val="24"/>
        </w:rPr>
        <w:t xml:space="preserve">. Dále </w:t>
      </w:r>
      <w:r w:rsidR="00FE65F2" w:rsidRPr="002C310E">
        <w:rPr>
          <w:rFonts w:eastAsia="Calibri" w:cstheme="minorHAnsi"/>
          <w:bCs/>
          <w:i/>
          <w:iCs/>
          <w:noProof/>
          <w:sz w:val="24"/>
          <w:szCs w:val="24"/>
        </w:rPr>
        <w:t xml:space="preserve">NKÚ </w:t>
      </w:r>
      <w:r w:rsidRPr="002C310E">
        <w:rPr>
          <w:rFonts w:eastAsia="Calibri" w:cstheme="minorHAnsi"/>
          <w:bCs/>
          <w:i/>
          <w:iCs/>
          <w:noProof/>
          <w:sz w:val="24"/>
          <w:szCs w:val="24"/>
        </w:rPr>
        <w:t>zji</w:t>
      </w:r>
      <w:r w:rsidR="00FE65F2" w:rsidRPr="002C310E">
        <w:rPr>
          <w:rFonts w:eastAsia="Calibri" w:cstheme="minorHAnsi"/>
          <w:bCs/>
          <w:i/>
          <w:iCs/>
          <w:noProof/>
          <w:sz w:val="24"/>
          <w:szCs w:val="24"/>
        </w:rPr>
        <w:t>stil</w:t>
      </w:r>
      <w:r w:rsidRPr="002C310E">
        <w:rPr>
          <w:rFonts w:eastAsia="Calibri" w:cstheme="minorHAnsi"/>
          <w:bCs/>
          <w:i/>
          <w:iCs/>
          <w:noProof/>
          <w:sz w:val="24"/>
          <w:szCs w:val="24"/>
        </w:rPr>
        <w:t xml:space="preserve">, že u dvou činností, </w:t>
      </w:r>
      <w:r w:rsidR="009977F8" w:rsidRPr="002C310E">
        <w:rPr>
          <w:rFonts w:eastAsia="Calibri" w:cstheme="minorHAnsi"/>
          <w:bCs/>
          <w:i/>
          <w:iCs/>
          <w:noProof/>
          <w:sz w:val="24"/>
          <w:szCs w:val="24"/>
        </w:rPr>
        <w:t xml:space="preserve">které byly </w:t>
      </w:r>
      <w:r w:rsidRPr="002C310E">
        <w:rPr>
          <w:rFonts w:eastAsia="Calibri" w:cstheme="minorHAnsi"/>
          <w:bCs/>
          <w:i/>
          <w:iCs/>
          <w:noProof/>
          <w:sz w:val="24"/>
          <w:szCs w:val="24"/>
        </w:rPr>
        <w:t xml:space="preserve">dle monitorovacích zpráv </w:t>
      </w:r>
      <w:r w:rsidR="009977F8" w:rsidRPr="002C310E">
        <w:rPr>
          <w:rFonts w:eastAsia="Calibri" w:cstheme="minorHAnsi"/>
          <w:bCs/>
          <w:i/>
          <w:iCs/>
          <w:noProof/>
          <w:sz w:val="24"/>
          <w:szCs w:val="24"/>
        </w:rPr>
        <w:t xml:space="preserve">již </w:t>
      </w:r>
      <w:r w:rsidRPr="002C310E">
        <w:rPr>
          <w:rFonts w:eastAsia="Calibri" w:cstheme="minorHAnsi"/>
          <w:bCs/>
          <w:i/>
          <w:iCs/>
          <w:noProof/>
          <w:sz w:val="24"/>
          <w:szCs w:val="24"/>
        </w:rPr>
        <w:t>ukončen</w:t>
      </w:r>
      <w:r w:rsidR="009977F8" w:rsidRPr="002C310E">
        <w:rPr>
          <w:rFonts w:eastAsia="Calibri" w:cstheme="minorHAnsi"/>
          <w:bCs/>
          <w:i/>
          <w:iCs/>
          <w:noProof/>
          <w:sz w:val="24"/>
          <w:szCs w:val="24"/>
        </w:rPr>
        <w:t xml:space="preserve">y a uhrazeny, </w:t>
      </w:r>
      <w:r w:rsidRPr="002C310E">
        <w:rPr>
          <w:rFonts w:eastAsia="Calibri" w:cstheme="minorHAnsi"/>
          <w:bCs/>
          <w:i/>
          <w:iCs/>
          <w:noProof/>
          <w:sz w:val="24"/>
          <w:szCs w:val="24"/>
        </w:rPr>
        <w:t xml:space="preserve">byly v následných žádostech o platbu uplatněny další výdaje za nově pořízený majetek v celkové hodnotě 400 621 Kč </w:t>
      </w:r>
      <w:r w:rsidR="009977F8" w:rsidRPr="002C310E">
        <w:rPr>
          <w:rFonts w:eastAsia="Calibri" w:cstheme="minorHAnsi"/>
          <w:bCs/>
          <w:i/>
          <w:iCs/>
          <w:noProof/>
          <w:sz w:val="24"/>
          <w:szCs w:val="24"/>
        </w:rPr>
        <w:t xml:space="preserve">patřící </w:t>
      </w:r>
      <w:r w:rsidRPr="002C310E">
        <w:rPr>
          <w:rFonts w:eastAsia="Calibri" w:cstheme="minorHAnsi"/>
          <w:bCs/>
          <w:i/>
          <w:iCs/>
          <w:noProof/>
          <w:sz w:val="24"/>
          <w:szCs w:val="24"/>
        </w:rPr>
        <w:t>do těchto</w:t>
      </w:r>
      <w:r w:rsidR="009977F8" w:rsidRPr="002C310E">
        <w:rPr>
          <w:rFonts w:eastAsia="Calibri" w:cstheme="minorHAnsi"/>
          <w:bCs/>
          <w:i/>
          <w:iCs/>
          <w:noProof/>
          <w:sz w:val="24"/>
          <w:szCs w:val="24"/>
        </w:rPr>
        <w:t xml:space="preserve"> činností, </w:t>
      </w:r>
      <w:r w:rsidRPr="002C310E">
        <w:rPr>
          <w:rFonts w:eastAsia="Calibri" w:cstheme="minorHAnsi"/>
          <w:bCs/>
          <w:i/>
          <w:iCs/>
          <w:noProof/>
          <w:sz w:val="24"/>
          <w:szCs w:val="24"/>
        </w:rPr>
        <w:t xml:space="preserve">aniž by </w:t>
      </w:r>
      <w:r w:rsidR="009977F8" w:rsidRPr="002C310E">
        <w:rPr>
          <w:rFonts w:eastAsia="Calibri" w:cstheme="minorHAnsi"/>
          <w:bCs/>
          <w:i/>
          <w:iCs/>
          <w:noProof/>
          <w:sz w:val="24"/>
          <w:szCs w:val="24"/>
        </w:rPr>
        <w:t xml:space="preserve">byla </w:t>
      </w:r>
      <w:r w:rsidRPr="002C310E">
        <w:rPr>
          <w:rFonts w:eastAsia="Calibri" w:cstheme="minorHAnsi"/>
          <w:bCs/>
          <w:i/>
          <w:iCs/>
          <w:noProof/>
          <w:sz w:val="24"/>
          <w:szCs w:val="24"/>
        </w:rPr>
        <w:t>zdůvodněn</w:t>
      </w:r>
      <w:r w:rsidR="009977F8" w:rsidRPr="002C310E">
        <w:rPr>
          <w:rFonts w:eastAsia="Calibri" w:cstheme="minorHAnsi"/>
          <w:bCs/>
          <w:i/>
          <w:iCs/>
          <w:noProof/>
          <w:sz w:val="24"/>
          <w:szCs w:val="24"/>
        </w:rPr>
        <w:t xml:space="preserve">a </w:t>
      </w:r>
      <w:r w:rsidRPr="002C310E">
        <w:rPr>
          <w:rFonts w:eastAsia="Calibri" w:cstheme="minorHAnsi"/>
          <w:bCs/>
          <w:i/>
          <w:iCs/>
          <w:noProof/>
          <w:sz w:val="24"/>
          <w:szCs w:val="24"/>
        </w:rPr>
        <w:t>je</w:t>
      </w:r>
      <w:r w:rsidR="009977F8" w:rsidRPr="002C310E">
        <w:rPr>
          <w:rFonts w:eastAsia="Calibri" w:cstheme="minorHAnsi"/>
          <w:bCs/>
          <w:i/>
          <w:iCs/>
          <w:noProof/>
          <w:sz w:val="24"/>
          <w:szCs w:val="24"/>
        </w:rPr>
        <w:t>ho e</w:t>
      </w:r>
      <w:r w:rsidRPr="002C310E">
        <w:rPr>
          <w:rFonts w:eastAsia="Calibri" w:cstheme="minorHAnsi"/>
          <w:bCs/>
          <w:i/>
          <w:iCs/>
          <w:noProof/>
          <w:sz w:val="24"/>
          <w:szCs w:val="24"/>
        </w:rPr>
        <w:t>fektivnost a</w:t>
      </w:r>
      <w:r w:rsidR="00EF662A">
        <w:rPr>
          <w:rFonts w:eastAsia="Calibri" w:cstheme="minorHAnsi"/>
          <w:bCs/>
          <w:i/>
          <w:iCs/>
          <w:noProof/>
          <w:sz w:val="24"/>
          <w:szCs w:val="24"/>
        </w:rPr>
        <w:t> </w:t>
      </w:r>
      <w:r w:rsidRPr="002C310E">
        <w:rPr>
          <w:rFonts w:eastAsia="Calibri" w:cstheme="minorHAnsi"/>
          <w:bCs/>
          <w:i/>
          <w:iCs/>
          <w:noProof/>
          <w:sz w:val="24"/>
          <w:szCs w:val="24"/>
        </w:rPr>
        <w:t xml:space="preserve">nezbytnost pro projekt. </w:t>
      </w:r>
      <w:r w:rsidR="006420B0" w:rsidRPr="002C310E">
        <w:rPr>
          <w:rFonts w:eastAsia="Calibri" w:cstheme="minorHAnsi"/>
          <w:bCs/>
          <w:i/>
          <w:iCs/>
          <w:noProof/>
          <w:sz w:val="24"/>
          <w:szCs w:val="24"/>
        </w:rPr>
        <w:t xml:space="preserve">Tyto nedostatky považuje NKÚ za významné, a proto projekt </w:t>
      </w:r>
      <w:r w:rsidR="006420B0" w:rsidRPr="002C310E">
        <w:rPr>
          <w:rFonts w:cstheme="minorHAnsi"/>
          <w:bCs/>
          <w:i/>
          <w:iCs/>
          <w:sz w:val="24"/>
          <w:szCs w:val="24"/>
          <w:lang w:eastAsia="cs-CZ"/>
        </w:rPr>
        <w:t>vyhodnotil jako omezeně efektivní.</w:t>
      </w:r>
    </w:p>
    <w:p w14:paraId="1026846E" w14:textId="45F3F607" w:rsidR="0035434A" w:rsidRPr="002C310E" w:rsidRDefault="009977F8" w:rsidP="00733FC4">
      <w:pPr>
        <w:pBdr>
          <w:top w:val="single" w:sz="4" w:space="1" w:color="auto"/>
          <w:left w:val="single" w:sz="4" w:space="1" w:color="auto"/>
          <w:bottom w:val="single" w:sz="4" w:space="1" w:color="auto"/>
          <w:right w:val="single" w:sz="4" w:space="1" w:color="auto"/>
        </w:pBdr>
        <w:spacing w:after="0" w:line="240" w:lineRule="auto"/>
        <w:jc w:val="both"/>
        <w:rPr>
          <w:rFonts w:cstheme="minorHAnsi"/>
          <w:bCs/>
          <w:i/>
          <w:iCs/>
          <w:sz w:val="24"/>
          <w:szCs w:val="24"/>
          <w:lang w:eastAsia="cs-CZ"/>
        </w:rPr>
      </w:pPr>
      <w:r w:rsidRPr="002C310E">
        <w:rPr>
          <w:rFonts w:eastAsia="Calibri" w:cstheme="minorHAnsi"/>
          <w:bCs/>
          <w:i/>
          <w:iCs/>
          <w:noProof/>
          <w:sz w:val="24"/>
          <w:szCs w:val="24"/>
        </w:rPr>
        <w:lastRenderedPageBreak/>
        <w:t>P</w:t>
      </w:r>
      <w:r w:rsidR="00F04DCF" w:rsidRPr="002C310E">
        <w:rPr>
          <w:rFonts w:eastAsia="Calibri" w:cstheme="minorHAnsi"/>
          <w:bCs/>
          <w:i/>
          <w:iCs/>
          <w:noProof/>
          <w:sz w:val="24"/>
          <w:szCs w:val="24"/>
        </w:rPr>
        <w:t>roje</w:t>
      </w:r>
      <w:r w:rsidR="00FE65F2" w:rsidRPr="002C310E">
        <w:rPr>
          <w:rFonts w:eastAsia="Calibri" w:cstheme="minorHAnsi"/>
          <w:bCs/>
          <w:i/>
          <w:iCs/>
          <w:noProof/>
          <w:sz w:val="24"/>
          <w:szCs w:val="24"/>
        </w:rPr>
        <w:t>k</w:t>
      </w:r>
      <w:r w:rsidR="00F04DCF" w:rsidRPr="002C310E">
        <w:rPr>
          <w:rFonts w:eastAsia="Calibri" w:cstheme="minorHAnsi"/>
          <w:bCs/>
          <w:i/>
          <w:iCs/>
          <w:noProof/>
          <w:sz w:val="24"/>
          <w:szCs w:val="24"/>
        </w:rPr>
        <w:t>t byl</w:t>
      </w:r>
      <w:r w:rsidRPr="002C310E">
        <w:rPr>
          <w:rFonts w:eastAsia="Calibri" w:cstheme="minorHAnsi"/>
          <w:bCs/>
          <w:i/>
          <w:iCs/>
          <w:noProof/>
          <w:sz w:val="24"/>
          <w:szCs w:val="24"/>
        </w:rPr>
        <w:t xml:space="preserve"> </w:t>
      </w:r>
      <w:r w:rsidR="00EE499B" w:rsidRPr="002C310E">
        <w:rPr>
          <w:rFonts w:eastAsia="Calibri" w:cstheme="minorHAnsi"/>
          <w:bCs/>
          <w:i/>
          <w:iCs/>
          <w:noProof/>
          <w:sz w:val="24"/>
          <w:szCs w:val="24"/>
        </w:rPr>
        <w:t xml:space="preserve">navíc </w:t>
      </w:r>
      <w:r w:rsidR="00F04DCF" w:rsidRPr="002C310E">
        <w:rPr>
          <w:rFonts w:eastAsia="Calibri" w:cstheme="minorHAnsi"/>
          <w:bCs/>
          <w:i/>
          <w:iCs/>
          <w:noProof/>
          <w:sz w:val="24"/>
          <w:szCs w:val="24"/>
        </w:rPr>
        <w:t>realizován se 14 měsíčním zpožděním</w:t>
      </w:r>
      <w:r w:rsidR="006420B0">
        <w:rPr>
          <w:rFonts w:eastAsia="Calibri" w:cstheme="minorHAnsi"/>
          <w:bCs/>
          <w:i/>
          <w:iCs/>
          <w:noProof/>
          <w:sz w:val="24"/>
          <w:szCs w:val="24"/>
        </w:rPr>
        <w:t xml:space="preserve"> z důvodu technologických změn vývoje </w:t>
      </w:r>
      <w:r w:rsidR="00DE4B45">
        <w:rPr>
          <w:rFonts w:eastAsia="Calibri" w:cstheme="minorHAnsi"/>
          <w:bCs/>
          <w:i/>
          <w:iCs/>
          <w:noProof/>
          <w:sz w:val="24"/>
          <w:szCs w:val="24"/>
        </w:rPr>
        <w:t>informačních a komunikačních technologií</w:t>
      </w:r>
      <w:r w:rsidR="006420B0">
        <w:rPr>
          <w:rFonts w:eastAsia="Calibri" w:cstheme="minorHAnsi"/>
          <w:bCs/>
          <w:i/>
          <w:iCs/>
          <w:noProof/>
          <w:sz w:val="24"/>
          <w:szCs w:val="24"/>
        </w:rPr>
        <w:t xml:space="preserve"> a pandemie </w:t>
      </w:r>
      <w:r w:rsidR="005D3442">
        <w:rPr>
          <w:rFonts w:eastAsia="Calibri" w:cstheme="minorHAnsi"/>
          <w:bCs/>
          <w:i/>
          <w:iCs/>
          <w:noProof/>
          <w:sz w:val="24"/>
          <w:szCs w:val="24"/>
        </w:rPr>
        <w:t>c</w:t>
      </w:r>
      <w:r w:rsidR="006420B0">
        <w:rPr>
          <w:rFonts w:eastAsia="Calibri" w:cstheme="minorHAnsi"/>
          <w:bCs/>
          <w:i/>
          <w:iCs/>
          <w:noProof/>
          <w:sz w:val="24"/>
          <w:szCs w:val="24"/>
        </w:rPr>
        <w:t>ovid-19</w:t>
      </w:r>
      <w:r w:rsidR="00F04DCF" w:rsidRPr="002C310E">
        <w:rPr>
          <w:rFonts w:eastAsia="Calibri" w:cstheme="minorHAnsi"/>
          <w:bCs/>
          <w:i/>
          <w:iCs/>
          <w:noProof/>
          <w:sz w:val="24"/>
          <w:szCs w:val="24"/>
        </w:rPr>
        <w:t xml:space="preserve">. Největší </w:t>
      </w:r>
      <w:r w:rsidR="00F45AD8" w:rsidRPr="002C310E">
        <w:rPr>
          <w:rFonts w:eastAsia="Calibri" w:cstheme="minorHAnsi"/>
          <w:bCs/>
          <w:i/>
          <w:iCs/>
          <w:noProof/>
          <w:sz w:val="24"/>
          <w:szCs w:val="24"/>
        </w:rPr>
        <w:t>zpoždění</w:t>
      </w:r>
      <w:r w:rsidR="00F04DCF" w:rsidRPr="002C310E">
        <w:rPr>
          <w:rFonts w:eastAsia="Calibri" w:cstheme="minorHAnsi"/>
          <w:bCs/>
          <w:i/>
          <w:iCs/>
          <w:noProof/>
          <w:sz w:val="24"/>
          <w:szCs w:val="24"/>
        </w:rPr>
        <w:t xml:space="preserve"> nastal</w:t>
      </w:r>
      <w:r w:rsidR="00F45AD8" w:rsidRPr="002C310E">
        <w:rPr>
          <w:rFonts w:eastAsia="Calibri" w:cstheme="minorHAnsi"/>
          <w:bCs/>
          <w:i/>
          <w:iCs/>
          <w:noProof/>
          <w:sz w:val="24"/>
          <w:szCs w:val="24"/>
        </w:rPr>
        <w:t>o</w:t>
      </w:r>
      <w:r w:rsidR="00F04DCF" w:rsidRPr="002C310E">
        <w:rPr>
          <w:rFonts w:eastAsia="Calibri" w:cstheme="minorHAnsi"/>
          <w:bCs/>
          <w:i/>
          <w:iCs/>
          <w:noProof/>
          <w:sz w:val="24"/>
          <w:szCs w:val="24"/>
        </w:rPr>
        <w:t xml:space="preserve"> u</w:t>
      </w:r>
      <w:r w:rsidR="00EF662A">
        <w:rPr>
          <w:rFonts w:eastAsia="Calibri" w:cstheme="minorHAnsi"/>
          <w:bCs/>
          <w:i/>
          <w:iCs/>
          <w:noProof/>
          <w:sz w:val="24"/>
          <w:szCs w:val="24"/>
        </w:rPr>
        <w:t> </w:t>
      </w:r>
      <w:r w:rsidR="00F04DCF" w:rsidRPr="002C310E">
        <w:rPr>
          <w:rFonts w:eastAsia="Calibri" w:cstheme="minorHAnsi"/>
          <w:bCs/>
          <w:i/>
          <w:iCs/>
          <w:noProof/>
          <w:sz w:val="24"/>
          <w:szCs w:val="24"/>
        </w:rPr>
        <w:t xml:space="preserve">jedné z klíčových aktivit </w:t>
      </w:r>
      <w:r w:rsidRPr="002C310E">
        <w:rPr>
          <w:rFonts w:eastAsia="Calibri" w:cstheme="minorHAnsi"/>
          <w:bCs/>
          <w:i/>
          <w:iCs/>
          <w:noProof/>
          <w:sz w:val="24"/>
          <w:szCs w:val="24"/>
        </w:rPr>
        <w:t>projektu</w:t>
      </w:r>
      <w:r w:rsidR="00FE65F2" w:rsidRPr="002C310E">
        <w:rPr>
          <w:rFonts w:eastAsia="Calibri" w:cstheme="minorHAnsi"/>
          <w:bCs/>
          <w:i/>
          <w:iCs/>
          <w:noProof/>
          <w:sz w:val="24"/>
          <w:szCs w:val="24"/>
        </w:rPr>
        <w:t xml:space="preserve"> </w:t>
      </w:r>
      <w:r w:rsidR="005D3442">
        <w:rPr>
          <w:rFonts w:eastAsia="Calibri" w:cstheme="minorHAnsi"/>
          <w:bCs/>
          <w:i/>
          <w:iCs/>
          <w:noProof/>
          <w:sz w:val="24"/>
          <w:szCs w:val="24"/>
        </w:rPr>
        <w:t>–</w:t>
      </w:r>
      <w:r w:rsidR="00ED4CE9" w:rsidRPr="002C310E">
        <w:rPr>
          <w:rFonts w:eastAsia="Calibri" w:cstheme="minorHAnsi"/>
          <w:bCs/>
          <w:i/>
          <w:iCs/>
          <w:noProof/>
          <w:sz w:val="24"/>
          <w:szCs w:val="24"/>
        </w:rPr>
        <w:t xml:space="preserve"> v</w:t>
      </w:r>
      <w:r w:rsidRPr="002C310E">
        <w:rPr>
          <w:rFonts w:eastAsia="Calibri" w:cstheme="minorHAnsi"/>
          <w:bCs/>
          <w:i/>
          <w:iCs/>
          <w:noProof/>
          <w:sz w:val="24"/>
          <w:szCs w:val="24"/>
        </w:rPr>
        <w:t>ytvoření datového centra</w:t>
      </w:r>
      <w:r w:rsidR="00F04DCF" w:rsidRPr="002C310E">
        <w:rPr>
          <w:rFonts w:eastAsia="Calibri" w:cstheme="minorHAnsi"/>
          <w:bCs/>
          <w:i/>
          <w:iCs/>
          <w:noProof/>
          <w:sz w:val="24"/>
          <w:szCs w:val="24"/>
        </w:rPr>
        <w:t xml:space="preserve">. </w:t>
      </w:r>
    </w:p>
    <w:p w14:paraId="30B318B9" w14:textId="763E4CF3" w:rsidR="005F2D7B" w:rsidRPr="00B414E3" w:rsidRDefault="00F04DCF" w:rsidP="00733FC4">
      <w:pPr>
        <w:spacing w:before="120" w:after="120" w:line="240" w:lineRule="auto"/>
        <w:jc w:val="both"/>
        <w:rPr>
          <w:rFonts w:cstheme="minorHAnsi"/>
          <w:b/>
          <w:color w:val="000000" w:themeColor="text1"/>
          <w:sz w:val="24"/>
          <w:szCs w:val="24"/>
        </w:rPr>
      </w:pPr>
      <w:r w:rsidRPr="00DF1082">
        <w:rPr>
          <w:rFonts w:cstheme="minorHAnsi"/>
          <w:b/>
          <w:sz w:val="24"/>
          <w:szCs w:val="24"/>
        </w:rPr>
        <w:t>4.</w:t>
      </w:r>
      <w:r w:rsidR="000B1625" w:rsidRPr="00DF1082">
        <w:rPr>
          <w:rFonts w:cstheme="minorHAnsi"/>
          <w:b/>
          <w:sz w:val="24"/>
          <w:szCs w:val="24"/>
        </w:rPr>
        <w:t>22</w:t>
      </w:r>
      <w:r w:rsidRPr="00DF1082">
        <w:rPr>
          <w:rFonts w:cstheme="minorHAnsi"/>
          <w:sz w:val="24"/>
          <w:szCs w:val="24"/>
        </w:rPr>
        <w:t xml:space="preserve"> </w:t>
      </w:r>
      <w:r w:rsidR="00E37359" w:rsidRPr="002C310E">
        <w:rPr>
          <w:rFonts w:cstheme="minorHAnsi"/>
          <w:sz w:val="24"/>
          <w:szCs w:val="24"/>
        </w:rPr>
        <w:t xml:space="preserve">MV má nastaveno průběžné monitorování realizace jednotlivých etap projektu </w:t>
      </w:r>
      <w:r w:rsidR="006E3D24" w:rsidRPr="002C310E">
        <w:rPr>
          <w:rFonts w:cstheme="minorHAnsi"/>
          <w:sz w:val="24"/>
          <w:szCs w:val="24"/>
        </w:rPr>
        <w:t>(viz odst. </w:t>
      </w:r>
      <w:r w:rsidR="00D90F80" w:rsidRPr="002C310E">
        <w:rPr>
          <w:rFonts w:cstheme="minorHAnsi"/>
          <w:sz w:val="24"/>
          <w:szCs w:val="24"/>
        </w:rPr>
        <w:t>4.</w:t>
      </w:r>
      <w:r w:rsidR="00FF5D16">
        <w:rPr>
          <w:rFonts w:cstheme="minorHAnsi"/>
          <w:sz w:val="24"/>
          <w:szCs w:val="24"/>
        </w:rPr>
        <w:t>17</w:t>
      </w:r>
      <w:r w:rsidR="00D90F80" w:rsidRPr="002C310E">
        <w:rPr>
          <w:rFonts w:cstheme="minorHAnsi"/>
          <w:sz w:val="24"/>
          <w:szCs w:val="24"/>
        </w:rPr>
        <w:t>)</w:t>
      </w:r>
      <w:r w:rsidR="005D3442">
        <w:rPr>
          <w:rFonts w:cstheme="minorHAnsi"/>
          <w:sz w:val="24"/>
          <w:szCs w:val="24"/>
        </w:rPr>
        <w:t>,</w:t>
      </w:r>
      <w:r w:rsidR="00E46B4A" w:rsidRPr="002C310E">
        <w:rPr>
          <w:rFonts w:cstheme="minorHAnsi"/>
          <w:sz w:val="24"/>
          <w:szCs w:val="24"/>
        </w:rPr>
        <w:t xml:space="preserve"> </w:t>
      </w:r>
      <w:r w:rsidR="00D90F80" w:rsidRPr="002C310E">
        <w:rPr>
          <w:rFonts w:cstheme="minorHAnsi"/>
          <w:sz w:val="24"/>
          <w:szCs w:val="24"/>
        </w:rPr>
        <w:t>v </w:t>
      </w:r>
      <w:r w:rsidR="005D3442">
        <w:rPr>
          <w:rFonts w:cstheme="minorHAnsi"/>
          <w:sz w:val="24"/>
          <w:szCs w:val="24"/>
        </w:rPr>
        <w:t xml:space="preserve">jehož </w:t>
      </w:r>
      <w:r w:rsidR="00D90F80" w:rsidRPr="002C310E">
        <w:rPr>
          <w:rFonts w:cstheme="minorHAnsi"/>
          <w:sz w:val="24"/>
          <w:szCs w:val="24"/>
        </w:rPr>
        <w:t xml:space="preserve">rámci prověřuje </w:t>
      </w:r>
      <w:r w:rsidR="006E3D24" w:rsidRPr="002C310E">
        <w:rPr>
          <w:rFonts w:cstheme="minorHAnsi"/>
          <w:sz w:val="24"/>
          <w:szCs w:val="24"/>
        </w:rPr>
        <w:t>soulad s podmínkami projektu a </w:t>
      </w:r>
      <w:r w:rsidR="00E37359" w:rsidRPr="002C310E">
        <w:rPr>
          <w:rFonts w:cstheme="minorHAnsi"/>
          <w:sz w:val="24"/>
          <w:szCs w:val="24"/>
        </w:rPr>
        <w:t>způsobilost výdajů. V</w:t>
      </w:r>
      <w:r w:rsidR="00A26C02" w:rsidRPr="002C310E">
        <w:rPr>
          <w:rFonts w:cstheme="minorHAnsi"/>
          <w:sz w:val="24"/>
          <w:szCs w:val="24"/>
        </w:rPr>
        <w:t> </w:t>
      </w:r>
      <w:r w:rsidR="00E37359" w:rsidRPr="002C310E">
        <w:rPr>
          <w:rFonts w:cstheme="minorHAnsi"/>
          <w:sz w:val="24"/>
          <w:szCs w:val="24"/>
        </w:rPr>
        <w:t>případě</w:t>
      </w:r>
      <w:r w:rsidR="00A26C02" w:rsidRPr="002C310E">
        <w:rPr>
          <w:rFonts w:cstheme="minorHAnsi"/>
          <w:sz w:val="24"/>
          <w:szCs w:val="24"/>
        </w:rPr>
        <w:t xml:space="preserve"> nezpůsobilých výdajů </w:t>
      </w:r>
      <w:r w:rsidR="00E37359" w:rsidRPr="002C310E">
        <w:rPr>
          <w:rFonts w:cstheme="minorHAnsi"/>
          <w:sz w:val="24"/>
          <w:szCs w:val="24"/>
        </w:rPr>
        <w:t xml:space="preserve">MV </w:t>
      </w:r>
      <w:r w:rsidR="008C229E" w:rsidRPr="002C310E">
        <w:rPr>
          <w:rFonts w:cstheme="minorHAnsi"/>
          <w:sz w:val="24"/>
          <w:szCs w:val="24"/>
        </w:rPr>
        <w:t>uložilo příjemci sankci formou krácení poskytnutých peněžních prostředků</w:t>
      </w:r>
      <w:r w:rsidR="00E37359" w:rsidRPr="002C310E">
        <w:rPr>
          <w:rFonts w:cstheme="minorHAnsi"/>
          <w:sz w:val="24"/>
          <w:szCs w:val="24"/>
        </w:rPr>
        <w:t xml:space="preserve">. </w:t>
      </w:r>
      <w:r w:rsidR="00A26C02" w:rsidRPr="002C310E">
        <w:rPr>
          <w:rFonts w:cstheme="minorHAnsi"/>
          <w:sz w:val="24"/>
          <w:szCs w:val="24"/>
        </w:rPr>
        <w:t>MV rovněž provádělo kontroly na m</w:t>
      </w:r>
      <w:r w:rsidR="00A26C02" w:rsidRPr="00B414E3">
        <w:rPr>
          <w:rFonts w:cstheme="minorHAnsi"/>
          <w:color w:val="000000" w:themeColor="text1"/>
          <w:sz w:val="24"/>
          <w:szCs w:val="24"/>
        </w:rPr>
        <w:t>ístě</w:t>
      </w:r>
      <w:r w:rsidR="00D90F80" w:rsidRPr="00B414E3">
        <w:rPr>
          <w:rFonts w:cstheme="minorHAnsi"/>
          <w:color w:val="000000" w:themeColor="text1"/>
          <w:sz w:val="24"/>
          <w:szCs w:val="24"/>
        </w:rPr>
        <w:t>.</w:t>
      </w:r>
      <w:r w:rsidR="00A26C02" w:rsidRPr="00B414E3">
        <w:rPr>
          <w:rFonts w:cstheme="minorHAnsi"/>
          <w:color w:val="000000" w:themeColor="text1"/>
          <w:sz w:val="24"/>
          <w:szCs w:val="24"/>
        </w:rPr>
        <w:t xml:space="preserve"> </w:t>
      </w:r>
    </w:p>
    <w:tbl>
      <w:tblPr>
        <w:tblStyle w:val="Mkatabulky"/>
        <w:tblW w:w="0" w:type="auto"/>
        <w:tblLook w:val="04A0" w:firstRow="1" w:lastRow="0" w:firstColumn="1" w:lastColumn="0" w:noHBand="0" w:noVBand="1"/>
      </w:tblPr>
      <w:tblGrid>
        <w:gridCol w:w="9062"/>
      </w:tblGrid>
      <w:tr w:rsidR="00C72C9E" w14:paraId="5ADFE972" w14:textId="77777777" w:rsidTr="00BD4518">
        <w:trPr>
          <w:trHeight w:val="389"/>
        </w:trPr>
        <w:tc>
          <w:tcPr>
            <w:tcW w:w="9062" w:type="dxa"/>
            <w:shd w:val="clear" w:color="auto" w:fill="E5F1FF"/>
            <w:vAlign w:val="center"/>
          </w:tcPr>
          <w:p w14:paraId="61C843DA" w14:textId="5A70ACCF" w:rsidR="0091544F" w:rsidRPr="002C310E" w:rsidRDefault="007B7D9D" w:rsidP="005D3442">
            <w:pPr>
              <w:pStyle w:val="Nadpis2"/>
              <w:outlineLvl w:val="1"/>
              <w:rPr>
                <w:rFonts w:asciiTheme="minorHAnsi" w:hAnsiTheme="minorHAnsi" w:cstheme="minorHAnsi"/>
                <w:b/>
                <w:color w:val="1F4E79" w:themeColor="accent1" w:themeShade="80"/>
                <w:sz w:val="24"/>
                <w:szCs w:val="24"/>
              </w:rPr>
            </w:pPr>
            <w:r>
              <w:rPr>
                <w:rFonts w:asciiTheme="minorHAnsi" w:hAnsiTheme="minorHAnsi" w:cstheme="minorHAnsi"/>
                <w:b/>
                <w:color w:val="1F4E79" w:themeColor="accent1" w:themeShade="80"/>
                <w:sz w:val="24"/>
                <w:szCs w:val="24"/>
              </w:rPr>
              <w:t xml:space="preserve">B.2 </w:t>
            </w:r>
            <w:r w:rsidR="00F04DCF" w:rsidRPr="00DF79B9">
              <w:rPr>
                <w:rFonts w:asciiTheme="minorHAnsi" w:hAnsiTheme="minorHAnsi" w:cstheme="minorHAnsi"/>
                <w:b/>
                <w:i/>
                <w:color w:val="1F4E79" w:themeColor="accent1" w:themeShade="80"/>
                <w:sz w:val="24"/>
                <w:szCs w:val="24"/>
              </w:rPr>
              <w:t>Národní program – Azylový, migrační a integrační fond</w:t>
            </w:r>
          </w:p>
        </w:tc>
      </w:tr>
    </w:tbl>
    <w:p w14:paraId="5B0B9FCA" w14:textId="77777777" w:rsidR="006D21B1" w:rsidRPr="00DF79B9" w:rsidRDefault="00F04DCF" w:rsidP="00733FC4">
      <w:pPr>
        <w:spacing w:before="120" w:after="120" w:line="240" w:lineRule="auto"/>
        <w:jc w:val="both"/>
        <w:rPr>
          <w:rFonts w:cstheme="minorHAnsi"/>
          <w:b/>
          <w:i/>
          <w:color w:val="1F4E79" w:themeColor="accent1" w:themeShade="80"/>
          <w:sz w:val="24"/>
          <w:szCs w:val="24"/>
        </w:rPr>
      </w:pPr>
      <w:r w:rsidRPr="00DF79B9">
        <w:rPr>
          <w:rFonts w:cstheme="minorHAnsi"/>
          <w:b/>
          <w:i/>
          <w:color w:val="1F4E79" w:themeColor="accent1" w:themeShade="80"/>
          <w:sz w:val="24"/>
          <w:szCs w:val="24"/>
        </w:rPr>
        <w:t>Přispěla realizace projektů NP AMIF k plnění cílů migrační politiky</w:t>
      </w:r>
      <w:r w:rsidR="00101A29" w:rsidRPr="00DF79B9">
        <w:rPr>
          <w:rFonts w:cstheme="minorHAnsi"/>
          <w:b/>
          <w:i/>
          <w:color w:val="1F4E79" w:themeColor="accent1" w:themeShade="80"/>
          <w:sz w:val="24"/>
          <w:szCs w:val="24"/>
        </w:rPr>
        <w:t xml:space="preserve">, tj. </w:t>
      </w:r>
      <w:r w:rsidR="006E0B27" w:rsidRPr="00DF79B9">
        <w:rPr>
          <w:rFonts w:cstheme="minorHAnsi"/>
          <w:b/>
          <w:i/>
          <w:color w:val="1F4E79" w:themeColor="accent1" w:themeShade="80"/>
          <w:sz w:val="24"/>
          <w:szCs w:val="24"/>
        </w:rPr>
        <w:t>byly</w:t>
      </w:r>
      <w:r w:rsidR="006A1715" w:rsidRPr="00DF79B9">
        <w:rPr>
          <w:rFonts w:cstheme="minorHAnsi"/>
          <w:b/>
          <w:i/>
          <w:color w:val="1F4E79" w:themeColor="accent1" w:themeShade="80"/>
          <w:sz w:val="24"/>
          <w:szCs w:val="24"/>
        </w:rPr>
        <w:t xml:space="preserve"> peněžní</w:t>
      </w:r>
      <w:r w:rsidR="006E0B27" w:rsidRPr="00DF79B9">
        <w:rPr>
          <w:rFonts w:cstheme="minorHAnsi"/>
          <w:b/>
          <w:i/>
          <w:color w:val="1F4E79" w:themeColor="accent1" w:themeShade="80"/>
          <w:sz w:val="24"/>
          <w:szCs w:val="24"/>
        </w:rPr>
        <w:t xml:space="preserve"> </w:t>
      </w:r>
      <w:r w:rsidR="00295DFC" w:rsidRPr="00DF79B9">
        <w:rPr>
          <w:rFonts w:cstheme="minorHAnsi"/>
          <w:b/>
          <w:i/>
          <w:color w:val="1F4E79" w:themeColor="accent1" w:themeShade="80"/>
          <w:sz w:val="24"/>
          <w:szCs w:val="24"/>
        </w:rPr>
        <w:t xml:space="preserve">prostředky na </w:t>
      </w:r>
      <w:r w:rsidR="006E0B27" w:rsidRPr="00DF79B9">
        <w:rPr>
          <w:rFonts w:cstheme="minorHAnsi"/>
          <w:b/>
          <w:i/>
          <w:color w:val="1F4E79" w:themeColor="accent1" w:themeShade="80"/>
          <w:sz w:val="24"/>
          <w:szCs w:val="24"/>
        </w:rPr>
        <w:t xml:space="preserve">projekty </w:t>
      </w:r>
      <w:r w:rsidR="00295DFC" w:rsidRPr="00DF79B9">
        <w:rPr>
          <w:rFonts w:cstheme="minorHAnsi"/>
          <w:b/>
          <w:i/>
          <w:color w:val="1F4E79" w:themeColor="accent1" w:themeShade="80"/>
          <w:sz w:val="24"/>
          <w:szCs w:val="24"/>
        </w:rPr>
        <w:t xml:space="preserve">vynaloženy </w:t>
      </w:r>
      <w:r w:rsidR="006E0B27" w:rsidRPr="00DF79B9">
        <w:rPr>
          <w:rFonts w:cstheme="minorHAnsi"/>
          <w:b/>
          <w:i/>
          <w:color w:val="1F4E79" w:themeColor="accent1" w:themeShade="80"/>
          <w:sz w:val="24"/>
          <w:szCs w:val="24"/>
        </w:rPr>
        <w:t>účeln</w:t>
      </w:r>
      <w:r w:rsidR="00295DFC" w:rsidRPr="00DF79B9">
        <w:rPr>
          <w:rFonts w:cstheme="minorHAnsi"/>
          <w:b/>
          <w:i/>
          <w:color w:val="1F4E79" w:themeColor="accent1" w:themeShade="80"/>
          <w:sz w:val="24"/>
          <w:szCs w:val="24"/>
        </w:rPr>
        <w:t>ě</w:t>
      </w:r>
      <w:r w:rsidRPr="00DF79B9">
        <w:rPr>
          <w:rFonts w:cstheme="minorHAnsi"/>
          <w:b/>
          <w:i/>
          <w:color w:val="1F4E79" w:themeColor="accent1" w:themeShade="80"/>
          <w:sz w:val="24"/>
          <w:szCs w:val="24"/>
        </w:rPr>
        <w:t>?</w:t>
      </w:r>
    </w:p>
    <w:p w14:paraId="67FDFF5E" w14:textId="359019DF" w:rsidR="00B87BA2" w:rsidRPr="002C310E" w:rsidRDefault="00F04DCF" w:rsidP="00733FC4">
      <w:pPr>
        <w:spacing w:after="120" w:line="240" w:lineRule="auto"/>
        <w:jc w:val="both"/>
        <w:rPr>
          <w:rFonts w:eastAsia="Times New Roman" w:cstheme="minorHAnsi"/>
          <w:sz w:val="24"/>
          <w:szCs w:val="24"/>
        </w:rPr>
      </w:pPr>
      <w:r w:rsidRPr="00DF1082">
        <w:rPr>
          <w:rFonts w:cstheme="minorHAnsi"/>
          <w:b/>
          <w:sz w:val="24"/>
          <w:szCs w:val="24"/>
        </w:rPr>
        <w:t>4.2</w:t>
      </w:r>
      <w:r w:rsidR="000B1625" w:rsidRPr="00DF1082">
        <w:rPr>
          <w:rFonts w:cstheme="minorHAnsi"/>
          <w:b/>
          <w:sz w:val="24"/>
          <w:szCs w:val="24"/>
        </w:rPr>
        <w:t>3</w:t>
      </w:r>
      <w:r w:rsidRPr="002C310E">
        <w:rPr>
          <w:rFonts w:cstheme="minorHAnsi"/>
          <w:sz w:val="24"/>
          <w:szCs w:val="24"/>
        </w:rPr>
        <w:t xml:space="preserve"> </w:t>
      </w:r>
      <w:r w:rsidRPr="002C310E">
        <w:rPr>
          <w:rFonts w:eastAsia="Times New Roman" w:cstheme="minorHAnsi"/>
          <w:sz w:val="24"/>
          <w:szCs w:val="24"/>
        </w:rPr>
        <w:t>NKÚ ověř</w:t>
      </w:r>
      <w:r w:rsidR="006F49CB" w:rsidRPr="002C310E">
        <w:rPr>
          <w:rFonts w:eastAsia="Times New Roman" w:cstheme="minorHAnsi"/>
          <w:sz w:val="24"/>
          <w:szCs w:val="24"/>
        </w:rPr>
        <w:t>il</w:t>
      </w:r>
      <w:r w:rsidR="000D3AD3">
        <w:rPr>
          <w:rFonts w:eastAsia="Times New Roman" w:cstheme="minorHAnsi"/>
          <w:sz w:val="24"/>
          <w:szCs w:val="24"/>
        </w:rPr>
        <w:t xml:space="preserve"> a potvrdil</w:t>
      </w:r>
      <w:r w:rsidRPr="002C310E">
        <w:rPr>
          <w:rFonts w:eastAsia="Times New Roman" w:cstheme="minorHAnsi"/>
          <w:sz w:val="24"/>
          <w:szCs w:val="24"/>
        </w:rPr>
        <w:t xml:space="preserve">, že </w:t>
      </w:r>
      <w:r w:rsidR="0019581E" w:rsidRPr="002C310E">
        <w:rPr>
          <w:rFonts w:eastAsia="Times New Roman" w:cstheme="minorHAnsi"/>
          <w:sz w:val="24"/>
          <w:szCs w:val="24"/>
        </w:rPr>
        <w:t xml:space="preserve">MV stanovilo cíle </w:t>
      </w:r>
      <w:r w:rsidRPr="002C310E">
        <w:rPr>
          <w:rFonts w:eastAsia="Times New Roman" w:cstheme="minorHAnsi"/>
          <w:sz w:val="24"/>
          <w:szCs w:val="24"/>
        </w:rPr>
        <w:t>v programové dokumentaci NP AMIF v oblast</w:t>
      </w:r>
      <w:r w:rsidR="006E3D24" w:rsidRPr="002C310E">
        <w:rPr>
          <w:rFonts w:eastAsia="Times New Roman" w:cstheme="minorHAnsi"/>
          <w:sz w:val="24"/>
          <w:szCs w:val="24"/>
        </w:rPr>
        <w:t>ech</w:t>
      </w:r>
      <w:r w:rsidRPr="002C310E">
        <w:rPr>
          <w:rFonts w:eastAsia="Times New Roman" w:cstheme="minorHAnsi"/>
          <w:sz w:val="24"/>
          <w:szCs w:val="24"/>
        </w:rPr>
        <w:t xml:space="preserve"> specifických cílů </w:t>
      </w:r>
      <w:r w:rsidRPr="00DF79B9">
        <w:rPr>
          <w:rFonts w:eastAsia="Times New Roman" w:cstheme="minorHAnsi"/>
          <w:i/>
          <w:sz w:val="24"/>
          <w:szCs w:val="24"/>
        </w:rPr>
        <w:t>Azyl</w:t>
      </w:r>
      <w:r w:rsidRPr="002C310E">
        <w:rPr>
          <w:rFonts w:eastAsia="Times New Roman" w:cstheme="minorHAnsi"/>
          <w:sz w:val="24"/>
          <w:szCs w:val="24"/>
        </w:rPr>
        <w:t xml:space="preserve"> a </w:t>
      </w:r>
      <w:r w:rsidRPr="00DF79B9">
        <w:rPr>
          <w:rFonts w:eastAsia="Times New Roman" w:cstheme="minorHAnsi"/>
          <w:i/>
          <w:sz w:val="24"/>
          <w:szCs w:val="24"/>
        </w:rPr>
        <w:t>Integrace</w:t>
      </w:r>
      <w:r w:rsidR="0019581E" w:rsidRPr="002C310E">
        <w:rPr>
          <w:rFonts w:eastAsia="Times New Roman" w:cstheme="minorHAnsi"/>
          <w:sz w:val="24"/>
          <w:szCs w:val="24"/>
        </w:rPr>
        <w:t>, které</w:t>
      </w:r>
      <w:r w:rsidRPr="002C310E">
        <w:rPr>
          <w:rFonts w:eastAsia="Times New Roman" w:cstheme="minorHAnsi"/>
          <w:sz w:val="24"/>
          <w:szCs w:val="24"/>
        </w:rPr>
        <w:t xml:space="preserve"> navazovaly na obecné cíle uvedené v koncepčních dokumentech jako je Strategie nebo KIC. </w:t>
      </w:r>
    </w:p>
    <w:p w14:paraId="163AA413" w14:textId="743D4C5C" w:rsidR="00486767" w:rsidRPr="002C310E" w:rsidRDefault="00F04DCF" w:rsidP="00486767">
      <w:pPr>
        <w:spacing w:after="120" w:line="240" w:lineRule="auto"/>
        <w:jc w:val="both"/>
        <w:rPr>
          <w:rFonts w:cstheme="minorHAnsi"/>
          <w:iCs/>
          <w:sz w:val="24"/>
          <w:szCs w:val="24"/>
        </w:rPr>
      </w:pPr>
      <w:r w:rsidRPr="00DF1082">
        <w:rPr>
          <w:rFonts w:cstheme="minorHAnsi"/>
          <w:b/>
          <w:sz w:val="24"/>
          <w:szCs w:val="24"/>
        </w:rPr>
        <w:t>4.2</w:t>
      </w:r>
      <w:r w:rsidR="000B1625" w:rsidRPr="00DF1082">
        <w:rPr>
          <w:rFonts w:cstheme="minorHAnsi"/>
          <w:b/>
          <w:sz w:val="24"/>
          <w:szCs w:val="24"/>
        </w:rPr>
        <w:t>4</w:t>
      </w:r>
      <w:r w:rsidRPr="002C310E">
        <w:rPr>
          <w:rFonts w:cstheme="minorHAnsi"/>
          <w:sz w:val="24"/>
          <w:szCs w:val="24"/>
        </w:rPr>
        <w:t xml:space="preserve"> MV nastavilo systém hodnocení a výběr projektů v rámci NP AMIF obdobným způsobem jako v rámci programu NP ISF</w:t>
      </w:r>
      <w:r w:rsidR="000C13E2" w:rsidRPr="002C310E">
        <w:rPr>
          <w:rFonts w:cstheme="minorHAnsi"/>
          <w:sz w:val="24"/>
          <w:szCs w:val="24"/>
        </w:rPr>
        <w:t xml:space="preserve">. </w:t>
      </w:r>
      <w:r w:rsidR="003627E1" w:rsidRPr="002C310E">
        <w:rPr>
          <w:rFonts w:cstheme="minorHAnsi"/>
          <w:sz w:val="24"/>
          <w:szCs w:val="24"/>
        </w:rPr>
        <w:t>A také obdobně</w:t>
      </w:r>
      <w:r w:rsidR="000C13E2" w:rsidRPr="002C310E">
        <w:rPr>
          <w:rFonts w:cstheme="minorHAnsi"/>
          <w:sz w:val="24"/>
          <w:szCs w:val="24"/>
        </w:rPr>
        <w:t xml:space="preserve"> </w:t>
      </w:r>
      <w:r w:rsidRPr="002C310E">
        <w:rPr>
          <w:rFonts w:cstheme="minorHAnsi"/>
          <w:sz w:val="24"/>
          <w:szCs w:val="24"/>
        </w:rPr>
        <w:t>v rámci kontroly vybraných projektů</w:t>
      </w:r>
      <w:r w:rsidR="000C13E2" w:rsidRPr="002C310E">
        <w:rPr>
          <w:rFonts w:cstheme="minorHAnsi"/>
          <w:sz w:val="24"/>
          <w:szCs w:val="24"/>
        </w:rPr>
        <w:t xml:space="preserve"> b</w:t>
      </w:r>
      <w:r w:rsidRPr="002C310E">
        <w:rPr>
          <w:rFonts w:cstheme="minorHAnsi"/>
          <w:sz w:val="24"/>
          <w:szCs w:val="24"/>
        </w:rPr>
        <w:t>yly zjištěny skutečnosti</w:t>
      </w:r>
      <w:r w:rsidR="00E57458" w:rsidRPr="002C310E">
        <w:rPr>
          <w:rFonts w:cstheme="minorHAnsi"/>
          <w:sz w:val="24"/>
          <w:szCs w:val="24"/>
        </w:rPr>
        <w:t xml:space="preserve"> prokazující</w:t>
      </w:r>
      <w:r w:rsidRPr="002C310E">
        <w:rPr>
          <w:rFonts w:cstheme="minorHAnsi"/>
          <w:sz w:val="24"/>
          <w:szCs w:val="24"/>
        </w:rPr>
        <w:t xml:space="preserve">, </w:t>
      </w:r>
      <w:r w:rsidR="007B395A" w:rsidRPr="002C310E">
        <w:rPr>
          <w:rFonts w:cstheme="minorHAnsi"/>
          <w:sz w:val="24"/>
          <w:szCs w:val="24"/>
        </w:rPr>
        <w:t xml:space="preserve">že systém nebyl vždy funkční z hlediska hodnocení a </w:t>
      </w:r>
      <w:r w:rsidRPr="002C310E">
        <w:rPr>
          <w:rFonts w:cstheme="minorHAnsi"/>
          <w:sz w:val="24"/>
          <w:szCs w:val="24"/>
        </w:rPr>
        <w:t>výběru účelných projektů.</w:t>
      </w:r>
      <w:r w:rsidR="000C13E2" w:rsidRPr="002C310E">
        <w:rPr>
          <w:rFonts w:cstheme="minorHAnsi"/>
          <w:sz w:val="24"/>
          <w:szCs w:val="24"/>
        </w:rPr>
        <w:t xml:space="preserve"> </w:t>
      </w:r>
      <w:r w:rsidRPr="002C310E">
        <w:rPr>
          <w:rFonts w:cstheme="minorHAnsi"/>
          <w:sz w:val="24"/>
          <w:szCs w:val="24"/>
        </w:rPr>
        <w:t xml:space="preserve">Jednalo se např. o projekt </w:t>
      </w:r>
      <w:r w:rsidRPr="002C310E">
        <w:rPr>
          <w:rFonts w:cstheme="minorHAnsi"/>
          <w:bCs/>
          <w:sz w:val="24"/>
          <w:szCs w:val="24"/>
        </w:rPr>
        <w:t>AMIF/21/01</w:t>
      </w:r>
      <w:r w:rsidR="005D3442">
        <w:rPr>
          <w:rFonts w:cstheme="minorHAnsi"/>
          <w:bCs/>
          <w:sz w:val="24"/>
          <w:szCs w:val="24"/>
        </w:rPr>
        <w:t xml:space="preserve"> </w:t>
      </w:r>
      <w:r w:rsidR="005D3442" w:rsidRPr="002C310E">
        <w:rPr>
          <w:rFonts w:cstheme="minorHAnsi"/>
          <w:i/>
          <w:sz w:val="24"/>
          <w:szCs w:val="24"/>
        </w:rPr>
        <w:t>–</w:t>
      </w:r>
      <w:r w:rsidRPr="002C310E">
        <w:rPr>
          <w:rFonts w:cstheme="minorHAnsi"/>
          <w:bCs/>
          <w:sz w:val="24"/>
          <w:szCs w:val="24"/>
        </w:rPr>
        <w:t xml:space="preserve"> </w:t>
      </w:r>
      <w:r w:rsidRPr="002C310E">
        <w:rPr>
          <w:rFonts w:cstheme="minorHAnsi"/>
          <w:bCs/>
          <w:i/>
          <w:sz w:val="24"/>
          <w:szCs w:val="24"/>
        </w:rPr>
        <w:t>Využití interkulturních pracovníků na pracovištích pobytu cizinců a zlepšení kvality poskytování informací cizincům ze třetích zemí</w:t>
      </w:r>
      <w:r w:rsidRPr="00DF79B9">
        <w:rPr>
          <w:rFonts w:cstheme="minorHAnsi"/>
          <w:bCs/>
          <w:sz w:val="24"/>
          <w:szCs w:val="24"/>
        </w:rPr>
        <w:t xml:space="preserve"> </w:t>
      </w:r>
      <w:r w:rsidRPr="002C310E">
        <w:rPr>
          <w:rFonts w:cstheme="minorHAnsi"/>
          <w:bCs/>
          <w:sz w:val="24"/>
          <w:szCs w:val="24"/>
        </w:rPr>
        <w:t xml:space="preserve">s hlavním cílem </w:t>
      </w:r>
      <w:r w:rsidRPr="002C310E">
        <w:rPr>
          <w:rFonts w:cstheme="minorHAnsi"/>
          <w:i/>
          <w:iCs/>
          <w:sz w:val="24"/>
          <w:szCs w:val="24"/>
        </w:rPr>
        <w:t xml:space="preserve">zlepšení kvality poskytovaných informací cizincům ze třetích zemí zejména na poli pobytové problematiky a usnadnění procesu pobytových řízení, </w:t>
      </w:r>
      <w:r w:rsidRPr="002C310E">
        <w:rPr>
          <w:rFonts w:cstheme="minorHAnsi"/>
          <w:iCs/>
          <w:sz w:val="24"/>
          <w:szCs w:val="24"/>
        </w:rPr>
        <w:t xml:space="preserve">který nebyl stanoven měřitelně a projekt byl NKÚ vyhodnocen jako účelný pouze omezeně. Omezenou účelnost NKÚ vyhodnotil i u projektu </w:t>
      </w:r>
      <w:r w:rsidRPr="002C310E">
        <w:rPr>
          <w:rFonts w:cstheme="minorHAnsi"/>
          <w:sz w:val="24"/>
          <w:szCs w:val="24"/>
        </w:rPr>
        <w:t>AMIF/14/01</w:t>
      </w:r>
      <w:r w:rsidRPr="002C310E">
        <w:rPr>
          <w:rFonts w:cstheme="minorHAnsi"/>
          <w:i/>
          <w:sz w:val="24"/>
          <w:szCs w:val="24"/>
        </w:rPr>
        <w:t xml:space="preserve"> AZ Havířov – koupě a rekonstrukce rozšiřujícího objektu </w:t>
      </w:r>
      <w:r w:rsidRPr="002C310E">
        <w:rPr>
          <w:rFonts w:cstheme="minorHAnsi"/>
          <w:sz w:val="24"/>
          <w:szCs w:val="24"/>
        </w:rPr>
        <w:t>(viz příklad č. 5). Důvodem byla skutečnost, že příjemce v žádosti o podporu dostatečně nezdůvodnil potřebu realizace projektu a nedoložil nezbytnost navýšení ubytovací kapacity ve vazbě na aktuální vytíženost přijímacích a pobytových středisek.</w:t>
      </w:r>
    </w:p>
    <w:p w14:paraId="62B52818" w14:textId="6EA76925" w:rsidR="00D77541" w:rsidRPr="002C310E" w:rsidRDefault="00F04DCF" w:rsidP="00D77541">
      <w:pPr>
        <w:spacing w:after="120" w:line="240" w:lineRule="auto"/>
        <w:jc w:val="both"/>
        <w:rPr>
          <w:rFonts w:cstheme="minorHAnsi"/>
          <w:sz w:val="24"/>
          <w:szCs w:val="24"/>
        </w:rPr>
      </w:pPr>
      <w:r w:rsidRPr="00DF1082">
        <w:rPr>
          <w:rFonts w:cstheme="minorHAnsi"/>
          <w:b/>
          <w:sz w:val="24"/>
          <w:szCs w:val="24"/>
        </w:rPr>
        <w:t>4.</w:t>
      </w:r>
      <w:r w:rsidR="00272BA4" w:rsidRPr="00DF1082">
        <w:rPr>
          <w:rFonts w:cstheme="minorHAnsi"/>
          <w:b/>
          <w:sz w:val="24"/>
          <w:szCs w:val="24"/>
        </w:rPr>
        <w:t>2</w:t>
      </w:r>
      <w:r w:rsidR="000B1625" w:rsidRPr="00DF1082">
        <w:rPr>
          <w:rFonts w:cstheme="minorHAnsi"/>
          <w:b/>
          <w:sz w:val="24"/>
          <w:szCs w:val="24"/>
        </w:rPr>
        <w:t>5</w:t>
      </w:r>
      <w:r w:rsidRPr="002C310E">
        <w:rPr>
          <w:rFonts w:cstheme="minorHAnsi"/>
          <w:sz w:val="24"/>
          <w:szCs w:val="24"/>
        </w:rPr>
        <w:t xml:space="preserve"> NKÚ zjistil, že u vybraných projektů NP AMIF stanovilo MV ve většině případů obecn</w:t>
      </w:r>
      <w:r w:rsidR="00280D60" w:rsidRPr="002C310E">
        <w:rPr>
          <w:rFonts w:cstheme="minorHAnsi"/>
          <w:sz w:val="24"/>
          <w:szCs w:val="24"/>
        </w:rPr>
        <w:t>ě</w:t>
      </w:r>
      <w:r w:rsidRPr="002C310E">
        <w:rPr>
          <w:rFonts w:cstheme="minorHAnsi"/>
          <w:sz w:val="24"/>
          <w:szCs w:val="24"/>
        </w:rPr>
        <w:t xml:space="preserve"> hlavní cíl</w:t>
      </w:r>
      <w:r w:rsidR="00280D60" w:rsidRPr="002C310E">
        <w:rPr>
          <w:rFonts w:cstheme="minorHAnsi"/>
          <w:sz w:val="24"/>
          <w:szCs w:val="24"/>
        </w:rPr>
        <w:t xml:space="preserve"> i </w:t>
      </w:r>
      <w:r w:rsidRPr="002C310E">
        <w:rPr>
          <w:rFonts w:cstheme="minorHAnsi"/>
          <w:sz w:val="24"/>
          <w:szCs w:val="24"/>
        </w:rPr>
        <w:t xml:space="preserve">dílčí cíle </w:t>
      </w:r>
      <w:r w:rsidR="000C13E2" w:rsidRPr="002C310E">
        <w:rPr>
          <w:rFonts w:cstheme="minorHAnsi"/>
          <w:sz w:val="24"/>
          <w:szCs w:val="24"/>
        </w:rPr>
        <w:t>a</w:t>
      </w:r>
      <w:r w:rsidRPr="002C310E">
        <w:rPr>
          <w:rFonts w:cstheme="minorHAnsi"/>
          <w:sz w:val="24"/>
          <w:szCs w:val="24"/>
        </w:rPr>
        <w:t xml:space="preserve"> povinné monitorovací ukazatele</w:t>
      </w:r>
      <w:r w:rsidR="00620FCD">
        <w:rPr>
          <w:rFonts w:cstheme="minorHAnsi"/>
          <w:sz w:val="24"/>
          <w:szCs w:val="24"/>
        </w:rPr>
        <w:t>, které ale byly v některých případech bez cílové hodnoty</w:t>
      </w:r>
      <w:r w:rsidRPr="002C310E">
        <w:rPr>
          <w:rFonts w:cstheme="minorHAnsi"/>
          <w:sz w:val="24"/>
          <w:szCs w:val="24"/>
        </w:rPr>
        <w:t>. MV dalo příjemcům možnost zvolit si i nepovinné ukazatele</w:t>
      </w:r>
      <w:r w:rsidR="00280D60" w:rsidRPr="002C310E">
        <w:rPr>
          <w:rFonts w:cstheme="minorHAnsi"/>
          <w:sz w:val="24"/>
          <w:szCs w:val="24"/>
        </w:rPr>
        <w:t xml:space="preserve">, </w:t>
      </w:r>
      <w:r w:rsidRPr="002C310E">
        <w:rPr>
          <w:rFonts w:cstheme="minorHAnsi"/>
          <w:sz w:val="24"/>
          <w:szCs w:val="24"/>
        </w:rPr>
        <w:t xml:space="preserve">které </w:t>
      </w:r>
      <w:r w:rsidR="00280D60" w:rsidRPr="002C310E">
        <w:rPr>
          <w:rFonts w:cstheme="minorHAnsi"/>
          <w:sz w:val="24"/>
          <w:szCs w:val="24"/>
        </w:rPr>
        <w:t xml:space="preserve">měly </w:t>
      </w:r>
      <w:r w:rsidRPr="002C310E">
        <w:rPr>
          <w:rFonts w:cstheme="minorHAnsi"/>
          <w:sz w:val="24"/>
          <w:szCs w:val="24"/>
        </w:rPr>
        <w:t>poskytnou</w:t>
      </w:r>
      <w:r w:rsidR="00280D60" w:rsidRPr="002C310E">
        <w:rPr>
          <w:rFonts w:cstheme="minorHAnsi"/>
          <w:sz w:val="24"/>
          <w:szCs w:val="24"/>
        </w:rPr>
        <w:t>t</w:t>
      </w:r>
      <w:r w:rsidRPr="002C310E">
        <w:rPr>
          <w:rFonts w:cstheme="minorHAnsi"/>
          <w:sz w:val="24"/>
          <w:szCs w:val="24"/>
        </w:rPr>
        <w:t xml:space="preserve"> adekvátní zpětnou vazbu prostřednictvím</w:t>
      </w:r>
      <w:r w:rsidR="00280D60" w:rsidRPr="002C310E">
        <w:rPr>
          <w:rFonts w:cstheme="minorHAnsi"/>
          <w:sz w:val="24"/>
          <w:szCs w:val="24"/>
        </w:rPr>
        <w:t xml:space="preserve"> </w:t>
      </w:r>
      <w:r w:rsidRPr="002C310E">
        <w:rPr>
          <w:rFonts w:cstheme="minorHAnsi"/>
          <w:sz w:val="24"/>
          <w:szCs w:val="24"/>
        </w:rPr>
        <w:t>sledování konkrétních výstupů o</w:t>
      </w:r>
      <w:r w:rsidR="00A20856">
        <w:rPr>
          <w:rFonts w:cstheme="minorHAnsi"/>
          <w:sz w:val="24"/>
          <w:szCs w:val="24"/>
        </w:rPr>
        <w:t> </w:t>
      </w:r>
      <w:r w:rsidRPr="002C310E">
        <w:rPr>
          <w:rFonts w:cstheme="minorHAnsi"/>
          <w:sz w:val="24"/>
          <w:szCs w:val="24"/>
        </w:rPr>
        <w:t>naplnění cílů projektu. Příjemci nebyla tato možnost ve většině případů využita.</w:t>
      </w:r>
      <w:r w:rsidRPr="00DF79B9">
        <w:rPr>
          <w:rFonts w:cstheme="minorHAnsi"/>
          <w:bCs/>
          <w:sz w:val="24"/>
          <w:szCs w:val="24"/>
        </w:rPr>
        <w:t xml:space="preserve"> </w:t>
      </w:r>
      <w:r w:rsidRPr="002C310E">
        <w:rPr>
          <w:rFonts w:cstheme="minorHAnsi"/>
          <w:bCs/>
          <w:sz w:val="24"/>
          <w:szCs w:val="24"/>
        </w:rPr>
        <w:t>Na základě kontroly konkrétních projektů NKÚ zjistil, že návaznost cílů projektu (hlavní cíl, dílčí cíle) a</w:t>
      </w:r>
      <w:r w:rsidR="00A20856">
        <w:rPr>
          <w:rFonts w:cstheme="minorHAnsi"/>
          <w:bCs/>
          <w:sz w:val="24"/>
          <w:szCs w:val="24"/>
        </w:rPr>
        <w:t> </w:t>
      </w:r>
      <w:r w:rsidRPr="002C310E">
        <w:rPr>
          <w:rFonts w:cstheme="minorHAnsi"/>
          <w:bCs/>
          <w:sz w:val="24"/>
          <w:szCs w:val="24"/>
        </w:rPr>
        <w:t>monitorovacích ukazatelů není vždy jednoznačná a úplná.</w:t>
      </w:r>
    </w:p>
    <w:p w14:paraId="5AD00D97" w14:textId="2E19FBC8" w:rsidR="00C717FC" w:rsidRPr="002C310E" w:rsidRDefault="00F04DCF" w:rsidP="00733FC4">
      <w:pPr>
        <w:pStyle w:val="Odstavecseseznamem"/>
        <w:tabs>
          <w:tab w:val="left" w:pos="567"/>
        </w:tabs>
        <w:spacing w:after="120" w:line="240" w:lineRule="auto"/>
        <w:ind w:left="0"/>
        <w:contextualSpacing w:val="0"/>
        <w:jc w:val="both"/>
        <w:rPr>
          <w:rFonts w:cstheme="minorHAnsi"/>
          <w:b/>
          <w:color w:val="C00000"/>
          <w:sz w:val="24"/>
          <w:szCs w:val="24"/>
        </w:rPr>
      </w:pPr>
      <w:r w:rsidRPr="002C310E">
        <w:rPr>
          <w:rFonts w:cstheme="minorHAnsi"/>
          <w:b/>
          <w:color w:val="C00000"/>
          <w:sz w:val="24"/>
          <w:szCs w:val="24"/>
        </w:rPr>
        <w:t>→ Monitorovací ukazatele vybraných projektů</w:t>
      </w:r>
      <w:r w:rsidR="00682BAD" w:rsidRPr="002C310E">
        <w:rPr>
          <w:rFonts w:cstheme="minorHAnsi"/>
          <w:b/>
          <w:color w:val="C00000"/>
          <w:sz w:val="24"/>
          <w:szCs w:val="24"/>
        </w:rPr>
        <w:t xml:space="preserve"> </w:t>
      </w:r>
      <w:r w:rsidR="00280D60" w:rsidRPr="002C310E">
        <w:rPr>
          <w:rFonts w:cstheme="minorHAnsi"/>
          <w:b/>
          <w:color w:val="C00000"/>
          <w:sz w:val="24"/>
          <w:szCs w:val="24"/>
        </w:rPr>
        <w:t xml:space="preserve">NP AMIF </w:t>
      </w:r>
      <w:r w:rsidR="00E6585B" w:rsidRPr="002C310E">
        <w:rPr>
          <w:rFonts w:cstheme="minorHAnsi"/>
          <w:b/>
          <w:color w:val="C00000"/>
          <w:sz w:val="24"/>
          <w:szCs w:val="24"/>
        </w:rPr>
        <w:t>v</w:t>
      </w:r>
      <w:r w:rsidR="0090649C" w:rsidRPr="002C310E">
        <w:rPr>
          <w:rFonts w:cstheme="minorHAnsi"/>
          <w:b/>
          <w:color w:val="C00000"/>
          <w:sz w:val="24"/>
          <w:szCs w:val="24"/>
        </w:rPr>
        <w:t xml:space="preserve">ypovídaly </w:t>
      </w:r>
      <w:r w:rsidRPr="002C310E">
        <w:rPr>
          <w:rFonts w:cstheme="minorHAnsi"/>
          <w:b/>
          <w:color w:val="C00000"/>
          <w:sz w:val="24"/>
          <w:szCs w:val="24"/>
        </w:rPr>
        <w:t>pouze o výstupech</w:t>
      </w:r>
      <w:r w:rsidR="0090649C" w:rsidRPr="002C310E">
        <w:rPr>
          <w:rFonts w:cstheme="minorHAnsi"/>
          <w:b/>
          <w:color w:val="C00000"/>
          <w:sz w:val="24"/>
          <w:szCs w:val="24"/>
        </w:rPr>
        <w:t>,</w:t>
      </w:r>
      <w:r w:rsidRPr="002C310E">
        <w:rPr>
          <w:rFonts w:cstheme="minorHAnsi"/>
          <w:b/>
          <w:color w:val="C00000"/>
          <w:sz w:val="24"/>
          <w:szCs w:val="24"/>
        </w:rPr>
        <w:t xml:space="preserve"> nikoli</w:t>
      </w:r>
      <w:r w:rsidR="0090649C" w:rsidRPr="002C310E">
        <w:rPr>
          <w:rFonts w:cstheme="minorHAnsi"/>
          <w:b/>
          <w:color w:val="C00000"/>
          <w:sz w:val="24"/>
          <w:szCs w:val="24"/>
        </w:rPr>
        <w:t>v</w:t>
      </w:r>
      <w:r w:rsidRPr="002C310E">
        <w:rPr>
          <w:rFonts w:cstheme="minorHAnsi"/>
          <w:b/>
          <w:color w:val="C00000"/>
          <w:sz w:val="24"/>
          <w:szCs w:val="24"/>
        </w:rPr>
        <w:t xml:space="preserve"> o výsledcích projektu</w:t>
      </w:r>
      <w:r w:rsidR="00561FBD" w:rsidRPr="002C310E">
        <w:rPr>
          <w:rFonts w:cstheme="minorHAnsi"/>
          <w:b/>
          <w:color w:val="C00000"/>
          <w:sz w:val="24"/>
          <w:szCs w:val="24"/>
        </w:rPr>
        <w:t>, kterými je integrace klientů do české společnosti</w:t>
      </w:r>
      <w:r w:rsidRPr="002C310E">
        <w:rPr>
          <w:rFonts w:cstheme="minorHAnsi"/>
          <w:b/>
          <w:color w:val="C00000"/>
          <w:sz w:val="24"/>
          <w:szCs w:val="24"/>
        </w:rPr>
        <w:t xml:space="preserve">. Zpětná vazba od klientů </w:t>
      </w:r>
      <w:r w:rsidR="00F237FA" w:rsidRPr="002C310E">
        <w:rPr>
          <w:rFonts w:cstheme="minorHAnsi"/>
          <w:b/>
          <w:color w:val="C00000"/>
          <w:sz w:val="24"/>
          <w:szCs w:val="24"/>
        </w:rPr>
        <w:t xml:space="preserve">nebyla většinou </w:t>
      </w:r>
      <w:r w:rsidR="00682BAD" w:rsidRPr="002C310E">
        <w:rPr>
          <w:rFonts w:cstheme="minorHAnsi"/>
          <w:b/>
          <w:color w:val="C00000"/>
          <w:sz w:val="24"/>
          <w:szCs w:val="24"/>
        </w:rPr>
        <w:t xml:space="preserve">příjemcem </w:t>
      </w:r>
      <w:r w:rsidR="00561FBD" w:rsidRPr="002C310E">
        <w:rPr>
          <w:rFonts w:cstheme="minorHAnsi"/>
          <w:b/>
          <w:color w:val="C00000"/>
          <w:sz w:val="24"/>
          <w:szCs w:val="24"/>
        </w:rPr>
        <w:t xml:space="preserve">podpory </w:t>
      </w:r>
      <w:r w:rsidRPr="002C310E">
        <w:rPr>
          <w:rFonts w:cstheme="minorHAnsi"/>
          <w:b/>
          <w:color w:val="C00000"/>
          <w:sz w:val="24"/>
          <w:szCs w:val="24"/>
        </w:rPr>
        <w:t>vyžadována</w:t>
      </w:r>
      <w:r w:rsidR="00AD6B0A">
        <w:rPr>
          <w:rFonts w:cstheme="minorHAnsi"/>
          <w:b/>
          <w:color w:val="C00000"/>
          <w:sz w:val="24"/>
          <w:szCs w:val="24"/>
        </w:rPr>
        <w:t>,</w:t>
      </w:r>
      <w:r w:rsidRPr="002C310E">
        <w:rPr>
          <w:rFonts w:cstheme="minorHAnsi"/>
          <w:b/>
          <w:color w:val="C00000"/>
          <w:sz w:val="24"/>
          <w:szCs w:val="24"/>
        </w:rPr>
        <w:t xml:space="preserve"> a </w:t>
      </w:r>
      <w:r w:rsidR="00280D60" w:rsidRPr="002C310E">
        <w:rPr>
          <w:rFonts w:cstheme="minorHAnsi"/>
          <w:b/>
          <w:color w:val="C00000"/>
          <w:sz w:val="24"/>
          <w:szCs w:val="24"/>
        </w:rPr>
        <w:t>není</w:t>
      </w:r>
      <w:r w:rsidRPr="002C310E">
        <w:rPr>
          <w:rFonts w:cstheme="minorHAnsi"/>
          <w:b/>
          <w:color w:val="C00000"/>
          <w:sz w:val="24"/>
          <w:szCs w:val="24"/>
        </w:rPr>
        <w:t xml:space="preserve"> tak </w:t>
      </w:r>
      <w:r w:rsidR="00280D60" w:rsidRPr="002C310E">
        <w:rPr>
          <w:rFonts w:cstheme="minorHAnsi"/>
          <w:b/>
          <w:color w:val="C00000"/>
          <w:sz w:val="24"/>
          <w:szCs w:val="24"/>
        </w:rPr>
        <w:t xml:space="preserve">možné </w:t>
      </w:r>
      <w:r w:rsidRPr="002C310E">
        <w:rPr>
          <w:rFonts w:cstheme="minorHAnsi"/>
          <w:b/>
          <w:color w:val="C00000"/>
          <w:sz w:val="24"/>
          <w:szCs w:val="24"/>
        </w:rPr>
        <w:t>vyhodnotit konkrétní</w:t>
      </w:r>
      <w:r w:rsidR="00E6585B" w:rsidRPr="002C310E">
        <w:rPr>
          <w:rFonts w:cstheme="minorHAnsi"/>
          <w:b/>
          <w:color w:val="C00000"/>
          <w:sz w:val="24"/>
          <w:szCs w:val="24"/>
        </w:rPr>
        <w:t xml:space="preserve"> přínos</w:t>
      </w:r>
      <w:r w:rsidRPr="002C310E">
        <w:rPr>
          <w:rFonts w:cstheme="minorHAnsi"/>
          <w:b/>
          <w:color w:val="C00000"/>
          <w:sz w:val="24"/>
          <w:szCs w:val="24"/>
        </w:rPr>
        <w:t xml:space="preserve"> </w:t>
      </w:r>
      <w:r w:rsidR="00F237FA" w:rsidRPr="002C310E">
        <w:rPr>
          <w:rFonts w:cstheme="minorHAnsi"/>
          <w:b/>
          <w:color w:val="C00000"/>
          <w:sz w:val="24"/>
          <w:szCs w:val="24"/>
        </w:rPr>
        <w:t xml:space="preserve">projektů </w:t>
      </w:r>
      <w:r w:rsidRPr="002C310E">
        <w:rPr>
          <w:rFonts w:cstheme="minorHAnsi"/>
          <w:b/>
          <w:color w:val="C00000"/>
          <w:sz w:val="24"/>
          <w:szCs w:val="24"/>
        </w:rPr>
        <w:t xml:space="preserve">pro </w:t>
      </w:r>
      <w:r w:rsidR="00561FBD" w:rsidRPr="002C310E">
        <w:rPr>
          <w:rFonts w:cstheme="minorHAnsi"/>
          <w:b/>
          <w:color w:val="C00000"/>
          <w:sz w:val="24"/>
          <w:szCs w:val="24"/>
        </w:rPr>
        <w:t>klienty</w:t>
      </w:r>
      <w:r w:rsidRPr="002C310E">
        <w:rPr>
          <w:rFonts w:cstheme="minorHAnsi"/>
          <w:b/>
          <w:color w:val="C00000"/>
          <w:sz w:val="24"/>
          <w:szCs w:val="24"/>
        </w:rPr>
        <w:t>.</w:t>
      </w:r>
    </w:p>
    <w:p w14:paraId="7AA630C5" w14:textId="277996DF" w:rsidR="001035D9" w:rsidRPr="002C310E" w:rsidRDefault="00F04DCF" w:rsidP="00733FC4">
      <w:pPr>
        <w:spacing w:after="120" w:line="240" w:lineRule="auto"/>
        <w:jc w:val="both"/>
        <w:rPr>
          <w:rFonts w:eastAsia="Times New Roman" w:cstheme="minorHAnsi"/>
          <w:sz w:val="24"/>
          <w:szCs w:val="24"/>
        </w:rPr>
      </w:pPr>
      <w:r w:rsidRPr="00DF1082">
        <w:rPr>
          <w:rFonts w:cstheme="minorHAnsi"/>
          <w:b/>
          <w:sz w:val="24"/>
          <w:szCs w:val="24"/>
        </w:rPr>
        <w:t>4.</w:t>
      </w:r>
      <w:r w:rsidR="0063115A" w:rsidRPr="00DF1082">
        <w:rPr>
          <w:rFonts w:cstheme="minorHAnsi"/>
          <w:b/>
          <w:sz w:val="24"/>
          <w:szCs w:val="24"/>
        </w:rPr>
        <w:t>2</w:t>
      </w:r>
      <w:r w:rsidR="000B1625" w:rsidRPr="00DF1082">
        <w:rPr>
          <w:rFonts w:cstheme="minorHAnsi"/>
          <w:b/>
          <w:sz w:val="24"/>
          <w:szCs w:val="24"/>
        </w:rPr>
        <w:t>6</w:t>
      </w:r>
      <w:r w:rsidR="006B26F1" w:rsidRPr="002C310E">
        <w:rPr>
          <w:rFonts w:cstheme="minorHAnsi"/>
          <w:sz w:val="24"/>
          <w:szCs w:val="24"/>
        </w:rPr>
        <w:t xml:space="preserve"> </w:t>
      </w:r>
      <w:r w:rsidR="00097DCC" w:rsidRPr="002C310E">
        <w:rPr>
          <w:rFonts w:eastAsia="Times New Roman" w:cstheme="minorHAnsi"/>
          <w:sz w:val="24"/>
          <w:szCs w:val="24"/>
        </w:rPr>
        <w:t xml:space="preserve">MV </w:t>
      </w:r>
      <w:r w:rsidR="00E6585B" w:rsidRPr="002C310E">
        <w:rPr>
          <w:rFonts w:eastAsia="Times New Roman" w:cstheme="minorHAnsi"/>
          <w:sz w:val="24"/>
          <w:szCs w:val="24"/>
        </w:rPr>
        <w:t>u vybraných projektů</w:t>
      </w:r>
      <w:r w:rsidR="00F237FA" w:rsidRPr="002C310E">
        <w:rPr>
          <w:rFonts w:eastAsia="Times New Roman" w:cstheme="minorHAnsi"/>
          <w:sz w:val="24"/>
          <w:szCs w:val="24"/>
        </w:rPr>
        <w:t xml:space="preserve"> </w:t>
      </w:r>
      <w:r w:rsidR="00280D60" w:rsidRPr="002C310E">
        <w:rPr>
          <w:rFonts w:cstheme="minorHAnsi"/>
          <w:sz w:val="24"/>
          <w:szCs w:val="24"/>
        </w:rPr>
        <w:t xml:space="preserve">NP AMIF </w:t>
      </w:r>
      <w:r w:rsidR="00097DCC" w:rsidRPr="002C310E">
        <w:rPr>
          <w:rFonts w:eastAsia="Times New Roman" w:cstheme="minorHAnsi"/>
          <w:sz w:val="24"/>
          <w:szCs w:val="24"/>
        </w:rPr>
        <w:t>po příjemcích</w:t>
      </w:r>
      <w:r w:rsidR="00280D60" w:rsidRPr="002C310E">
        <w:rPr>
          <w:rFonts w:eastAsia="Times New Roman" w:cstheme="minorHAnsi"/>
          <w:sz w:val="24"/>
          <w:szCs w:val="24"/>
        </w:rPr>
        <w:t xml:space="preserve"> podpory</w:t>
      </w:r>
      <w:r w:rsidR="00F237FA" w:rsidRPr="002C310E">
        <w:rPr>
          <w:rFonts w:eastAsia="Times New Roman" w:cstheme="minorHAnsi"/>
          <w:sz w:val="24"/>
          <w:szCs w:val="24"/>
        </w:rPr>
        <w:t xml:space="preserve"> </w:t>
      </w:r>
      <w:r w:rsidR="00097DCC" w:rsidRPr="002C310E">
        <w:rPr>
          <w:rFonts w:eastAsia="Times New Roman" w:cstheme="minorHAnsi"/>
          <w:sz w:val="24"/>
          <w:szCs w:val="24"/>
        </w:rPr>
        <w:t xml:space="preserve">požadovalo sledovat pouze ukazatele </w:t>
      </w:r>
      <w:r w:rsidR="00280D60" w:rsidRPr="002C310E">
        <w:rPr>
          <w:rFonts w:eastAsia="Times New Roman" w:cstheme="minorHAnsi"/>
          <w:sz w:val="24"/>
          <w:szCs w:val="24"/>
        </w:rPr>
        <w:t xml:space="preserve">dle </w:t>
      </w:r>
      <w:r w:rsidR="00280D60" w:rsidRPr="002C310E">
        <w:rPr>
          <w:rFonts w:cstheme="minorHAnsi"/>
          <w:bCs/>
          <w:sz w:val="24"/>
          <w:szCs w:val="24"/>
        </w:rPr>
        <w:t>požadavků EK</w:t>
      </w:r>
      <w:r w:rsidR="00097DCC" w:rsidRPr="002C310E">
        <w:rPr>
          <w:rFonts w:eastAsia="Times New Roman" w:cstheme="minorHAnsi"/>
          <w:sz w:val="24"/>
          <w:szCs w:val="24"/>
        </w:rPr>
        <w:t>.</w:t>
      </w:r>
      <w:r w:rsidR="00280D60" w:rsidRPr="002C310E">
        <w:rPr>
          <w:rFonts w:eastAsia="Times New Roman" w:cstheme="minorHAnsi"/>
          <w:sz w:val="24"/>
          <w:szCs w:val="24"/>
        </w:rPr>
        <w:t xml:space="preserve"> </w:t>
      </w:r>
      <w:r w:rsidR="00097DCC" w:rsidRPr="002C310E">
        <w:rPr>
          <w:rFonts w:eastAsia="Times New Roman" w:cstheme="minorHAnsi"/>
          <w:sz w:val="24"/>
          <w:szCs w:val="24"/>
        </w:rPr>
        <w:t>Tyto ukazatele odpovídaly ukazatelům výstupu, nikoli výsledku</w:t>
      </w:r>
      <w:r w:rsidR="00E6585B" w:rsidRPr="002C310E">
        <w:rPr>
          <w:rFonts w:eastAsia="Times New Roman" w:cstheme="minorHAnsi"/>
          <w:sz w:val="24"/>
          <w:szCs w:val="24"/>
        </w:rPr>
        <w:t>, neboť</w:t>
      </w:r>
      <w:r w:rsidR="00097DCC" w:rsidRPr="002C310E">
        <w:rPr>
          <w:rFonts w:eastAsia="Times New Roman" w:cstheme="minorHAnsi"/>
          <w:sz w:val="24"/>
          <w:szCs w:val="24"/>
        </w:rPr>
        <w:t xml:space="preserve"> </w:t>
      </w:r>
      <w:r w:rsidR="00E6585B" w:rsidRPr="002C310E">
        <w:rPr>
          <w:rFonts w:eastAsia="Times New Roman" w:cstheme="minorHAnsi"/>
          <w:sz w:val="24"/>
          <w:szCs w:val="24"/>
        </w:rPr>
        <w:t xml:space="preserve">sledovaly počet osob, </w:t>
      </w:r>
      <w:r w:rsidR="00E6585B" w:rsidRPr="002C310E">
        <w:rPr>
          <w:rFonts w:cstheme="minorHAnsi"/>
          <w:sz w:val="24"/>
          <w:szCs w:val="24"/>
        </w:rPr>
        <w:t>kterým byla alespoň jednou poskytnuta</w:t>
      </w:r>
      <w:r w:rsidR="00C00274" w:rsidRPr="002C310E">
        <w:rPr>
          <w:rFonts w:cstheme="minorHAnsi"/>
          <w:sz w:val="24"/>
          <w:szCs w:val="24"/>
        </w:rPr>
        <w:t xml:space="preserve"> služba</w:t>
      </w:r>
      <w:r w:rsidR="00097DCC" w:rsidRPr="002C310E">
        <w:rPr>
          <w:rFonts w:eastAsia="Times New Roman" w:cstheme="minorHAnsi"/>
          <w:sz w:val="24"/>
          <w:szCs w:val="24"/>
        </w:rPr>
        <w:t xml:space="preserve">. </w:t>
      </w:r>
      <w:r w:rsidR="00F237FA" w:rsidRPr="002C310E">
        <w:rPr>
          <w:rFonts w:eastAsia="Times New Roman" w:cstheme="minorHAnsi"/>
          <w:sz w:val="24"/>
          <w:szCs w:val="24"/>
        </w:rPr>
        <w:t xml:space="preserve">Cíle projektů nebyly kvantifikovány, přestože </w:t>
      </w:r>
      <w:r w:rsidR="00E22314" w:rsidRPr="002C310E">
        <w:rPr>
          <w:rFonts w:eastAsia="Times New Roman" w:cstheme="minorHAnsi"/>
          <w:sz w:val="24"/>
          <w:szCs w:val="24"/>
        </w:rPr>
        <w:t xml:space="preserve">to </w:t>
      </w:r>
      <w:r w:rsidR="00F237FA" w:rsidRPr="002C310E">
        <w:rPr>
          <w:rFonts w:eastAsia="Times New Roman" w:cstheme="minorHAnsi"/>
          <w:sz w:val="24"/>
          <w:szCs w:val="24"/>
        </w:rPr>
        <w:t xml:space="preserve">pravidla </w:t>
      </w:r>
      <w:r w:rsidR="00E22314" w:rsidRPr="002C310E">
        <w:rPr>
          <w:rFonts w:eastAsia="Times New Roman" w:cstheme="minorHAnsi"/>
          <w:sz w:val="24"/>
          <w:szCs w:val="24"/>
        </w:rPr>
        <w:t>NP AMIF</w:t>
      </w:r>
      <w:r w:rsidR="00C00274" w:rsidRPr="002C310E">
        <w:rPr>
          <w:rFonts w:eastAsia="Times New Roman" w:cstheme="minorHAnsi"/>
          <w:sz w:val="24"/>
          <w:szCs w:val="24"/>
        </w:rPr>
        <w:t xml:space="preserve"> požadují</w:t>
      </w:r>
      <w:r w:rsidR="00F237FA" w:rsidRPr="002C310E">
        <w:rPr>
          <w:rFonts w:eastAsia="Times New Roman" w:cstheme="minorHAnsi"/>
          <w:sz w:val="24"/>
          <w:szCs w:val="24"/>
        </w:rPr>
        <w:t xml:space="preserve">. </w:t>
      </w:r>
      <w:r w:rsidR="00EE1C07" w:rsidRPr="002C310E">
        <w:rPr>
          <w:rFonts w:cstheme="minorHAnsi"/>
          <w:sz w:val="24"/>
          <w:szCs w:val="24"/>
        </w:rPr>
        <w:t xml:space="preserve">NKÚ </w:t>
      </w:r>
      <w:r w:rsidR="00E22314" w:rsidRPr="002C310E">
        <w:rPr>
          <w:rFonts w:cstheme="minorHAnsi"/>
          <w:sz w:val="24"/>
          <w:szCs w:val="24"/>
        </w:rPr>
        <w:t xml:space="preserve">současně </w:t>
      </w:r>
      <w:r w:rsidR="00EE1C07" w:rsidRPr="002C310E">
        <w:rPr>
          <w:rFonts w:cstheme="minorHAnsi"/>
          <w:sz w:val="24"/>
          <w:szCs w:val="24"/>
        </w:rPr>
        <w:t xml:space="preserve">zjistil, </w:t>
      </w:r>
      <w:r w:rsidR="00E6585B" w:rsidRPr="002C310E">
        <w:rPr>
          <w:rFonts w:cstheme="minorHAnsi"/>
          <w:sz w:val="24"/>
          <w:szCs w:val="24"/>
        </w:rPr>
        <w:t xml:space="preserve">že příjemci </w:t>
      </w:r>
      <w:r w:rsidR="00E22314" w:rsidRPr="002C310E">
        <w:rPr>
          <w:rFonts w:cstheme="minorHAnsi"/>
          <w:sz w:val="24"/>
          <w:szCs w:val="24"/>
        </w:rPr>
        <w:t>podpory</w:t>
      </w:r>
      <w:r w:rsidR="000D7E91" w:rsidRPr="002C310E">
        <w:rPr>
          <w:rFonts w:cstheme="minorHAnsi"/>
          <w:sz w:val="24"/>
          <w:szCs w:val="24"/>
        </w:rPr>
        <w:t xml:space="preserve"> v naprosté většině případů </w:t>
      </w:r>
      <w:r w:rsidR="00F237FA" w:rsidRPr="002C310E">
        <w:rPr>
          <w:rFonts w:cstheme="minorHAnsi"/>
          <w:sz w:val="24"/>
          <w:szCs w:val="24"/>
        </w:rPr>
        <w:t xml:space="preserve">buď vůbec </w:t>
      </w:r>
      <w:r w:rsidR="00E6585B" w:rsidRPr="002C310E">
        <w:rPr>
          <w:rFonts w:cstheme="minorHAnsi"/>
          <w:sz w:val="24"/>
          <w:szCs w:val="24"/>
        </w:rPr>
        <w:t>nezjišťovali</w:t>
      </w:r>
      <w:r w:rsidR="00EE1C07" w:rsidRPr="002C310E">
        <w:rPr>
          <w:rFonts w:cstheme="minorHAnsi"/>
          <w:sz w:val="24"/>
          <w:szCs w:val="24"/>
        </w:rPr>
        <w:t xml:space="preserve"> zpětnou vazbu</w:t>
      </w:r>
      <w:r w:rsidR="00E6585B" w:rsidRPr="002C310E">
        <w:rPr>
          <w:rFonts w:cstheme="minorHAnsi"/>
          <w:sz w:val="24"/>
          <w:szCs w:val="24"/>
        </w:rPr>
        <w:t xml:space="preserve"> </w:t>
      </w:r>
      <w:r w:rsidR="00E22314" w:rsidRPr="002C310E">
        <w:rPr>
          <w:rFonts w:cstheme="minorHAnsi"/>
          <w:sz w:val="24"/>
          <w:szCs w:val="24"/>
        </w:rPr>
        <w:t xml:space="preserve">klientů </w:t>
      </w:r>
      <w:r w:rsidR="00E6585B" w:rsidRPr="002C310E">
        <w:rPr>
          <w:rFonts w:cstheme="minorHAnsi"/>
          <w:sz w:val="24"/>
          <w:szCs w:val="24"/>
        </w:rPr>
        <w:t>na poskytované služby</w:t>
      </w:r>
      <w:r w:rsidR="00F237FA" w:rsidRPr="002C310E">
        <w:rPr>
          <w:rFonts w:cstheme="minorHAnsi"/>
          <w:sz w:val="24"/>
          <w:szCs w:val="24"/>
        </w:rPr>
        <w:t>, ne</w:t>
      </w:r>
      <w:r w:rsidR="00DF3607" w:rsidRPr="002C310E">
        <w:rPr>
          <w:rFonts w:cstheme="minorHAnsi"/>
          <w:sz w:val="24"/>
          <w:szCs w:val="24"/>
        </w:rPr>
        <w:t>bo ji zjišťovali pouze omezeně.</w:t>
      </w:r>
      <w:r w:rsidR="00E00543" w:rsidRPr="002C310E">
        <w:rPr>
          <w:rFonts w:cstheme="minorHAnsi"/>
          <w:sz w:val="24"/>
          <w:szCs w:val="24"/>
        </w:rPr>
        <w:t xml:space="preserve"> MV po příjemc</w:t>
      </w:r>
      <w:r w:rsidR="00280D60" w:rsidRPr="002C310E">
        <w:rPr>
          <w:rFonts w:cstheme="minorHAnsi"/>
          <w:sz w:val="24"/>
          <w:szCs w:val="24"/>
        </w:rPr>
        <w:t>i podpory</w:t>
      </w:r>
      <w:r w:rsidR="00E00543" w:rsidRPr="002C310E">
        <w:rPr>
          <w:rFonts w:cstheme="minorHAnsi"/>
          <w:sz w:val="24"/>
          <w:szCs w:val="24"/>
        </w:rPr>
        <w:t xml:space="preserve"> takové sledování účelnosti jimi poskytovaných služeb pro klienty nepožadoval.</w:t>
      </w:r>
    </w:p>
    <w:p w14:paraId="54A9EA61" w14:textId="77777777" w:rsidR="007052C3" w:rsidRPr="002C310E" w:rsidRDefault="00F04DCF" w:rsidP="00733FC4">
      <w:pPr>
        <w:spacing w:after="120" w:line="240" w:lineRule="auto"/>
        <w:jc w:val="both"/>
        <w:rPr>
          <w:rFonts w:cstheme="minorHAnsi"/>
          <w:b/>
          <w:color w:val="C00000"/>
          <w:sz w:val="24"/>
          <w:szCs w:val="24"/>
        </w:rPr>
      </w:pPr>
      <w:r w:rsidRPr="002C310E">
        <w:rPr>
          <w:rFonts w:cstheme="minorHAnsi"/>
          <w:b/>
          <w:color w:val="C00000"/>
          <w:sz w:val="24"/>
          <w:szCs w:val="24"/>
        </w:rPr>
        <w:lastRenderedPageBreak/>
        <w:t xml:space="preserve">→ </w:t>
      </w:r>
      <w:r w:rsidR="00CE61C3" w:rsidRPr="002C310E">
        <w:rPr>
          <w:rFonts w:cstheme="minorHAnsi"/>
          <w:b/>
          <w:color w:val="C00000"/>
          <w:sz w:val="24"/>
          <w:szCs w:val="24"/>
        </w:rPr>
        <w:t xml:space="preserve">Účelnost </w:t>
      </w:r>
      <w:r w:rsidR="00F4221F">
        <w:rPr>
          <w:rFonts w:cstheme="minorHAnsi"/>
          <w:b/>
          <w:color w:val="C00000"/>
          <w:sz w:val="24"/>
          <w:szCs w:val="24"/>
        </w:rPr>
        <w:t xml:space="preserve">vynaložených peněžních prostředků u patnácti </w:t>
      </w:r>
      <w:r w:rsidR="00E22314" w:rsidRPr="002C310E">
        <w:rPr>
          <w:rFonts w:cstheme="minorHAnsi"/>
          <w:b/>
          <w:color w:val="C00000"/>
          <w:sz w:val="24"/>
          <w:szCs w:val="24"/>
        </w:rPr>
        <w:t>z</w:t>
      </w:r>
      <w:r w:rsidR="00A91D71" w:rsidRPr="002C310E">
        <w:rPr>
          <w:rFonts w:cstheme="minorHAnsi"/>
          <w:b/>
          <w:color w:val="C00000"/>
          <w:sz w:val="24"/>
          <w:szCs w:val="24"/>
        </w:rPr>
        <w:t>e</w:t>
      </w:r>
      <w:r w:rsidR="00E22314" w:rsidRPr="002C310E">
        <w:rPr>
          <w:rFonts w:cstheme="minorHAnsi"/>
          <w:b/>
          <w:color w:val="C00000"/>
          <w:sz w:val="24"/>
          <w:szCs w:val="24"/>
        </w:rPr>
        <w:t> </w:t>
      </w:r>
      <w:r w:rsidR="00CE61C3" w:rsidRPr="002C310E">
        <w:rPr>
          <w:rFonts w:cstheme="minorHAnsi"/>
          <w:b/>
          <w:color w:val="C00000"/>
          <w:sz w:val="24"/>
          <w:szCs w:val="24"/>
        </w:rPr>
        <w:t>dvaceti</w:t>
      </w:r>
      <w:r w:rsidR="00E22314" w:rsidRPr="002C310E">
        <w:rPr>
          <w:rFonts w:cstheme="minorHAnsi"/>
          <w:b/>
          <w:color w:val="C00000"/>
          <w:sz w:val="24"/>
          <w:szCs w:val="24"/>
        </w:rPr>
        <w:t xml:space="preserve"> vybraných projektů NP AMIF vyhodnotil NKÚ</w:t>
      </w:r>
      <w:r w:rsidR="009338F0" w:rsidRPr="002C310E">
        <w:rPr>
          <w:rFonts w:cstheme="minorHAnsi"/>
          <w:b/>
          <w:color w:val="C00000"/>
          <w:sz w:val="24"/>
          <w:szCs w:val="24"/>
        </w:rPr>
        <w:t xml:space="preserve"> </w:t>
      </w:r>
      <w:r w:rsidR="00A91D71" w:rsidRPr="002C310E">
        <w:rPr>
          <w:rFonts w:cstheme="minorHAnsi"/>
          <w:b/>
          <w:color w:val="C00000"/>
          <w:sz w:val="24"/>
          <w:szCs w:val="24"/>
        </w:rPr>
        <w:t>kladně</w:t>
      </w:r>
      <w:r w:rsidR="00F4221F">
        <w:rPr>
          <w:rFonts w:cstheme="minorHAnsi"/>
          <w:b/>
          <w:color w:val="C00000"/>
          <w:sz w:val="24"/>
          <w:szCs w:val="24"/>
        </w:rPr>
        <w:t xml:space="preserve"> nebo jen</w:t>
      </w:r>
      <w:r w:rsidR="00E22314" w:rsidRPr="002C310E">
        <w:rPr>
          <w:rFonts w:cstheme="minorHAnsi"/>
          <w:b/>
          <w:color w:val="C00000"/>
          <w:sz w:val="24"/>
          <w:szCs w:val="24"/>
        </w:rPr>
        <w:t xml:space="preserve"> s mírnými nedostatky, tři jako účelné pouze omezeně</w:t>
      </w:r>
      <w:r w:rsidR="00CA02E5" w:rsidRPr="002C310E">
        <w:rPr>
          <w:rFonts w:cstheme="minorHAnsi"/>
          <w:b/>
          <w:color w:val="C00000"/>
          <w:sz w:val="24"/>
          <w:szCs w:val="24"/>
        </w:rPr>
        <w:t xml:space="preserve"> </w:t>
      </w:r>
      <w:r w:rsidR="007A725B" w:rsidRPr="002C310E">
        <w:rPr>
          <w:rFonts w:cstheme="minorHAnsi"/>
          <w:b/>
          <w:color w:val="C00000"/>
          <w:sz w:val="24"/>
          <w:szCs w:val="24"/>
        </w:rPr>
        <w:t>a u</w:t>
      </w:r>
      <w:r w:rsidRPr="002C310E">
        <w:rPr>
          <w:rFonts w:cstheme="minorHAnsi"/>
          <w:b/>
          <w:color w:val="C00000"/>
          <w:sz w:val="24"/>
          <w:szCs w:val="24"/>
        </w:rPr>
        <w:t xml:space="preserve"> </w:t>
      </w:r>
      <w:r w:rsidR="0004070E" w:rsidRPr="002C310E">
        <w:rPr>
          <w:rFonts w:cstheme="minorHAnsi"/>
          <w:b/>
          <w:color w:val="C00000"/>
          <w:sz w:val="24"/>
          <w:szCs w:val="24"/>
        </w:rPr>
        <w:t>dvou projektů</w:t>
      </w:r>
      <w:r w:rsidRPr="002C310E">
        <w:rPr>
          <w:rFonts w:cstheme="minorHAnsi"/>
          <w:b/>
          <w:color w:val="C00000"/>
          <w:sz w:val="24"/>
          <w:szCs w:val="24"/>
        </w:rPr>
        <w:t xml:space="preserve"> </w:t>
      </w:r>
      <w:r w:rsidR="00F10A0E" w:rsidRPr="002C310E">
        <w:rPr>
          <w:rFonts w:cstheme="minorHAnsi"/>
          <w:b/>
          <w:color w:val="C00000"/>
          <w:sz w:val="24"/>
          <w:szCs w:val="24"/>
        </w:rPr>
        <w:t xml:space="preserve">účelnost </w:t>
      </w:r>
      <w:r w:rsidR="007A725B" w:rsidRPr="002C310E">
        <w:rPr>
          <w:rFonts w:cstheme="minorHAnsi"/>
          <w:b/>
          <w:color w:val="C00000"/>
          <w:sz w:val="24"/>
          <w:szCs w:val="24"/>
        </w:rPr>
        <w:t>nehodnotil</w:t>
      </w:r>
      <w:r w:rsidRPr="002C310E">
        <w:rPr>
          <w:rFonts w:cstheme="minorHAnsi"/>
          <w:b/>
          <w:color w:val="C00000"/>
          <w:sz w:val="24"/>
          <w:szCs w:val="24"/>
        </w:rPr>
        <w:t xml:space="preserve"> z důvodu </w:t>
      </w:r>
      <w:r w:rsidR="00E22314" w:rsidRPr="002C310E">
        <w:rPr>
          <w:rFonts w:cstheme="minorHAnsi"/>
          <w:b/>
          <w:color w:val="C00000"/>
          <w:sz w:val="24"/>
          <w:szCs w:val="24"/>
        </w:rPr>
        <w:t>počáteční fáze jejich realizace</w:t>
      </w:r>
      <w:r w:rsidRPr="002C310E">
        <w:rPr>
          <w:rFonts w:cstheme="minorHAnsi"/>
          <w:b/>
          <w:color w:val="C00000"/>
          <w:sz w:val="24"/>
          <w:szCs w:val="24"/>
        </w:rPr>
        <w:t>.</w:t>
      </w:r>
    </w:p>
    <w:p w14:paraId="15916BF9" w14:textId="7E9DA82C" w:rsidR="007052C3" w:rsidRPr="00A833B6" w:rsidRDefault="00F04DCF" w:rsidP="00733FC4">
      <w:pPr>
        <w:spacing w:after="120" w:line="240" w:lineRule="auto"/>
        <w:jc w:val="both"/>
        <w:rPr>
          <w:rFonts w:eastAsia="Times New Roman" w:cstheme="minorHAnsi"/>
          <w:color w:val="000000" w:themeColor="text1"/>
          <w:sz w:val="24"/>
          <w:szCs w:val="24"/>
        </w:rPr>
      </w:pPr>
      <w:r w:rsidRPr="00DF1082">
        <w:rPr>
          <w:rFonts w:cstheme="minorHAnsi"/>
          <w:b/>
          <w:sz w:val="24"/>
          <w:szCs w:val="24"/>
        </w:rPr>
        <w:t>4.</w:t>
      </w:r>
      <w:r w:rsidR="005F0E16" w:rsidRPr="00DF1082">
        <w:rPr>
          <w:rFonts w:cstheme="minorHAnsi"/>
          <w:b/>
          <w:sz w:val="24"/>
          <w:szCs w:val="24"/>
        </w:rPr>
        <w:t>2</w:t>
      </w:r>
      <w:r w:rsidR="000B1625" w:rsidRPr="00DF1082">
        <w:rPr>
          <w:rFonts w:cstheme="minorHAnsi"/>
          <w:b/>
          <w:sz w:val="24"/>
          <w:szCs w:val="24"/>
        </w:rPr>
        <w:t>7</w:t>
      </w:r>
      <w:r w:rsidRPr="002C310E">
        <w:rPr>
          <w:rFonts w:cstheme="minorHAnsi"/>
          <w:sz w:val="24"/>
          <w:szCs w:val="24"/>
        </w:rPr>
        <w:t xml:space="preserve"> </w:t>
      </w:r>
      <w:r w:rsidRPr="002C310E">
        <w:rPr>
          <w:rFonts w:cstheme="minorHAnsi"/>
          <w:noProof/>
          <w:sz w:val="24"/>
          <w:szCs w:val="24"/>
        </w:rPr>
        <w:t xml:space="preserve">NKÚ provedl posouzení účelnosti </w:t>
      </w:r>
      <w:r w:rsidR="00E22314" w:rsidRPr="002C310E">
        <w:rPr>
          <w:rFonts w:cstheme="minorHAnsi"/>
          <w:noProof/>
          <w:sz w:val="24"/>
          <w:szCs w:val="24"/>
        </w:rPr>
        <w:t>dvaceti</w:t>
      </w:r>
      <w:r w:rsidRPr="002C310E">
        <w:rPr>
          <w:rFonts w:cstheme="minorHAnsi"/>
          <w:noProof/>
          <w:sz w:val="24"/>
          <w:szCs w:val="24"/>
        </w:rPr>
        <w:t xml:space="preserve"> vybraných projektů</w:t>
      </w:r>
      <w:r w:rsidR="00E22314" w:rsidRPr="002C310E">
        <w:rPr>
          <w:rFonts w:cstheme="minorHAnsi"/>
          <w:noProof/>
          <w:sz w:val="24"/>
          <w:szCs w:val="24"/>
        </w:rPr>
        <w:t xml:space="preserve"> NP AMIF</w:t>
      </w:r>
      <w:r w:rsidRPr="002C310E">
        <w:rPr>
          <w:rFonts w:cstheme="minorHAnsi"/>
          <w:noProof/>
          <w:sz w:val="24"/>
          <w:szCs w:val="24"/>
        </w:rPr>
        <w:t xml:space="preserve">. K vyhodnocení byla využita čtyřstupňová škála (projekt je účelný / je účelný s mírnými nedostatky / je účelný pouze omezeně / není účelný). Kritéria, která NKÚ využil pro hodnocení účelnosti, jsou uvedena </w:t>
      </w:r>
      <w:r w:rsidRPr="00A833B6">
        <w:rPr>
          <w:rFonts w:cstheme="minorHAnsi"/>
          <w:noProof/>
          <w:color w:val="000000" w:themeColor="text1"/>
          <w:sz w:val="24"/>
          <w:szCs w:val="24"/>
        </w:rPr>
        <w:t>v příloze č. 4</w:t>
      </w:r>
      <w:r w:rsidR="00846288">
        <w:rPr>
          <w:rFonts w:cstheme="minorHAnsi"/>
          <w:noProof/>
          <w:color w:val="000000" w:themeColor="text1"/>
          <w:sz w:val="24"/>
          <w:szCs w:val="24"/>
        </w:rPr>
        <w:t xml:space="preserve"> </w:t>
      </w:r>
      <w:r w:rsidR="00846288">
        <w:rPr>
          <w:rFonts w:eastAsia="Times New Roman" w:cstheme="minorHAnsi"/>
          <w:color w:val="000000"/>
          <w:sz w:val="24"/>
          <w:szCs w:val="24"/>
        </w:rPr>
        <w:t>tohoto kontrolního závěru</w:t>
      </w:r>
      <w:r w:rsidRPr="00A833B6">
        <w:rPr>
          <w:rFonts w:cstheme="minorHAnsi"/>
          <w:noProof/>
          <w:color w:val="000000" w:themeColor="text1"/>
          <w:sz w:val="24"/>
          <w:szCs w:val="24"/>
        </w:rPr>
        <w:t>.</w:t>
      </w:r>
    </w:p>
    <w:p w14:paraId="06E7F60B" w14:textId="27369160" w:rsidR="007052C3" w:rsidRPr="002C310E" w:rsidRDefault="00F04DCF" w:rsidP="00733FC4">
      <w:pPr>
        <w:spacing w:after="120" w:line="240" w:lineRule="auto"/>
        <w:jc w:val="both"/>
        <w:rPr>
          <w:rFonts w:cstheme="minorHAnsi"/>
          <w:sz w:val="24"/>
          <w:szCs w:val="24"/>
        </w:rPr>
      </w:pPr>
      <w:r w:rsidRPr="005A6527">
        <w:rPr>
          <w:rFonts w:cstheme="minorHAnsi"/>
          <w:b/>
          <w:color w:val="000000" w:themeColor="text1"/>
          <w:sz w:val="24"/>
          <w:szCs w:val="24"/>
        </w:rPr>
        <w:t>4.</w:t>
      </w:r>
      <w:r w:rsidR="000B1625" w:rsidRPr="005A6527">
        <w:rPr>
          <w:rFonts w:cstheme="minorHAnsi"/>
          <w:b/>
          <w:color w:val="000000" w:themeColor="text1"/>
          <w:sz w:val="24"/>
          <w:szCs w:val="24"/>
        </w:rPr>
        <w:t>28</w:t>
      </w:r>
      <w:r w:rsidRPr="00A833B6">
        <w:rPr>
          <w:rFonts w:cstheme="minorHAnsi"/>
          <w:color w:val="000000" w:themeColor="text1"/>
          <w:sz w:val="24"/>
          <w:szCs w:val="24"/>
        </w:rPr>
        <w:t xml:space="preserve"> </w:t>
      </w:r>
      <w:r w:rsidR="00E22314" w:rsidRPr="00A833B6">
        <w:rPr>
          <w:rFonts w:cstheme="minorHAnsi"/>
          <w:color w:val="000000" w:themeColor="text1"/>
          <w:sz w:val="24"/>
          <w:szCs w:val="24"/>
        </w:rPr>
        <w:t xml:space="preserve">Tři </w:t>
      </w:r>
      <w:r w:rsidR="004426B2" w:rsidRPr="00A833B6">
        <w:rPr>
          <w:rFonts w:cstheme="minorHAnsi"/>
          <w:noProof/>
          <w:color w:val="000000" w:themeColor="text1"/>
          <w:sz w:val="24"/>
          <w:szCs w:val="24"/>
        </w:rPr>
        <w:t>projekty</w:t>
      </w:r>
      <w:r w:rsidRPr="00A833B6">
        <w:rPr>
          <w:rFonts w:cstheme="minorHAnsi"/>
          <w:noProof/>
          <w:color w:val="000000" w:themeColor="text1"/>
          <w:sz w:val="24"/>
          <w:szCs w:val="24"/>
        </w:rPr>
        <w:t xml:space="preserve"> vyhodno</w:t>
      </w:r>
      <w:r w:rsidR="004426B2" w:rsidRPr="00A833B6">
        <w:rPr>
          <w:rFonts w:cstheme="minorHAnsi"/>
          <w:noProof/>
          <w:color w:val="000000" w:themeColor="text1"/>
          <w:sz w:val="24"/>
          <w:szCs w:val="24"/>
        </w:rPr>
        <w:t xml:space="preserve">til </w:t>
      </w:r>
      <w:r w:rsidR="004426B2" w:rsidRPr="002C310E">
        <w:rPr>
          <w:rFonts w:cstheme="minorHAnsi"/>
          <w:noProof/>
          <w:sz w:val="24"/>
          <w:szCs w:val="24"/>
        </w:rPr>
        <w:t xml:space="preserve">NKÚ </w:t>
      </w:r>
      <w:r w:rsidRPr="002C310E">
        <w:rPr>
          <w:rFonts w:cstheme="minorHAnsi"/>
          <w:noProof/>
          <w:sz w:val="24"/>
          <w:szCs w:val="24"/>
        </w:rPr>
        <w:t>jako</w:t>
      </w:r>
      <w:r w:rsidR="00A578B3" w:rsidRPr="002C310E">
        <w:rPr>
          <w:rFonts w:cstheme="minorHAnsi"/>
          <w:noProof/>
          <w:sz w:val="24"/>
          <w:szCs w:val="24"/>
        </w:rPr>
        <w:t xml:space="preserve"> účelné, dvanáct jako </w:t>
      </w:r>
      <w:r w:rsidRPr="002C310E">
        <w:rPr>
          <w:rFonts w:cstheme="minorHAnsi"/>
          <w:noProof/>
          <w:sz w:val="24"/>
          <w:szCs w:val="24"/>
        </w:rPr>
        <w:t xml:space="preserve">účelné s mírnými nedostatky, </w:t>
      </w:r>
      <w:r w:rsidR="00A578B3" w:rsidRPr="002C310E">
        <w:rPr>
          <w:rFonts w:cstheme="minorHAnsi"/>
          <w:noProof/>
          <w:sz w:val="24"/>
          <w:szCs w:val="24"/>
        </w:rPr>
        <w:t>tři</w:t>
      </w:r>
      <w:r w:rsidRPr="002C310E">
        <w:rPr>
          <w:rFonts w:cstheme="minorHAnsi"/>
          <w:noProof/>
          <w:sz w:val="24"/>
          <w:szCs w:val="24"/>
        </w:rPr>
        <w:t xml:space="preserve"> jako účelné pouze omezeně a u </w:t>
      </w:r>
      <w:r w:rsidR="00A578B3" w:rsidRPr="002C310E">
        <w:rPr>
          <w:rFonts w:cstheme="minorHAnsi"/>
          <w:noProof/>
          <w:sz w:val="24"/>
          <w:szCs w:val="24"/>
        </w:rPr>
        <w:t>dvou projektů</w:t>
      </w:r>
      <w:r w:rsidRPr="002C310E">
        <w:rPr>
          <w:rFonts w:cstheme="minorHAnsi"/>
          <w:noProof/>
          <w:sz w:val="24"/>
          <w:szCs w:val="24"/>
        </w:rPr>
        <w:t xml:space="preserve"> </w:t>
      </w:r>
      <w:r w:rsidR="004426B2" w:rsidRPr="002C310E">
        <w:rPr>
          <w:rFonts w:cstheme="minorHAnsi"/>
          <w:noProof/>
          <w:sz w:val="24"/>
          <w:szCs w:val="24"/>
        </w:rPr>
        <w:t xml:space="preserve">nebyla účelnost </w:t>
      </w:r>
      <w:r w:rsidR="009338F0" w:rsidRPr="002C310E">
        <w:rPr>
          <w:rFonts w:cstheme="minorHAnsi"/>
          <w:noProof/>
          <w:sz w:val="24"/>
          <w:szCs w:val="24"/>
        </w:rPr>
        <w:t xml:space="preserve">vzhledem k počáteční fázi jejich realizace </w:t>
      </w:r>
      <w:r w:rsidR="004426B2" w:rsidRPr="002C310E">
        <w:rPr>
          <w:rFonts w:cstheme="minorHAnsi"/>
          <w:noProof/>
          <w:sz w:val="24"/>
          <w:szCs w:val="24"/>
        </w:rPr>
        <w:t>hodnocena</w:t>
      </w:r>
      <w:r w:rsidR="00C14BCC" w:rsidRPr="002C310E">
        <w:rPr>
          <w:rFonts w:cstheme="minorHAnsi"/>
          <w:noProof/>
          <w:sz w:val="24"/>
          <w:szCs w:val="24"/>
        </w:rPr>
        <w:t>.</w:t>
      </w:r>
      <w:r w:rsidR="009338F0" w:rsidRPr="002C310E">
        <w:rPr>
          <w:rFonts w:cstheme="minorHAnsi"/>
          <w:noProof/>
          <w:sz w:val="24"/>
          <w:szCs w:val="24"/>
        </w:rPr>
        <w:t xml:space="preserve"> N</w:t>
      </w:r>
      <w:r w:rsidR="00817D98" w:rsidRPr="002C310E">
        <w:rPr>
          <w:rFonts w:cstheme="minorHAnsi"/>
          <w:noProof/>
          <w:color w:val="000000" w:themeColor="text1"/>
          <w:sz w:val="24"/>
          <w:szCs w:val="24"/>
        </w:rPr>
        <w:t>edostatky v účelnosti spatřuje NKÚ</w:t>
      </w:r>
      <w:r w:rsidR="009338F0" w:rsidRPr="002C310E">
        <w:rPr>
          <w:rFonts w:cstheme="minorHAnsi"/>
          <w:noProof/>
          <w:color w:val="000000" w:themeColor="text1"/>
          <w:sz w:val="24"/>
          <w:szCs w:val="24"/>
        </w:rPr>
        <w:t xml:space="preserve"> </w:t>
      </w:r>
      <w:r w:rsidR="00817D98" w:rsidRPr="002C310E">
        <w:rPr>
          <w:rFonts w:cstheme="minorHAnsi"/>
          <w:noProof/>
          <w:color w:val="000000" w:themeColor="text1"/>
          <w:sz w:val="24"/>
          <w:szCs w:val="24"/>
        </w:rPr>
        <w:t>především v obtížné měřitelnosti splnění cílů projektů způsobené neuvedením cílových hodnot</w:t>
      </w:r>
      <w:r w:rsidR="009338F0" w:rsidRPr="002C310E">
        <w:rPr>
          <w:rFonts w:cstheme="minorHAnsi"/>
          <w:noProof/>
          <w:color w:val="000000" w:themeColor="text1"/>
          <w:sz w:val="24"/>
          <w:szCs w:val="24"/>
        </w:rPr>
        <w:t xml:space="preserve"> ukazatelů</w:t>
      </w:r>
      <w:r w:rsidR="00817D98" w:rsidRPr="002C310E">
        <w:rPr>
          <w:rFonts w:cstheme="minorHAnsi"/>
          <w:noProof/>
          <w:color w:val="000000" w:themeColor="text1"/>
          <w:sz w:val="24"/>
          <w:szCs w:val="24"/>
        </w:rPr>
        <w:t>, kterých mělo být realizací projektu dosaženo.</w:t>
      </w:r>
      <w:r w:rsidR="00817D98" w:rsidRPr="002C310E">
        <w:rPr>
          <w:rFonts w:cstheme="minorHAnsi"/>
          <w:noProof/>
          <w:szCs w:val="24"/>
        </w:rPr>
        <w:t xml:space="preserve"> </w:t>
      </w:r>
      <w:r w:rsidRPr="002C310E">
        <w:rPr>
          <w:rFonts w:cstheme="minorHAnsi"/>
          <w:noProof/>
          <w:sz w:val="24"/>
          <w:szCs w:val="24"/>
        </w:rPr>
        <w:t xml:space="preserve">Výsledek shrnuje graf č. </w:t>
      </w:r>
      <w:r w:rsidR="00416071" w:rsidRPr="002C310E">
        <w:rPr>
          <w:rFonts w:cstheme="minorHAnsi"/>
          <w:noProof/>
          <w:sz w:val="24"/>
          <w:szCs w:val="24"/>
        </w:rPr>
        <w:t>3</w:t>
      </w:r>
      <w:r w:rsidRPr="002C310E">
        <w:rPr>
          <w:rFonts w:cstheme="minorHAnsi"/>
          <w:noProof/>
          <w:sz w:val="24"/>
          <w:szCs w:val="24"/>
        </w:rPr>
        <w:t xml:space="preserve">. Výsledky posouzení jednotlivých projektů jsou uvedeny v příloze č. </w:t>
      </w:r>
      <w:r w:rsidR="001D5D00">
        <w:rPr>
          <w:rFonts w:cstheme="minorHAnsi"/>
          <w:noProof/>
          <w:sz w:val="24"/>
          <w:szCs w:val="24"/>
        </w:rPr>
        <w:t>3</w:t>
      </w:r>
      <w:r w:rsidR="00846288">
        <w:rPr>
          <w:rFonts w:cstheme="minorHAnsi"/>
          <w:noProof/>
          <w:sz w:val="24"/>
          <w:szCs w:val="24"/>
        </w:rPr>
        <w:t xml:space="preserve"> </w:t>
      </w:r>
      <w:r w:rsidR="00846288">
        <w:rPr>
          <w:rFonts w:eastAsia="Times New Roman" w:cstheme="minorHAnsi"/>
          <w:color w:val="000000"/>
          <w:sz w:val="24"/>
          <w:szCs w:val="24"/>
        </w:rPr>
        <w:t>tohoto kontrolního závěru</w:t>
      </w:r>
      <w:r w:rsidRPr="002C310E">
        <w:rPr>
          <w:rFonts w:cstheme="minorHAnsi"/>
          <w:noProof/>
          <w:sz w:val="24"/>
          <w:szCs w:val="24"/>
        </w:rPr>
        <w:t>.</w:t>
      </w:r>
    </w:p>
    <w:p w14:paraId="0BD6BB85" w14:textId="77777777" w:rsidR="002155B1" w:rsidRPr="002C310E" w:rsidRDefault="00F04DCF" w:rsidP="005A6527">
      <w:pPr>
        <w:keepNext/>
        <w:spacing w:after="120" w:line="240" w:lineRule="auto"/>
        <w:rPr>
          <w:rFonts w:cstheme="minorHAnsi"/>
          <w:b/>
          <w:sz w:val="24"/>
          <w:szCs w:val="24"/>
        </w:rPr>
      </w:pPr>
      <w:r w:rsidRPr="002C310E">
        <w:rPr>
          <w:rFonts w:cstheme="minorHAnsi"/>
          <w:b/>
          <w:sz w:val="24"/>
          <w:szCs w:val="24"/>
        </w:rPr>
        <w:t xml:space="preserve">Graf č. </w:t>
      </w:r>
      <w:r w:rsidR="00416071" w:rsidRPr="002C310E">
        <w:rPr>
          <w:rFonts w:cstheme="minorHAnsi"/>
          <w:b/>
          <w:sz w:val="24"/>
          <w:szCs w:val="24"/>
        </w:rPr>
        <w:t>3</w:t>
      </w:r>
      <w:r w:rsidRPr="002C310E">
        <w:rPr>
          <w:rFonts w:cstheme="minorHAnsi"/>
          <w:b/>
          <w:sz w:val="24"/>
          <w:szCs w:val="24"/>
        </w:rPr>
        <w:t>: Výsledek hodnocení účelnosti 20 vybraných projektů NP AMIF</w:t>
      </w:r>
    </w:p>
    <w:p w14:paraId="47E4A7A5" w14:textId="77777777" w:rsidR="002155B1" w:rsidRPr="002C310E" w:rsidRDefault="00F04DCF" w:rsidP="005A6527">
      <w:pPr>
        <w:keepNext/>
        <w:spacing w:after="0" w:line="240" w:lineRule="auto"/>
        <w:jc w:val="center"/>
        <w:rPr>
          <w:rFonts w:cstheme="minorHAnsi"/>
          <w:sz w:val="24"/>
          <w:szCs w:val="24"/>
        </w:rPr>
      </w:pPr>
      <w:r w:rsidRPr="002C310E">
        <w:rPr>
          <w:rFonts w:cstheme="minorHAnsi"/>
          <w:noProof/>
          <w:sz w:val="24"/>
          <w:szCs w:val="24"/>
          <w:lang w:eastAsia="cs-CZ"/>
        </w:rPr>
        <w:drawing>
          <wp:inline distT="0" distB="0" distL="0" distR="0" wp14:anchorId="27F34514" wp14:editId="457910EF">
            <wp:extent cx="4852657" cy="2661719"/>
            <wp:effectExtent l="0" t="0" r="5715" b="571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0045FA" w14:textId="77777777" w:rsidR="00C14BCC" w:rsidRPr="00491FCA" w:rsidRDefault="00F04DCF" w:rsidP="005A6527">
      <w:pPr>
        <w:keepNext/>
        <w:spacing w:after="0" w:line="240" w:lineRule="auto"/>
        <w:jc w:val="both"/>
        <w:rPr>
          <w:rFonts w:cstheme="minorHAnsi"/>
          <w:noProof/>
          <w:sz w:val="20"/>
          <w:szCs w:val="20"/>
        </w:rPr>
      </w:pPr>
      <w:r w:rsidRPr="00491FCA">
        <w:rPr>
          <w:rFonts w:cstheme="minorHAnsi"/>
          <w:sz w:val="20"/>
          <w:szCs w:val="20"/>
        </w:rPr>
        <w:t>*</w:t>
      </w:r>
      <w:r w:rsidRPr="00491FCA">
        <w:rPr>
          <w:rFonts w:cstheme="minorHAnsi"/>
          <w:noProof/>
          <w:sz w:val="20"/>
          <w:szCs w:val="20"/>
        </w:rPr>
        <w:t xml:space="preserve"> Účelnost nebyla hodnocena vzhledem k počáteční fázi realizace projektů.</w:t>
      </w:r>
    </w:p>
    <w:p w14:paraId="678943E9" w14:textId="03863D63" w:rsidR="00C14BCC" w:rsidRPr="00491FCA" w:rsidRDefault="00F04DCF" w:rsidP="00C14BCC">
      <w:pPr>
        <w:spacing w:after="120" w:line="240" w:lineRule="auto"/>
        <w:jc w:val="both"/>
        <w:rPr>
          <w:rFonts w:cstheme="minorHAnsi"/>
          <w:sz w:val="20"/>
          <w:szCs w:val="20"/>
        </w:rPr>
      </w:pPr>
      <w:r w:rsidRPr="00491FCA">
        <w:rPr>
          <w:rFonts w:cstheme="minorHAnsi"/>
          <w:b/>
          <w:sz w:val="20"/>
          <w:szCs w:val="20"/>
        </w:rPr>
        <w:t>Zdroj:</w:t>
      </w:r>
      <w:r w:rsidRPr="00491FCA">
        <w:rPr>
          <w:rFonts w:cstheme="minorHAnsi"/>
          <w:sz w:val="20"/>
          <w:szCs w:val="20"/>
        </w:rPr>
        <w:t xml:space="preserve"> </w:t>
      </w:r>
      <w:r w:rsidR="00AD6B0A">
        <w:rPr>
          <w:rFonts w:cstheme="minorHAnsi"/>
          <w:sz w:val="20"/>
          <w:szCs w:val="20"/>
        </w:rPr>
        <w:t xml:space="preserve">vypracoval </w:t>
      </w:r>
      <w:r w:rsidRPr="00491FCA">
        <w:rPr>
          <w:rFonts w:cstheme="minorHAnsi"/>
          <w:noProof/>
          <w:sz w:val="20"/>
          <w:szCs w:val="20"/>
          <w:lang w:eastAsia="cs-CZ"/>
        </w:rPr>
        <w:t>NKÚ.</w:t>
      </w:r>
    </w:p>
    <w:p w14:paraId="17FF3569" w14:textId="78071DAF" w:rsidR="007052C3" w:rsidRPr="002C310E" w:rsidRDefault="00F04DCF" w:rsidP="00BB5A74">
      <w:pPr>
        <w:spacing w:after="120" w:line="240" w:lineRule="auto"/>
        <w:jc w:val="both"/>
        <w:rPr>
          <w:rFonts w:cstheme="minorHAnsi"/>
          <w:noProof/>
          <w:sz w:val="24"/>
          <w:szCs w:val="24"/>
        </w:rPr>
      </w:pPr>
      <w:r w:rsidRPr="005A6527">
        <w:rPr>
          <w:rFonts w:cstheme="minorHAnsi"/>
          <w:b/>
          <w:noProof/>
          <w:sz w:val="24"/>
          <w:szCs w:val="24"/>
        </w:rPr>
        <w:t>4.</w:t>
      </w:r>
      <w:r w:rsidR="000B1625" w:rsidRPr="005A6527">
        <w:rPr>
          <w:rFonts w:cstheme="minorHAnsi"/>
          <w:b/>
          <w:noProof/>
          <w:sz w:val="24"/>
          <w:szCs w:val="24"/>
        </w:rPr>
        <w:t>29</w:t>
      </w:r>
      <w:r w:rsidRPr="002C310E">
        <w:rPr>
          <w:rFonts w:cstheme="minorHAnsi"/>
          <w:noProof/>
          <w:sz w:val="24"/>
          <w:szCs w:val="24"/>
        </w:rPr>
        <w:t xml:space="preserve"> </w:t>
      </w:r>
      <w:r w:rsidR="005126CB" w:rsidRPr="002C310E">
        <w:rPr>
          <w:rFonts w:cstheme="minorHAnsi"/>
          <w:noProof/>
          <w:sz w:val="24"/>
          <w:szCs w:val="24"/>
        </w:rPr>
        <w:t xml:space="preserve">Příklad č. </w:t>
      </w:r>
      <w:r w:rsidR="002246A2" w:rsidRPr="002C310E">
        <w:rPr>
          <w:rFonts w:cstheme="minorHAnsi"/>
          <w:noProof/>
          <w:sz w:val="24"/>
          <w:szCs w:val="24"/>
        </w:rPr>
        <w:t>4</w:t>
      </w:r>
      <w:r w:rsidR="005126CB" w:rsidRPr="002C310E">
        <w:rPr>
          <w:rFonts w:cstheme="minorHAnsi"/>
          <w:noProof/>
          <w:sz w:val="24"/>
          <w:szCs w:val="24"/>
        </w:rPr>
        <w:t xml:space="preserve"> je ukázkou dobré praxe při realizaci projektu. </w:t>
      </w:r>
      <w:r w:rsidR="00FB6A97" w:rsidRPr="002C310E">
        <w:rPr>
          <w:rFonts w:cstheme="minorHAnsi"/>
          <w:noProof/>
          <w:sz w:val="24"/>
          <w:szCs w:val="24"/>
        </w:rPr>
        <w:t>P</w:t>
      </w:r>
      <w:r w:rsidRPr="002C310E">
        <w:rPr>
          <w:rFonts w:cstheme="minorHAnsi"/>
          <w:noProof/>
          <w:sz w:val="24"/>
          <w:szCs w:val="24"/>
        </w:rPr>
        <w:t xml:space="preserve">říklad č. </w:t>
      </w:r>
      <w:r w:rsidR="002246A2" w:rsidRPr="002C310E">
        <w:rPr>
          <w:rFonts w:cstheme="minorHAnsi"/>
          <w:noProof/>
          <w:sz w:val="24"/>
          <w:szCs w:val="24"/>
        </w:rPr>
        <w:t>5</w:t>
      </w:r>
      <w:r w:rsidR="000D3AD3">
        <w:rPr>
          <w:rFonts w:cstheme="minorHAnsi"/>
          <w:noProof/>
          <w:sz w:val="24"/>
          <w:szCs w:val="24"/>
        </w:rPr>
        <w:t xml:space="preserve"> naopak</w:t>
      </w:r>
      <w:r w:rsidRPr="002C310E">
        <w:rPr>
          <w:rFonts w:cstheme="minorHAnsi"/>
          <w:noProof/>
          <w:sz w:val="24"/>
          <w:szCs w:val="24"/>
        </w:rPr>
        <w:t xml:space="preserve"> </w:t>
      </w:r>
      <w:r w:rsidR="005126CB" w:rsidRPr="002C310E">
        <w:rPr>
          <w:rFonts w:cstheme="minorHAnsi"/>
          <w:noProof/>
          <w:sz w:val="24"/>
          <w:szCs w:val="24"/>
        </w:rPr>
        <w:t>u</w:t>
      </w:r>
      <w:r w:rsidR="00B82F0F" w:rsidRPr="002C310E">
        <w:rPr>
          <w:rFonts w:cstheme="minorHAnsi"/>
          <w:noProof/>
          <w:sz w:val="24"/>
          <w:szCs w:val="24"/>
        </w:rPr>
        <w:t xml:space="preserve">vádí, </w:t>
      </w:r>
      <w:r w:rsidRPr="002C310E">
        <w:rPr>
          <w:rFonts w:cstheme="minorHAnsi"/>
          <w:noProof/>
          <w:sz w:val="24"/>
          <w:szCs w:val="24"/>
        </w:rPr>
        <w:t xml:space="preserve">proč NKÚ hodnotil </w:t>
      </w:r>
      <w:r w:rsidR="00FB6A97" w:rsidRPr="002C310E">
        <w:rPr>
          <w:rFonts w:cstheme="minorHAnsi"/>
          <w:noProof/>
          <w:sz w:val="24"/>
          <w:szCs w:val="24"/>
        </w:rPr>
        <w:t xml:space="preserve">projekt </w:t>
      </w:r>
      <w:r w:rsidRPr="002C310E">
        <w:rPr>
          <w:rFonts w:cstheme="minorHAnsi"/>
          <w:noProof/>
          <w:sz w:val="24"/>
          <w:szCs w:val="24"/>
        </w:rPr>
        <w:t>jako omezeně účeln</w:t>
      </w:r>
      <w:r w:rsidR="00FB6A97" w:rsidRPr="002C310E">
        <w:rPr>
          <w:rFonts w:cstheme="minorHAnsi"/>
          <w:noProof/>
          <w:sz w:val="24"/>
          <w:szCs w:val="24"/>
        </w:rPr>
        <w:t>ý</w:t>
      </w:r>
      <w:r w:rsidR="002246A2" w:rsidRPr="002C310E">
        <w:rPr>
          <w:rFonts w:cstheme="minorHAnsi"/>
          <w:noProof/>
          <w:sz w:val="24"/>
          <w:szCs w:val="24"/>
        </w:rPr>
        <w:t xml:space="preserve"> a zároveň omezeně efektivní</w:t>
      </w:r>
      <w:r w:rsidRPr="002C310E">
        <w:rPr>
          <w:rFonts w:cstheme="minorHAnsi"/>
          <w:noProof/>
          <w:sz w:val="24"/>
          <w:szCs w:val="24"/>
        </w:rPr>
        <w:t>.</w:t>
      </w:r>
    </w:p>
    <w:p w14:paraId="34B0C8F9" w14:textId="77777777" w:rsidR="005F3303" w:rsidRPr="002C310E" w:rsidRDefault="00F04DCF" w:rsidP="005A6527">
      <w:pPr>
        <w:spacing w:line="240" w:lineRule="auto"/>
        <w:rPr>
          <w:rFonts w:cstheme="minorHAnsi"/>
          <w:b/>
          <w:sz w:val="24"/>
          <w:szCs w:val="24"/>
        </w:rPr>
      </w:pPr>
      <w:r w:rsidRPr="002C310E">
        <w:rPr>
          <w:rFonts w:cstheme="minorHAnsi"/>
          <w:b/>
          <w:color w:val="000000" w:themeColor="text1"/>
          <w:sz w:val="24"/>
          <w:szCs w:val="24"/>
        </w:rPr>
        <w:t xml:space="preserve">Příklad č. </w:t>
      </w:r>
      <w:r w:rsidR="002246A2" w:rsidRPr="002C310E">
        <w:rPr>
          <w:rFonts w:cstheme="minorHAnsi"/>
          <w:b/>
          <w:color w:val="000000" w:themeColor="text1"/>
          <w:sz w:val="24"/>
          <w:szCs w:val="24"/>
        </w:rPr>
        <w:t>4</w:t>
      </w:r>
      <w:r w:rsidRPr="002C310E">
        <w:rPr>
          <w:rFonts w:cstheme="minorHAnsi"/>
          <w:b/>
          <w:color w:val="000000" w:themeColor="text1"/>
          <w:sz w:val="24"/>
          <w:szCs w:val="24"/>
        </w:rPr>
        <w:t xml:space="preserve">: </w:t>
      </w:r>
      <w:r w:rsidR="001D74D2" w:rsidRPr="002C310E">
        <w:rPr>
          <w:rFonts w:cstheme="minorHAnsi"/>
          <w:b/>
          <w:color w:val="000000" w:themeColor="text1"/>
          <w:sz w:val="24"/>
          <w:szCs w:val="24"/>
        </w:rPr>
        <w:t>Z</w:t>
      </w:r>
      <w:r w:rsidR="00B82F0F" w:rsidRPr="002C310E">
        <w:rPr>
          <w:rFonts w:cstheme="minorHAnsi"/>
          <w:b/>
          <w:sz w:val="24"/>
          <w:szCs w:val="24"/>
        </w:rPr>
        <w:t>ískávání</w:t>
      </w:r>
      <w:r w:rsidR="005126CB" w:rsidRPr="002C310E">
        <w:rPr>
          <w:rFonts w:cstheme="minorHAnsi"/>
          <w:b/>
          <w:sz w:val="24"/>
          <w:szCs w:val="24"/>
        </w:rPr>
        <w:t xml:space="preserve"> zpětné vazby </w:t>
      </w:r>
      <w:r w:rsidR="00B82F0F" w:rsidRPr="002C310E">
        <w:rPr>
          <w:rFonts w:cstheme="minorHAnsi"/>
          <w:b/>
          <w:sz w:val="24"/>
          <w:szCs w:val="24"/>
        </w:rPr>
        <w:t xml:space="preserve">od </w:t>
      </w:r>
      <w:r w:rsidR="001D74D2" w:rsidRPr="002C310E">
        <w:rPr>
          <w:rFonts w:cstheme="minorHAnsi"/>
          <w:b/>
          <w:sz w:val="24"/>
          <w:szCs w:val="24"/>
        </w:rPr>
        <w:t>klientů</w:t>
      </w:r>
      <w:r w:rsidR="00FB6A97" w:rsidRPr="002C310E">
        <w:rPr>
          <w:rFonts w:cstheme="minorHAnsi"/>
          <w:b/>
          <w:sz w:val="24"/>
          <w:szCs w:val="24"/>
        </w:rPr>
        <w:t xml:space="preserve"> </w:t>
      </w:r>
      <w:r w:rsidR="00097DCC" w:rsidRPr="002C310E">
        <w:rPr>
          <w:rFonts w:cstheme="minorHAnsi"/>
          <w:b/>
          <w:sz w:val="24"/>
          <w:szCs w:val="24"/>
        </w:rPr>
        <w:t xml:space="preserve">pro </w:t>
      </w:r>
      <w:r w:rsidR="00B82F0F" w:rsidRPr="002C310E">
        <w:rPr>
          <w:rFonts w:cstheme="minorHAnsi"/>
          <w:b/>
          <w:sz w:val="24"/>
          <w:szCs w:val="24"/>
        </w:rPr>
        <w:t xml:space="preserve">ověření přínosů </w:t>
      </w:r>
      <w:r w:rsidR="001D74D2" w:rsidRPr="002C310E">
        <w:rPr>
          <w:rFonts w:cstheme="minorHAnsi"/>
          <w:b/>
          <w:sz w:val="24"/>
          <w:szCs w:val="24"/>
        </w:rPr>
        <w:t>projektu NP AMIF</w:t>
      </w:r>
    </w:p>
    <w:tbl>
      <w:tblPr>
        <w:tblStyle w:val="Mkatabulky"/>
        <w:tblW w:w="0" w:type="auto"/>
        <w:tblInd w:w="-5" w:type="dxa"/>
        <w:tblLook w:val="04A0" w:firstRow="1" w:lastRow="0" w:firstColumn="1" w:lastColumn="0" w:noHBand="0" w:noVBand="1"/>
      </w:tblPr>
      <w:tblGrid>
        <w:gridCol w:w="9067"/>
      </w:tblGrid>
      <w:tr w:rsidR="00C72C9E" w14:paraId="07FA0B2F" w14:textId="77777777" w:rsidTr="00606715">
        <w:tc>
          <w:tcPr>
            <w:tcW w:w="9067" w:type="dxa"/>
            <w:tcBorders>
              <w:top w:val="single" w:sz="4" w:space="0" w:color="auto"/>
              <w:left w:val="single" w:sz="4" w:space="0" w:color="auto"/>
              <w:bottom w:val="single" w:sz="4" w:space="0" w:color="auto"/>
              <w:right w:val="single" w:sz="4" w:space="0" w:color="auto"/>
            </w:tcBorders>
            <w:hideMark/>
          </w:tcPr>
          <w:p w14:paraId="7D1ACB66" w14:textId="72A81F0C" w:rsidR="005F3303" w:rsidRPr="002C310E" w:rsidRDefault="00F04DCF" w:rsidP="00AD6B0A">
            <w:pPr>
              <w:jc w:val="both"/>
              <w:rPr>
                <w:rFonts w:cstheme="minorHAnsi"/>
                <w:sz w:val="24"/>
                <w:szCs w:val="24"/>
              </w:rPr>
            </w:pPr>
            <w:r w:rsidRPr="002C310E">
              <w:rPr>
                <w:rFonts w:cstheme="minorHAnsi"/>
                <w:i/>
                <w:sz w:val="24"/>
                <w:szCs w:val="24"/>
              </w:rPr>
              <w:t>Cílem projektu AMIF/7/03 – Program na podporu pedagogických pracovníků při práci s žáky cizinci VIII bylo posilování kompetencí pedagogických pracovníků, kteří se podílejí na vzdělávání cizinců ze třetích zemí s odlišným mateřským jazykem. Cílovou skupinou projektu byli pedagogičtí pracovníci, kteří vzdělávají žáky mateřských, základních a středních škol. V</w:t>
            </w:r>
            <w:r w:rsidR="0082216C">
              <w:rPr>
                <w:rFonts w:cstheme="minorHAnsi"/>
                <w:i/>
                <w:sz w:val="24"/>
                <w:szCs w:val="24"/>
              </w:rPr>
              <w:t> </w:t>
            </w:r>
            <w:r w:rsidRPr="002C310E">
              <w:rPr>
                <w:rFonts w:cstheme="minorHAnsi"/>
                <w:i/>
                <w:sz w:val="24"/>
                <w:szCs w:val="24"/>
              </w:rPr>
              <w:t>rámci projektu bylo realizováno 66 kurzů pro 755 pedagogů, což bylo více než původně plánovaných 63 kurzů pro 636 pedagogů. NKÚ zjistil, že nevládní nezisková organizace jako realizátor projektu průběžně získávala zpětnou vazbu od klientů ve formě evaluačních dotazníků. Dále zjišťovala zpětnou vazbu rovněž v neformální podobě, např. prostřednictvím osobních pohovorů, e</w:t>
            </w:r>
            <w:r w:rsidR="00AD6B0A">
              <w:rPr>
                <w:rFonts w:cstheme="minorHAnsi"/>
                <w:i/>
                <w:sz w:val="24"/>
                <w:szCs w:val="24"/>
              </w:rPr>
              <w:t>-</w:t>
            </w:r>
            <w:r w:rsidRPr="002C310E">
              <w:rPr>
                <w:rFonts w:cstheme="minorHAnsi"/>
                <w:i/>
                <w:sz w:val="24"/>
                <w:szCs w:val="24"/>
              </w:rPr>
              <w:t>mailové komunikace anebo hodnocením činnosti realizátora ze strany spolupracujících organizací a institucí, čímž ověřila, že projekt byl pro pedagogické pracovníky skutečně přínosný. NKÚ proto vyhodnotil projekt jako účelný.</w:t>
            </w:r>
          </w:p>
        </w:tc>
      </w:tr>
    </w:tbl>
    <w:p w14:paraId="1E8BB8C2" w14:textId="1EF197FC" w:rsidR="008F4847" w:rsidRPr="002C310E" w:rsidRDefault="00F04DCF" w:rsidP="005A6527">
      <w:pPr>
        <w:keepNext/>
        <w:spacing w:before="120" w:after="120" w:line="240" w:lineRule="auto"/>
        <w:rPr>
          <w:rFonts w:cstheme="minorHAnsi"/>
          <w:b/>
          <w:sz w:val="24"/>
          <w:szCs w:val="24"/>
        </w:rPr>
      </w:pPr>
      <w:r w:rsidRPr="002C310E">
        <w:rPr>
          <w:rFonts w:cstheme="minorHAnsi"/>
          <w:b/>
          <w:sz w:val="24"/>
          <w:szCs w:val="24"/>
        </w:rPr>
        <w:lastRenderedPageBreak/>
        <w:t xml:space="preserve">Příklad č. </w:t>
      </w:r>
      <w:r w:rsidR="002246A2" w:rsidRPr="002C310E">
        <w:rPr>
          <w:rFonts w:cstheme="minorHAnsi"/>
          <w:b/>
          <w:sz w:val="24"/>
          <w:szCs w:val="24"/>
        </w:rPr>
        <w:t>5</w:t>
      </w:r>
      <w:r w:rsidRPr="002C310E">
        <w:rPr>
          <w:rFonts w:cstheme="minorHAnsi"/>
          <w:b/>
          <w:sz w:val="24"/>
          <w:szCs w:val="24"/>
        </w:rPr>
        <w:t xml:space="preserve">: </w:t>
      </w:r>
      <w:r w:rsidR="00097DCC" w:rsidRPr="002C310E">
        <w:rPr>
          <w:rFonts w:cstheme="minorHAnsi"/>
          <w:b/>
          <w:sz w:val="24"/>
          <w:szCs w:val="24"/>
        </w:rPr>
        <w:t xml:space="preserve">Projekt </w:t>
      </w:r>
      <w:r w:rsidR="00097DCC" w:rsidRPr="002C310E">
        <w:rPr>
          <w:rFonts w:cstheme="minorHAnsi"/>
          <w:b/>
          <w:i/>
          <w:sz w:val="24"/>
          <w:szCs w:val="24"/>
        </w:rPr>
        <w:t>AZ Havířov – koupě a rekonstrukce rozšiřujícího objektu</w:t>
      </w:r>
      <w:r w:rsidR="009C134E" w:rsidRPr="002C310E">
        <w:rPr>
          <w:rFonts w:cstheme="minorHAnsi"/>
          <w:b/>
          <w:sz w:val="24"/>
          <w:szCs w:val="24"/>
        </w:rPr>
        <w:t xml:space="preserve">, </w:t>
      </w:r>
      <w:r w:rsidR="00C47FEA" w:rsidRPr="002C310E">
        <w:rPr>
          <w:rFonts w:cstheme="minorHAnsi"/>
          <w:b/>
          <w:sz w:val="24"/>
          <w:szCs w:val="24"/>
        </w:rPr>
        <w:t xml:space="preserve">který NKÚ vyhodnotil jako omezeně účelný a zároveň </w:t>
      </w:r>
      <w:r w:rsidR="00D02105" w:rsidRPr="002C310E">
        <w:rPr>
          <w:rFonts w:cstheme="minorHAnsi"/>
          <w:b/>
          <w:sz w:val="24"/>
          <w:szCs w:val="24"/>
        </w:rPr>
        <w:t>omezeně efektivní</w:t>
      </w:r>
    </w:p>
    <w:tbl>
      <w:tblPr>
        <w:tblStyle w:val="Mkatabulky"/>
        <w:tblW w:w="0" w:type="auto"/>
        <w:tblInd w:w="-5" w:type="dxa"/>
        <w:tblLook w:val="04A0" w:firstRow="1" w:lastRow="0" w:firstColumn="1" w:lastColumn="0" w:noHBand="0" w:noVBand="1"/>
      </w:tblPr>
      <w:tblGrid>
        <w:gridCol w:w="9067"/>
      </w:tblGrid>
      <w:tr w:rsidR="00C72C9E" w14:paraId="519AD211" w14:textId="77777777" w:rsidTr="00E36495">
        <w:tc>
          <w:tcPr>
            <w:tcW w:w="9067" w:type="dxa"/>
            <w:tcBorders>
              <w:top w:val="single" w:sz="4" w:space="0" w:color="auto"/>
              <w:left w:val="single" w:sz="4" w:space="0" w:color="auto"/>
              <w:bottom w:val="single" w:sz="4" w:space="0" w:color="auto"/>
              <w:right w:val="single" w:sz="4" w:space="0" w:color="auto"/>
            </w:tcBorders>
            <w:hideMark/>
          </w:tcPr>
          <w:p w14:paraId="713BA42B" w14:textId="77777777" w:rsidR="002A01E0" w:rsidRPr="002C310E" w:rsidRDefault="00F04DCF" w:rsidP="00AD6B0A">
            <w:pPr>
              <w:jc w:val="both"/>
              <w:rPr>
                <w:rFonts w:cstheme="minorHAnsi"/>
                <w:i/>
                <w:sz w:val="24"/>
                <w:szCs w:val="24"/>
              </w:rPr>
            </w:pPr>
            <w:r w:rsidRPr="002C310E">
              <w:rPr>
                <w:rFonts w:cstheme="minorHAnsi"/>
                <w:i/>
                <w:sz w:val="24"/>
                <w:szCs w:val="24"/>
              </w:rPr>
              <w:t>R</w:t>
            </w:r>
            <w:r w:rsidR="00944941" w:rsidRPr="002C310E">
              <w:rPr>
                <w:rFonts w:cstheme="minorHAnsi"/>
                <w:i/>
                <w:sz w:val="24"/>
                <w:szCs w:val="24"/>
              </w:rPr>
              <w:t xml:space="preserve">ealizátorem projektu </w:t>
            </w:r>
            <w:r w:rsidR="009C63C4" w:rsidRPr="002C310E">
              <w:rPr>
                <w:rFonts w:cstheme="minorHAnsi"/>
                <w:i/>
                <w:sz w:val="24"/>
                <w:szCs w:val="24"/>
              </w:rPr>
              <w:t>AMIF/14/01 – AZ Havířov – koupě a rekonstrukce rozšiřujícího objektu je</w:t>
            </w:r>
            <w:r w:rsidR="00944941" w:rsidRPr="002C310E">
              <w:rPr>
                <w:rFonts w:cstheme="minorHAnsi"/>
                <w:i/>
                <w:sz w:val="24"/>
                <w:szCs w:val="24"/>
              </w:rPr>
              <w:t xml:space="preserve"> SUZ MV. </w:t>
            </w:r>
            <w:r w:rsidRPr="002C310E">
              <w:rPr>
                <w:rFonts w:cstheme="minorHAnsi"/>
                <w:i/>
                <w:sz w:val="24"/>
                <w:szCs w:val="24"/>
              </w:rPr>
              <w:t xml:space="preserve">Cílem </w:t>
            </w:r>
            <w:r w:rsidR="00944941" w:rsidRPr="002C310E">
              <w:rPr>
                <w:rFonts w:cstheme="minorHAnsi"/>
                <w:i/>
                <w:sz w:val="24"/>
                <w:szCs w:val="24"/>
              </w:rPr>
              <w:t>projektu je nákup a rekonstrukce stavby za účelem vytvoření ubytovací kapacity pro žadatele o mezinárodní ochranu o rozsahu cca 85 lůžek</w:t>
            </w:r>
            <w:r w:rsidR="009C134E" w:rsidRPr="002C310E">
              <w:rPr>
                <w:rFonts w:cstheme="minorHAnsi"/>
                <w:i/>
                <w:sz w:val="24"/>
                <w:szCs w:val="24"/>
              </w:rPr>
              <w:t xml:space="preserve">, </w:t>
            </w:r>
            <w:r w:rsidR="008736B3" w:rsidRPr="002C310E">
              <w:rPr>
                <w:rFonts w:cstheme="minorHAnsi"/>
                <w:i/>
                <w:sz w:val="24"/>
                <w:szCs w:val="24"/>
              </w:rPr>
              <w:t>v </w:t>
            </w:r>
            <w:r w:rsidR="00944941" w:rsidRPr="002C310E">
              <w:rPr>
                <w:rFonts w:cstheme="minorHAnsi"/>
                <w:i/>
                <w:sz w:val="24"/>
                <w:szCs w:val="24"/>
              </w:rPr>
              <w:t xml:space="preserve">případě </w:t>
            </w:r>
            <w:r w:rsidR="009C134E" w:rsidRPr="002C310E">
              <w:rPr>
                <w:rFonts w:cstheme="minorHAnsi"/>
                <w:i/>
                <w:sz w:val="24"/>
                <w:szCs w:val="24"/>
              </w:rPr>
              <w:t>potřeby</w:t>
            </w:r>
            <w:r w:rsidR="00944941" w:rsidRPr="002C310E">
              <w:rPr>
                <w:rFonts w:cstheme="minorHAnsi"/>
                <w:i/>
                <w:sz w:val="24"/>
                <w:szCs w:val="24"/>
              </w:rPr>
              <w:t xml:space="preserve"> </w:t>
            </w:r>
            <w:r w:rsidR="008736B3" w:rsidRPr="002C310E">
              <w:rPr>
                <w:rFonts w:cstheme="minorHAnsi"/>
                <w:i/>
                <w:sz w:val="24"/>
                <w:szCs w:val="24"/>
              </w:rPr>
              <w:t xml:space="preserve">navýšitelné </w:t>
            </w:r>
            <w:r w:rsidR="00944941" w:rsidRPr="002C310E">
              <w:rPr>
                <w:rFonts w:cstheme="minorHAnsi"/>
                <w:i/>
                <w:sz w:val="24"/>
                <w:szCs w:val="24"/>
              </w:rPr>
              <w:t>až na 110 lůžek</w:t>
            </w:r>
            <w:r w:rsidR="009C134E" w:rsidRPr="002C310E">
              <w:rPr>
                <w:rFonts w:cstheme="minorHAnsi"/>
                <w:i/>
                <w:sz w:val="24"/>
                <w:szCs w:val="24"/>
              </w:rPr>
              <w:t xml:space="preserve">. Součástí stavby jsou i </w:t>
            </w:r>
            <w:r w:rsidR="008736B3" w:rsidRPr="002C310E">
              <w:rPr>
                <w:rFonts w:cstheme="minorHAnsi"/>
                <w:i/>
                <w:sz w:val="24"/>
                <w:szCs w:val="24"/>
              </w:rPr>
              <w:t xml:space="preserve">prostory </w:t>
            </w:r>
            <w:r w:rsidR="00944941" w:rsidRPr="002C310E">
              <w:rPr>
                <w:rFonts w:cstheme="minorHAnsi"/>
                <w:i/>
                <w:sz w:val="24"/>
                <w:szCs w:val="24"/>
              </w:rPr>
              <w:t>pr</w:t>
            </w:r>
            <w:r w:rsidR="009C134E" w:rsidRPr="002C310E">
              <w:rPr>
                <w:rFonts w:cstheme="minorHAnsi"/>
                <w:i/>
                <w:sz w:val="24"/>
                <w:szCs w:val="24"/>
              </w:rPr>
              <w:t>o voln</w:t>
            </w:r>
            <w:r w:rsidR="008736B3" w:rsidRPr="002C310E">
              <w:rPr>
                <w:rFonts w:cstheme="minorHAnsi"/>
                <w:i/>
                <w:sz w:val="24"/>
                <w:szCs w:val="24"/>
              </w:rPr>
              <w:t xml:space="preserve">očasové aktivity </w:t>
            </w:r>
            <w:r w:rsidR="009C134E" w:rsidRPr="002C310E">
              <w:rPr>
                <w:rFonts w:cstheme="minorHAnsi"/>
                <w:i/>
                <w:sz w:val="24"/>
                <w:szCs w:val="24"/>
              </w:rPr>
              <w:t>žadatelů a</w:t>
            </w:r>
            <w:r w:rsidR="008736B3" w:rsidRPr="002C310E">
              <w:rPr>
                <w:rFonts w:cstheme="minorHAnsi"/>
                <w:i/>
                <w:sz w:val="24"/>
                <w:szCs w:val="24"/>
              </w:rPr>
              <w:t xml:space="preserve"> </w:t>
            </w:r>
            <w:r w:rsidR="009C134E" w:rsidRPr="002C310E">
              <w:rPr>
                <w:rFonts w:cstheme="minorHAnsi"/>
                <w:i/>
                <w:sz w:val="24"/>
                <w:szCs w:val="24"/>
              </w:rPr>
              <w:t>kanceláře</w:t>
            </w:r>
            <w:r w:rsidR="00944941" w:rsidRPr="002C310E">
              <w:rPr>
                <w:rFonts w:cstheme="minorHAnsi"/>
                <w:i/>
                <w:sz w:val="24"/>
                <w:szCs w:val="24"/>
              </w:rPr>
              <w:t xml:space="preserve"> pro zaměstnance. NKÚ zjistil, že SUZ MV v žádosti o podpor</w:t>
            </w:r>
            <w:r w:rsidR="008736B3" w:rsidRPr="002C310E">
              <w:rPr>
                <w:rFonts w:cstheme="minorHAnsi"/>
                <w:i/>
                <w:sz w:val="24"/>
                <w:szCs w:val="24"/>
              </w:rPr>
              <w:t>u</w:t>
            </w:r>
            <w:r w:rsidR="00944941" w:rsidRPr="002C310E">
              <w:rPr>
                <w:rFonts w:cstheme="minorHAnsi"/>
                <w:i/>
                <w:sz w:val="24"/>
                <w:szCs w:val="24"/>
              </w:rPr>
              <w:t xml:space="preserve"> </w:t>
            </w:r>
            <w:r w:rsidR="008736B3" w:rsidRPr="002C310E">
              <w:rPr>
                <w:rFonts w:cstheme="minorHAnsi"/>
                <w:i/>
                <w:sz w:val="24"/>
                <w:szCs w:val="24"/>
              </w:rPr>
              <w:t xml:space="preserve">dostatečně </w:t>
            </w:r>
            <w:r w:rsidR="00944941" w:rsidRPr="002C310E">
              <w:rPr>
                <w:rFonts w:cstheme="minorHAnsi"/>
                <w:i/>
                <w:sz w:val="24"/>
                <w:szCs w:val="24"/>
              </w:rPr>
              <w:t>ne</w:t>
            </w:r>
            <w:r w:rsidR="008736B3" w:rsidRPr="002C310E">
              <w:rPr>
                <w:rFonts w:cstheme="minorHAnsi"/>
                <w:i/>
                <w:sz w:val="24"/>
                <w:szCs w:val="24"/>
              </w:rPr>
              <w:t>z</w:t>
            </w:r>
            <w:r w:rsidR="00944941" w:rsidRPr="002C310E">
              <w:rPr>
                <w:rFonts w:cstheme="minorHAnsi"/>
                <w:i/>
                <w:sz w:val="24"/>
                <w:szCs w:val="24"/>
              </w:rPr>
              <w:t xml:space="preserve">důvodnila </w:t>
            </w:r>
            <w:r w:rsidR="008736B3" w:rsidRPr="002C310E">
              <w:rPr>
                <w:rFonts w:cstheme="minorHAnsi"/>
                <w:i/>
                <w:sz w:val="24"/>
                <w:szCs w:val="24"/>
              </w:rPr>
              <w:t>potřebu realizace</w:t>
            </w:r>
            <w:r w:rsidR="00944941" w:rsidRPr="002C310E">
              <w:rPr>
                <w:rFonts w:cstheme="minorHAnsi"/>
                <w:i/>
                <w:sz w:val="24"/>
                <w:szCs w:val="24"/>
              </w:rPr>
              <w:t xml:space="preserve"> projektu</w:t>
            </w:r>
            <w:r w:rsidR="00140C15" w:rsidRPr="002C310E">
              <w:rPr>
                <w:rFonts w:cstheme="minorHAnsi"/>
                <w:i/>
                <w:sz w:val="24"/>
                <w:szCs w:val="24"/>
              </w:rPr>
              <w:t xml:space="preserve"> a</w:t>
            </w:r>
            <w:r w:rsidR="008736B3" w:rsidRPr="002C310E">
              <w:rPr>
                <w:rFonts w:cstheme="minorHAnsi"/>
                <w:i/>
                <w:sz w:val="24"/>
                <w:szCs w:val="24"/>
              </w:rPr>
              <w:t xml:space="preserve"> </w:t>
            </w:r>
            <w:r w:rsidR="00140C15" w:rsidRPr="002C310E">
              <w:rPr>
                <w:rFonts w:cstheme="minorHAnsi"/>
                <w:i/>
                <w:sz w:val="24"/>
                <w:szCs w:val="24"/>
              </w:rPr>
              <w:t>n</w:t>
            </w:r>
            <w:r w:rsidR="008736B3" w:rsidRPr="002C310E">
              <w:rPr>
                <w:rFonts w:cstheme="minorHAnsi"/>
                <w:i/>
                <w:sz w:val="24"/>
                <w:szCs w:val="24"/>
              </w:rPr>
              <w:t>edoložila nezbytnost navýšení</w:t>
            </w:r>
            <w:r w:rsidR="00F4221F">
              <w:rPr>
                <w:rFonts w:cstheme="minorHAnsi"/>
                <w:i/>
                <w:sz w:val="24"/>
                <w:szCs w:val="24"/>
              </w:rPr>
              <w:t xml:space="preserve"> existující</w:t>
            </w:r>
            <w:r w:rsidR="008736B3" w:rsidRPr="002C310E">
              <w:rPr>
                <w:rFonts w:cstheme="minorHAnsi"/>
                <w:i/>
                <w:sz w:val="24"/>
                <w:szCs w:val="24"/>
              </w:rPr>
              <w:t xml:space="preserve"> </w:t>
            </w:r>
            <w:r w:rsidRPr="002C310E">
              <w:rPr>
                <w:rFonts w:cstheme="minorHAnsi"/>
                <w:i/>
                <w:sz w:val="24"/>
                <w:szCs w:val="24"/>
              </w:rPr>
              <w:t xml:space="preserve">ubytovací </w:t>
            </w:r>
            <w:r w:rsidR="008736B3" w:rsidRPr="002C310E">
              <w:rPr>
                <w:rFonts w:cstheme="minorHAnsi"/>
                <w:i/>
                <w:sz w:val="24"/>
                <w:szCs w:val="24"/>
              </w:rPr>
              <w:t>kapacity</w:t>
            </w:r>
            <w:r w:rsidR="00140C15" w:rsidRPr="002C310E">
              <w:rPr>
                <w:rFonts w:cstheme="minorHAnsi"/>
                <w:i/>
                <w:sz w:val="24"/>
                <w:szCs w:val="24"/>
              </w:rPr>
              <w:t xml:space="preserve">, neboť </w:t>
            </w:r>
            <w:r w:rsidR="00C47FEA" w:rsidRPr="002C310E">
              <w:rPr>
                <w:rFonts w:cstheme="minorHAnsi"/>
                <w:i/>
                <w:sz w:val="24"/>
                <w:szCs w:val="24"/>
              </w:rPr>
              <w:t xml:space="preserve">ta </w:t>
            </w:r>
            <w:r w:rsidR="00140C15" w:rsidRPr="002C310E">
              <w:rPr>
                <w:rFonts w:cstheme="minorHAnsi"/>
                <w:i/>
                <w:sz w:val="24"/>
                <w:szCs w:val="24"/>
              </w:rPr>
              <w:t xml:space="preserve">byla v době podání žádosti o podporu využita nejvýše z 68 %. Projekt byl ze strany MV </w:t>
            </w:r>
            <w:r w:rsidR="00C47FEA" w:rsidRPr="002C310E">
              <w:rPr>
                <w:rFonts w:cstheme="minorHAnsi"/>
                <w:i/>
                <w:sz w:val="24"/>
                <w:szCs w:val="24"/>
              </w:rPr>
              <w:t>i přesto schválen</w:t>
            </w:r>
            <w:r w:rsidR="00140C15" w:rsidRPr="002C310E">
              <w:rPr>
                <w:rFonts w:cstheme="minorHAnsi"/>
                <w:i/>
                <w:sz w:val="24"/>
                <w:szCs w:val="24"/>
              </w:rPr>
              <w:t>. Ani v následujících letech nedosáhl</w:t>
            </w:r>
            <w:r w:rsidR="00295DFC">
              <w:rPr>
                <w:rFonts w:cstheme="minorHAnsi"/>
                <w:i/>
                <w:sz w:val="24"/>
                <w:szCs w:val="24"/>
              </w:rPr>
              <w:t>o využití</w:t>
            </w:r>
            <w:r w:rsidR="00140C15" w:rsidRPr="002C310E">
              <w:rPr>
                <w:rFonts w:cstheme="minorHAnsi"/>
                <w:i/>
                <w:sz w:val="24"/>
                <w:szCs w:val="24"/>
              </w:rPr>
              <w:t xml:space="preserve"> kapacit</w:t>
            </w:r>
            <w:r w:rsidR="00295DFC">
              <w:rPr>
                <w:rFonts w:cstheme="minorHAnsi"/>
                <w:i/>
                <w:sz w:val="24"/>
                <w:szCs w:val="24"/>
              </w:rPr>
              <w:t>y</w:t>
            </w:r>
            <w:r w:rsidR="00C47FEA" w:rsidRPr="002C310E">
              <w:rPr>
                <w:rFonts w:cstheme="minorHAnsi"/>
                <w:i/>
                <w:sz w:val="24"/>
                <w:szCs w:val="24"/>
              </w:rPr>
              <w:t xml:space="preserve"> zařízení </w:t>
            </w:r>
            <w:r w:rsidR="00140C15" w:rsidRPr="002C310E">
              <w:rPr>
                <w:rFonts w:cstheme="minorHAnsi"/>
                <w:i/>
                <w:sz w:val="24"/>
                <w:szCs w:val="24"/>
              </w:rPr>
              <w:t>více než 82 %, naopak se pohyboval</w:t>
            </w:r>
            <w:r w:rsidR="00295DFC">
              <w:rPr>
                <w:rFonts w:cstheme="minorHAnsi"/>
                <w:i/>
                <w:sz w:val="24"/>
                <w:szCs w:val="24"/>
              </w:rPr>
              <w:t>o</w:t>
            </w:r>
            <w:r w:rsidR="00140C15" w:rsidRPr="002C310E">
              <w:rPr>
                <w:rFonts w:cstheme="minorHAnsi"/>
                <w:i/>
                <w:sz w:val="24"/>
                <w:szCs w:val="24"/>
              </w:rPr>
              <w:t xml:space="preserve"> </w:t>
            </w:r>
            <w:r w:rsidR="00F4221F">
              <w:rPr>
                <w:rFonts w:cstheme="minorHAnsi"/>
                <w:i/>
                <w:sz w:val="24"/>
                <w:szCs w:val="24"/>
              </w:rPr>
              <w:t>většinou</w:t>
            </w:r>
            <w:r w:rsidR="00140C15" w:rsidRPr="002C310E">
              <w:rPr>
                <w:rFonts w:cstheme="minorHAnsi"/>
                <w:i/>
                <w:sz w:val="24"/>
                <w:szCs w:val="24"/>
              </w:rPr>
              <w:t xml:space="preserve"> okolo</w:t>
            </w:r>
            <w:r w:rsidRPr="002C310E">
              <w:rPr>
                <w:rFonts w:cstheme="minorHAnsi"/>
                <w:i/>
                <w:sz w:val="24"/>
                <w:szCs w:val="24"/>
              </w:rPr>
              <w:t xml:space="preserve"> 50 %.</w:t>
            </w:r>
            <w:r w:rsidR="003B4D7B" w:rsidRPr="002C310E">
              <w:rPr>
                <w:rFonts w:cstheme="minorHAnsi"/>
                <w:i/>
                <w:sz w:val="24"/>
                <w:szCs w:val="24"/>
              </w:rPr>
              <w:t xml:space="preserve"> NKÚ dále zjistil, že v kontrolovaném období nebylo žádné z</w:t>
            </w:r>
            <w:r w:rsidR="000520D8" w:rsidRPr="002C310E">
              <w:rPr>
                <w:rFonts w:cstheme="minorHAnsi"/>
                <w:i/>
                <w:sz w:val="24"/>
                <w:szCs w:val="24"/>
              </w:rPr>
              <w:t xml:space="preserve">e </w:t>
            </w:r>
            <w:r w:rsidR="003B4D7B" w:rsidRPr="002C310E">
              <w:rPr>
                <w:rFonts w:cstheme="minorHAnsi"/>
                <w:i/>
                <w:sz w:val="24"/>
                <w:szCs w:val="24"/>
              </w:rPr>
              <w:t>zařízení provozovaných SUZ MV plně kapacitně vytíženo či přetíženo.</w:t>
            </w:r>
          </w:p>
          <w:p w14:paraId="18160095" w14:textId="4F19F9F6" w:rsidR="002A01E0" w:rsidRPr="002C310E" w:rsidRDefault="00F04DCF" w:rsidP="00733FC4">
            <w:pPr>
              <w:jc w:val="both"/>
              <w:rPr>
                <w:rFonts w:cstheme="minorHAnsi"/>
                <w:i/>
                <w:sz w:val="24"/>
                <w:szCs w:val="24"/>
              </w:rPr>
            </w:pPr>
            <w:r w:rsidRPr="002C310E">
              <w:rPr>
                <w:rFonts w:cstheme="minorHAnsi"/>
                <w:i/>
                <w:sz w:val="24"/>
                <w:szCs w:val="24"/>
              </w:rPr>
              <w:t xml:space="preserve">NKÚ </w:t>
            </w:r>
            <w:r w:rsidR="00C47FEA" w:rsidRPr="002C310E">
              <w:rPr>
                <w:rFonts w:cstheme="minorHAnsi"/>
                <w:i/>
                <w:sz w:val="24"/>
                <w:szCs w:val="24"/>
              </w:rPr>
              <w:t>také</w:t>
            </w:r>
            <w:r w:rsidRPr="002C310E">
              <w:rPr>
                <w:rFonts w:cstheme="minorHAnsi"/>
                <w:i/>
                <w:sz w:val="24"/>
                <w:szCs w:val="24"/>
              </w:rPr>
              <w:t xml:space="preserve"> zjistil, že SUZ MV </w:t>
            </w:r>
            <w:r w:rsidR="003B046E" w:rsidRPr="002C310E">
              <w:rPr>
                <w:rFonts w:cstheme="minorHAnsi"/>
                <w:i/>
                <w:sz w:val="24"/>
                <w:szCs w:val="24"/>
              </w:rPr>
              <w:t>ne</w:t>
            </w:r>
            <w:r w:rsidRPr="002C310E">
              <w:rPr>
                <w:rFonts w:cstheme="minorHAnsi"/>
                <w:i/>
                <w:sz w:val="24"/>
                <w:szCs w:val="24"/>
              </w:rPr>
              <w:t>provedla dostatečn</w:t>
            </w:r>
            <w:r w:rsidR="003B046E" w:rsidRPr="002C310E">
              <w:rPr>
                <w:rFonts w:cstheme="minorHAnsi"/>
                <w:i/>
                <w:sz w:val="24"/>
                <w:szCs w:val="24"/>
              </w:rPr>
              <w:t>ě</w:t>
            </w:r>
            <w:r w:rsidRPr="002C310E">
              <w:rPr>
                <w:rFonts w:cstheme="minorHAnsi"/>
                <w:i/>
                <w:sz w:val="24"/>
                <w:szCs w:val="24"/>
              </w:rPr>
              <w:t xml:space="preserve"> přípravu projektu a </w:t>
            </w:r>
            <w:r w:rsidR="00C47FEA" w:rsidRPr="002C310E">
              <w:rPr>
                <w:rFonts w:cstheme="minorHAnsi"/>
                <w:i/>
                <w:sz w:val="24"/>
                <w:szCs w:val="24"/>
              </w:rPr>
              <w:t xml:space="preserve">podhodnotila </w:t>
            </w:r>
            <w:r w:rsidR="003B046E" w:rsidRPr="002C310E">
              <w:rPr>
                <w:rFonts w:cstheme="minorHAnsi"/>
                <w:i/>
                <w:sz w:val="24"/>
                <w:szCs w:val="24"/>
              </w:rPr>
              <w:t xml:space="preserve">odhad předpokládaných nákladů na rekonstrukci. </w:t>
            </w:r>
            <w:r w:rsidRPr="002C310E">
              <w:rPr>
                <w:rFonts w:cstheme="minorHAnsi"/>
                <w:i/>
                <w:sz w:val="24"/>
                <w:szCs w:val="24"/>
              </w:rPr>
              <w:t xml:space="preserve">V důsledku </w:t>
            </w:r>
            <w:r w:rsidR="003B046E" w:rsidRPr="002C310E">
              <w:rPr>
                <w:rFonts w:cstheme="minorHAnsi"/>
                <w:i/>
                <w:sz w:val="24"/>
                <w:szCs w:val="24"/>
              </w:rPr>
              <w:t>toho byla SUZ MV v </w:t>
            </w:r>
            <w:r w:rsidRPr="002C310E">
              <w:rPr>
                <w:rFonts w:cstheme="minorHAnsi"/>
                <w:i/>
                <w:sz w:val="24"/>
                <w:szCs w:val="24"/>
              </w:rPr>
              <w:t>průběhu realizace projektu nucena podat žádost o podstatnou změnu projektu</w:t>
            </w:r>
            <w:r w:rsidR="00BA1CE0" w:rsidRPr="002C310E">
              <w:rPr>
                <w:rFonts w:cstheme="minorHAnsi"/>
                <w:i/>
                <w:sz w:val="24"/>
                <w:szCs w:val="24"/>
              </w:rPr>
              <w:t xml:space="preserve"> a </w:t>
            </w:r>
            <w:r w:rsidRPr="002C310E">
              <w:rPr>
                <w:rFonts w:cstheme="minorHAnsi"/>
                <w:i/>
                <w:sz w:val="24"/>
                <w:szCs w:val="24"/>
              </w:rPr>
              <w:t>navýš</w:t>
            </w:r>
            <w:r w:rsidR="00C47FEA" w:rsidRPr="002C310E">
              <w:rPr>
                <w:rFonts w:cstheme="minorHAnsi"/>
                <w:i/>
                <w:sz w:val="24"/>
                <w:szCs w:val="24"/>
              </w:rPr>
              <w:t>it náklady</w:t>
            </w:r>
            <w:r w:rsidRPr="002C310E">
              <w:rPr>
                <w:rFonts w:cstheme="minorHAnsi"/>
                <w:i/>
                <w:sz w:val="24"/>
                <w:szCs w:val="24"/>
              </w:rPr>
              <w:t xml:space="preserve"> </w:t>
            </w:r>
            <w:r w:rsidR="00BA1CE0" w:rsidRPr="002C310E">
              <w:rPr>
                <w:rFonts w:cstheme="minorHAnsi"/>
                <w:i/>
                <w:sz w:val="24"/>
                <w:szCs w:val="24"/>
              </w:rPr>
              <w:t xml:space="preserve">na </w:t>
            </w:r>
            <w:r w:rsidRPr="002C310E">
              <w:rPr>
                <w:rFonts w:cstheme="minorHAnsi"/>
                <w:i/>
                <w:sz w:val="24"/>
                <w:szCs w:val="24"/>
              </w:rPr>
              <w:t xml:space="preserve">projekt </w:t>
            </w:r>
            <w:r w:rsidR="00BA1CE0" w:rsidRPr="002C310E">
              <w:rPr>
                <w:rFonts w:cstheme="minorHAnsi"/>
                <w:i/>
                <w:sz w:val="24"/>
                <w:szCs w:val="24"/>
              </w:rPr>
              <w:t>z</w:t>
            </w:r>
            <w:r w:rsidR="003B4D7B" w:rsidRPr="002C310E">
              <w:rPr>
                <w:rFonts w:cstheme="minorHAnsi"/>
                <w:i/>
                <w:sz w:val="24"/>
                <w:szCs w:val="24"/>
              </w:rPr>
              <w:t> </w:t>
            </w:r>
            <w:r w:rsidR="00BA1CE0" w:rsidRPr="002C310E">
              <w:rPr>
                <w:rFonts w:cstheme="minorHAnsi"/>
                <w:i/>
                <w:sz w:val="24"/>
                <w:szCs w:val="24"/>
              </w:rPr>
              <w:t>38</w:t>
            </w:r>
            <w:r w:rsidR="003B4D7B" w:rsidRPr="002C310E">
              <w:rPr>
                <w:rFonts w:cstheme="minorHAnsi"/>
                <w:i/>
                <w:sz w:val="24"/>
                <w:szCs w:val="24"/>
              </w:rPr>
              <w:t xml:space="preserve">,0 </w:t>
            </w:r>
            <w:r w:rsidR="00BA1CE0" w:rsidRPr="002C310E">
              <w:rPr>
                <w:rFonts w:cstheme="minorHAnsi"/>
                <w:i/>
                <w:sz w:val="24"/>
                <w:szCs w:val="24"/>
              </w:rPr>
              <w:t>na 84,7 mil. Kč, tj. o</w:t>
            </w:r>
            <w:r w:rsidRPr="002C310E">
              <w:rPr>
                <w:rFonts w:cstheme="minorHAnsi"/>
                <w:i/>
                <w:sz w:val="24"/>
                <w:szCs w:val="24"/>
              </w:rPr>
              <w:t xml:space="preserve"> 12</w:t>
            </w:r>
            <w:r w:rsidR="00B457A0" w:rsidRPr="002C310E">
              <w:rPr>
                <w:rFonts w:cstheme="minorHAnsi"/>
                <w:i/>
                <w:sz w:val="24"/>
                <w:szCs w:val="24"/>
              </w:rPr>
              <w:t>3</w:t>
            </w:r>
            <w:r w:rsidRPr="002C310E">
              <w:rPr>
                <w:rFonts w:cstheme="minorHAnsi"/>
                <w:i/>
                <w:sz w:val="24"/>
                <w:szCs w:val="24"/>
              </w:rPr>
              <w:t xml:space="preserve"> %</w:t>
            </w:r>
            <w:r w:rsidR="003B046E" w:rsidRPr="002C310E">
              <w:rPr>
                <w:rFonts w:cstheme="minorHAnsi"/>
                <w:i/>
                <w:sz w:val="24"/>
                <w:szCs w:val="24"/>
              </w:rPr>
              <w:t xml:space="preserve"> </w:t>
            </w:r>
            <w:r w:rsidR="00BA1CE0" w:rsidRPr="002C310E">
              <w:rPr>
                <w:rFonts w:cstheme="minorHAnsi"/>
                <w:i/>
                <w:sz w:val="24"/>
                <w:szCs w:val="24"/>
              </w:rPr>
              <w:t xml:space="preserve">(u rekonstrukce </w:t>
            </w:r>
            <w:r w:rsidR="00D54A0E" w:rsidRPr="002C310E">
              <w:rPr>
                <w:rFonts w:cstheme="minorHAnsi"/>
                <w:i/>
                <w:sz w:val="24"/>
                <w:szCs w:val="24"/>
              </w:rPr>
              <w:t xml:space="preserve">stavby </w:t>
            </w:r>
            <w:r w:rsidR="00BA1CE0" w:rsidRPr="002C310E">
              <w:rPr>
                <w:rFonts w:cstheme="minorHAnsi"/>
                <w:i/>
                <w:sz w:val="24"/>
                <w:szCs w:val="24"/>
              </w:rPr>
              <w:t xml:space="preserve">dokonce </w:t>
            </w:r>
            <w:r w:rsidR="00D54A0E" w:rsidRPr="002C310E">
              <w:rPr>
                <w:rFonts w:cstheme="minorHAnsi"/>
                <w:i/>
                <w:sz w:val="24"/>
                <w:szCs w:val="24"/>
              </w:rPr>
              <w:t>z 25,9 na 71,8 mil. Kč, tj. o </w:t>
            </w:r>
            <w:r w:rsidR="00BA1CE0" w:rsidRPr="002C310E">
              <w:rPr>
                <w:rFonts w:cstheme="minorHAnsi"/>
                <w:i/>
                <w:sz w:val="24"/>
                <w:szCs w:val="24"/>
              </w:rPr>
              <w:t>177 %)</w:t>
            </w:r>
            <w:r w:rsidRPr="002C310E">
              <w:rPr>
                <w:rFonts w:cstheme="minorHAnsi"/>
                <w:i/>
                <w:sz w:val="24"/>
                <w:szCs w:val="24"/>
              </w:rPr>
              <w:t xml:space="preserve">. </w:t>
            </w:r>
            <w:r w:rsidR="003B046E" w:rsidRPr="002C310E">
              <w:rPr>
                <w:rFonts w:cstheme="minorHAnsi"/>
                <w:i/>
                <w:sz w:val="24"/>
                <w:szCs w:val="24"/>
              </w:rPr>
              <w:t>SUZ MV žádost z</w:t>
            </w:r>
            <w:r w:rsidR="00BA1CE0" w:rsidRPr="002C310E">
              <w:rPr>
                <w:rFonts w:cstheme="minorHAnsi"/>
                <w:i/>
                <w:sz w:val="24"/>
                <w:szCs w:val="24"/>
              </w:rPr>
              <w:t xml:space="preserve">důvodnila </w:t>
            </w:r>
            <w:r w:rsidRPr="002C310E">
              <w:rPr>
                <w:rFonts w:cstheme="minorHAnsi"/>
                <w:i/>
                <w:sz w:val="24"/>
                <w:szCs w:val="24"/>
              </w:rPr>
              <w:t xml:space="preserve">nedostatečnou znalostí stavu pořizovaného objektu a </w:t>
            </w:r>
            <w:r w:rsidR="004F294B" w:rsidRPr="002C310E">
              <w:rPr>
                <w:rFonts w:cstheme="minorHAnsi"/>
                <w:i/>
                <w:sz w:val="24"/>
                <w:szCs w:val="24"/>
              </w:rPr>
              <w:t xml:space="preserve">rovněž </w:t>
            </w:r>
            <w:r w:rsidRPr="002C310E">
              <w:rPr>
                <w:rFonts w:cstheme="minorHAnsi"/>
                <w:i/>
                <w:sz w:val="24"/>
                <w:szCs w:val="24"/>
              </w:rPr>
              <w:t>ne</w:t>
            </w:r>
            <w:r w:rsidR="003B046E" w:rsidRPr="002C310E">
              <w:rPr>
                <w:rFonts w:cstheme="minorHAnsi"/>
                <w:i/>
                <w:sz w:val="24"/>
                <w:szCs w:val="24"/>
              </w:rPr>
              <w:t xml:space="preserve">předpokládaným </w:t>
            </w:r>
            <w:r w:rsidRPr="002C310E">
              <w:rPr>
                <w:rFonts w:cstheme="minorHAnsi"/>
                <w:i/>
                <w:sz w:val="24"/>
                <w:szCs w:val="24"/>
              </w:rPr>
              <w:t>nárůstem cen stavebních prací</w:t>
            </w:r>
            <w:r w:rsidR="00BA1CE0" w:rsidRPr="002C310E">
              <w:rPr>
                <w:rFonts w:cstheme="minorHAnsi"/>
                <w:i/>
                <w:sz w:val="24"/>
                <w:szCs w:val="24"/>
              </w:rPr>
              <w:t>, který však nedoložila</w:t>
            </w:r>
            <w:r w:rsidR="003B046E" w:rsidRPr="002C310E">
              <w:rPr>
                <w:rFonts w:cstheme="minorHAnsi"/>
                <w:i/>
                <w:sz w:val="24"/>
                <w:szCs w:val="24"/>
              </w:rPr>
              <w:t xml:space="preserve">. </w:t>
            </w:r>
            <w:r w:rsidRPr="002C310E">
              <w:rPr>
                <w:rFonts w:cstheme="minorHAnsi"/>
                <w:i/>
                <w:sz w:val="24"/>
                <w:szCs w:val="24"/>
              </w:rPr>
              <w:t>MV žádosti vyhovělo a rozpočet projekt</w:t>
            </w:r>
            <w:r w:rsidR="00D54A0E" w:rsidRPr="002C310E">
              <w:rPr>
                <w:rFonts w:cstheme="minorHAnsi"/>
                <w:i/>
                <w:sz w:val="24"/>
                <w:szCs w:val="24"/>
              </w:rPr>
              <w:t>u n</w:t>
            </w:r>
            <w:r w:rsidRPr="002C310E">
              <w:rPr>
                <w:rFonts w:cstheme="minorHAnsi"/>
                <w:i/>
                <w:sz w:val="24"/>
                <w:szCs w:val="24"/>
              </w:rPr>
              <w:t xml:space="preserve">avýšilo. </w:t>
            </w:r>
            <w:r w:rsidR="00D54A0E" w:rsidRPr="002C310E">
              <w:rPr>
                <w:rFonts w:cstheme="minorHAnsi"/>
                <w:i/>
                <w:sz w:val="24"/>
                <w:szCs w:val="24"/>
              </w:rPr>
              <w:t>N</w:t>
            </w:r>
            <w:r w:rsidRPr="002C310E">
              <w:rPr>
                <w:rFonts w:cstheme="minorHAnsi"/>
                <w:i/>
                <w:sz w:val="24"/>
                <w:szCs w:val="24"/>
              </w:rPr>
              <w:t xml:space="preserve">áklady na </w:t>
            </w:r>
            <w:r w:rsidR="00290CF6">
              <w:rPr>
                <w:rFonts w:cstheme="minorHAnsi"/>
                <w:i/>
                <w:sz w:val="24"/>
                <w:szCs w:val="24"/>
              </w:rPr>
              <w:t>rekonstrukci</w:t>
            </w:r>
            <w:r w:rsidRPr="002C310E">
              <w:rPr>
                <w:rFonts w:cstheme="minorHAnsi"/>
                <w:i/>
                <w:sz w:val="24"/>
                <w:szCs w:val="24"/>
              </w:rPr>
              <w:t xml:space="preserve"> </w:t>
            </w:r>
            <w:r w:rsidR="00290CF6">
              <w:rPr>
                <w:rFonts w:cstheme="minorHAnsi"/>
                <w:i/>
                <w:sz w:val="24"/>
                <w:szCs w:val="24"/>
              </w:rPr>
              <w:t xml:space="preserve">stavby </w:t>
            </w:r>
            <w:r w:rsidR="00BA1CE0" w:rsidRPr="002C310E">
              <w:rPr>
                <w:rFonts w:cstheme="minorHAnsi"/>
                <w:i/>
                <w:sz w:val="24"/>
                <w:szCs w:val="24"/>
              </w:rPr>
              <w:t>se</w:t>
            </w:r>
            <w:r w:rsidRPr="002C310E">
              <w:rPr>
                <w:rFonts w:cstheme="minorHAnsi"/>
                <w:i/>
                <w:sz w:val="24"/>
                <w:szCs w:val="24"/>
              </w:rPr>
              <w:t xml:space="preserve"> po v</w:t>
            </w:r>
            <w:r w:rsidR="00BA1CE0" w:rsidRPr="002C310E">
              <w:rPr>
                <w:rFonts w:cstheme="minorHAnsi"/>
                <w:i/>
                <w:sz w:val="24"/>
                <w:szCs w:val="24"/>
              </w:rPr>
              <w:t xml:space="preserve">ýběru zhotovitele </w:t>
            </w:r>
            <w:r w:rsidR="004F294B" w:rsidRPr="002C310E">
              <w:rPr>
                <w:rFonts w:cstheme="minorHAnsi"/>
                <w:i/>
                <w:sz w:val="24"/>
                <w:szCs w:val="24"/>
              </w:rPr>
              <w:t>a </w:t>
            </w:r>
            <w:r w:rsidR="00BA1CE0" w:rsidRPr="002C310E">
              <w:rPr>
                <w:rFonts w:cstheme="minorHAnsi"/>
                <w:i/>
                <w:sz w:val="24"/>
                <w:szCs w:val="24"/>
              </w:rPr>
              <w:t xml:space="preserve">zahájení realizace </w:t>
            </w:r>
            <w:r w:rsidRPr="002C310E">
              <w:rPr>
                <w:rFonts w:cstheme="minorHAnsi"/>
                <w:i/>
                <w:sz w:val="24"/>
                <w:szCs w:val="24"/>
              </w:rPr>
              <w:t>snížily</w:t>
            </w:r>
            <w:r w:rsidR="00BA1CE0" w:rsidRPr="002C310E">
              <w:rPr>
                <w:rFonts w:cstheme="minorHAnsi"/>
                <w:i/>
                <w:sz w:val="24"/>
                <w:szCs w:val="24"/>
              </w:rPr>
              <w:t xml:space="preserve"> na 56,8 </w:t>
            </w:r>
            <w:r w:rsidR="00D54A0E" w:rsidRPr="002C310E">
              <w:rPr>
                <w:rFonts w:cstheme="minorHAnsi"/>
                <w:i/>
                <w:sz w:val="24"/>
                <w:szCs w:val="24"/>
              </w:rPr>
              <w:t xml:space="preserve">mil. </w:t>
            </w:r>
            <w:r w:rsidR="00BA1CE0" w:rsidRPr="002C310E">
              <w:rPr>
                <w:rFonts w:cstheme="minorHAnsi"/>
                <w:i/>
                <w:sz w:val="24"/>
                <w:szCs w:val="24"/>
              </w:rPr>
              <w:t>Kč</w:t>
            </w:r>
            <w:r w:rsidR="00E00543" w:rsidRPr="002C310E">
              <w:rPr>
                <w:rFonts w:cstheme="minorHAnsi"/>
                <w:i/>
                <w:sz w:val="24"/>
                <w:szCs w:val="24"/>
              </w:rPr>
              <w:t xml:space="preserve">, což je přesto o </w:t>
            </w:r>
            <w:r w:rsidR="00290CF6">
              <w:rPr>
                <w:rFonts w:cstheme="minorHAnsi"/>
                <w:i/>
                <w:sz w:val="24"/>
                <w:szCs w:val="24"/>
              </w:rPr>
              <w:t>11</w:t>
            </w:r>
            <w:r w:rsidR="00153578" w:rsidRPr="002C310E">
              <w:rPr>
                <w:rFonts w:cstheme="minorHAnsi"/>
                <w:i/>
                <w:sz w:val="24"/>
                <w:szCs w:val="24"/>
              </w:rPr>
              <w:t>9</w:t>
            </w:r>
            <w:r w:rsidR="00E00543" w:rsidRPr="002C310E">
              <w:rPr>
                <w:rFonts w:cstheme="minorHAnsi"/>
                <w:i/>
                <w:sz w:val="24"/>
                <w:szCs w:val="24"/>
              </w:rPr>
              <w:t xml:space="preserve"> % více</w:t>
            </w:r>
            <w:r w:rsidR="00AD6B0A">
              <w:rPr>
                <w:rFonts w:cstheme="minorHAnsi"/>
                <w:i/>
                <w:sz w:val="24"/>
                <w:szCs w:val="24"/>
              </w:rPr>
              <w:t>,</w:t>
            </w:r>
            <w:r w:rsidR="00E00543" w:rsidRPr="002C310E">
              <w:rPr>
                <w:rFonts w:cstheme="minorHAnsi"/>
                <w:i/>
                <w:sz w:val="24"/>
                <w:szCs w:val="24"/>
              </w:rPr>
              <w:t xml:space="preserve"> než byl</w:t>
            </w:r>
            <w:r w:rsidR="00F34414" w:rsidRPr="002C310E">
              <w:rPr>
                <w:rFonts w:cstheme="minorHAnsi"/>
                <w:i/>
                <w:sz w:val="24"/>
                <w:szCs w:val="24"/>
              </w:rPr>
              <w:t xml:space="preserve"> </w:t>
            </w:r>
            <w:r w:rsidR="00E00543" w:rsidRPr="002C310E">
              <w:rPr>
                <w:rFonts w:cstheme="minorHAnsi"/>
                <w:i/>
                <w:sz w:val="24"/>
                <w:szCs w:val="24"/>
              </w:rPr>
              <w:t xml:space="preserve">původní </w:t>
            </w:r>
            <w:r w:rsidR="001C75CC">
              <w:rPr>
                <w:rFonts w:cstheme="minorHAnsi"/>
                <w:i/>
                <w:sz w:val="24"/>
                <w:szCs w:val="24"/>
              </w:rPr>
              <w:t>předpoklad</w:t>
            </w:r>
            <w:r w:rsidR="0069736C">
              <w:rPr>
                <w:rFonts w:cstheme="minorHAnsi"/>
                <w:i/>
                <w:sz w:val="24"/>
                <w:szCs w:val="24"/>
              </w:rPr>
              <w:t>.</w:t>
            </w:r>
          </w:p>
          <w:p w14:paraId="1F210A74" w14:textId="77777777" w:rsidR="00944941" w:rsidRPr="002C310E" w:rsidRDefault="00F04DCF" w:rsidP="00280A93">
            <w:pPr>
              <w:jc w:val="both"/>
              <w:rPr>
                <w:rFonts w:cstheme="minorHAnsi"/>
                <w:i/>
                <w:sz w:val="24"/>
                <w:szCs w:val="24"/>
              </w:rPr>
            </w:pPr>
            <w:r w:rsidRPr="002C310E">
              <w:rPr>
                <w:rFonts w:cstheme="minorHAnsi"/>
                <w:i/>
                <w:sz w:val="24"/>
                <w:szCs w:val="24"/>
              </w:rPr>
              <w:t>N</w:t>
            </w:r>
            <w:r w:rsidR="003B046E" w:rsidRPr="002C310E">
              <w:rPr>
                <w:rFonts w:cstheme="minorHAnsi"/>
                <w:i/>
                <w:sz w:val="24"/>
                <w:szCs w:val="24"/>
              </w:rPr>
              <w:t>KÚ</w:t>
            </w:r>
            <w:r w:rsidR="002A01E0" w:rsidRPr="002C310E">
              <w:rPr>
                <w:rFonts w:cstheme="minorHAnsi"/>
                <w:i/>
                <w:sz w:val="24"/>
                <w:szCs w:val="24"/>
              </w:rPr>
              <w:t xml:space="preserve"> </w:t>
            </w:r>
            <w:r w:rsidR="00D54A0E" w:rsidRPr="002C310E">
              <w:rPr>
                <w:rFonts w:cstheme="minorHAnsi"/>
                <w:i/>
                <w:sz w:val="24"/>
                <w:szCs w:val="24"/>
              </w:rPr>
              <w:t>z výše uvedených důvodů</w:t>
            </w:r>
            <w:r w:rsidR="004F294B" w:rsidRPr="002C310E">
              <w:rPr>
                <w:rFonts w:cstheme="minorHAnsi"/>
                <w:i/>
                <w:sz w:val="24"/>
                <w:szCs w:val="24"/>
              </w:rPr>
              <w:t xml:space="preserve"> </w:t>
            </w:r>
            <w:r w:rsidR="003B046E" w:rsidRPr="002C310E">
              <w:rPr>
                <w:rFonts w:cstheme="minorHAnsi"/>
                <w:i/>
                <w:sz w:val="24"/>
                <w:szCs w:val="24"/>
              </w:rPr>
              <w:t xml:space="preserve">vyhodnotil projekt </w:t>
            </w:r>
            <w:r w:rsidRPr="002C310E">
              <w:rPr>
                <w:rFonts w:cstheme="minorHAnsi"/>
                <w:i/>
                <w:sz w:val="24"/>
                <w:szCs w:val="24"/>
              </w:rPr>
              <w:t xml:space="preserve">jako omezeně </w:t>
            </w:r>
            <w:r w:rsidR="002A01E0" w:rsidRPr="002C310E">
              <w:rPr>
                <w:rFonts w:cstheme="minorHAnsi"/>
                <w:i/>
                <w:sz w:val="24"/>
                <w:szCs w:val="24"/>
              </w:rPr>
              <w:t xml:space="preserve">účelný </w:t>
            </w:r>
            <w:r w:rsidR="004F294B" w:rsidRPr="002C310E">
              <w:rPr>
                <w:rFonts w:cstheme="minorHAnsi"/>
                <w:i/>
                <w:sz w:val="24"/>
                <w:szCs w:val="24"/>
              </w:rPr>
              <w:t>a zároveň</w:t>
            </w:r>
            <w:r w:rsidR="002A01E0" w:rsidRPr="002C310E">
              <w:rPr>
                <w:rFonts w:cstheme="minorHAnsi"/>
                <w:i/>
                <w:sz w:val="24"/>
                <w:szCs w:val="24"/>
              </w:rPr>
              <w:t xml:space="preserve"> omezeně </w:t>
            </w:r>
            <w:r w:rsidRPr="002C310E">
              <w:rPr>
                <w:rFonts w:cstheme="minorHAnsi"/>
                <w:i/>
                <w:sz w:val="24"/>
                <w:szCs w:val="24"/>
              </w:rPr>
              <w:t>efektivní</w:t>
            </w:r>
            <w:r w:rsidR="00173F70" w:rsidRPr="002C310E">
              <w:rPr>
                <w:rFonts w:cstheme="minorHAnsi"/>
                <w:i/>
                <w:sz w:val="24"/>
                <w:szCs w:val="24"/>
              </w:rPr>
              <w:t xml:space="preserve">, a </w:t>
            </w:r>
            <w:r w:rsidR="00E46B4A" w:rsidRPr="002C310E">
              <w:rPr>
                <w:rFonts w:cstheme="minorHAnsi"/>
                <w:i/>
                <w:sz w:val="24"/>
                <w:szCs w:val="24"/>
              </w:rPr>
              <w:t>to</w:t>
            </w:r>
            <w:r w:rsidR="00173F70" w:rsidRPr="002C310E">
              <w:rPr>
                <w:rFonts w:cstheme="minorHAnsi"/>
                <w:i/>
                <w:sz w:val="24"/>
                <w:szCs w:val="24"/>
              </w:rPr>
              <w:t xml:space="preserve"> jak v</w:t>
            </w:r>
            <w:r w:rsidR="00416071" w:rsidRPr="002C310E">
              <w:rPr>
                <w:rFonts w:cstheme="minorHAnsi"/>
                <w:i/>
                <w:sz w:val="24"/>
                <w:szCs w:val="24"/>
              </w:rPr>
              <w:t>z</w:t>
            </w:r>
            <w:r w:rsidR="00173F70" w:rsidRPr="002C310E">
              <w:rPr>
                <w:rFonts w:cstheme="minorHAnsi"/>
                <w:i/>
                <w:sz w:val="24"/>
                <w:szCs w:val="24"/>
              </w:rPr>
              <w:t xml:space="preserve">hledem k nedoložení potřeby takto navýšit ubytovací kapacitu, tak </w:t>
            </w:r>
            <w:r w:rsidR="007B395A" w:rsidRPr="002C310E">
              <w:rPr>
                <w:rFonts w:cstheme="minorHAnsi"/>
                <w:i/>
                <w:sz w:val="24"/>
                <w:szCs w:val="24"/>
              </w:rPr>
              <w:t xml:space="preserve">kvůli </w:t>
            </w:r>
            <w:r w:rsidR="00173F70" w:rsidRPr="002C310E">
              <w:rPr>
                <w:rFonts w:cstheme="minorHAnsi"/>
                <w:i/>
                <w:sz w:val="24"/>
                <w:szCs w:val="24"/>
              </w:rPr>
              <w:t>nedostatkům při přípravě projektu</w:t>
            </w:r>
            <w:r w:rsidRPr="002C310E">
              <w:rPr>
                <w:rFonts w:cstheme="minorHAnsi"/>
                <w:i/>
                <w:sz w:val="24"/>
                <w:szCs w:val="24"/>
              </w:rPr>
              <w:t>.</w:t>
            </w:r>
            <w:r w:rsidR="005126CB" w:rsidRPr="002C310E">
              <w:rPr>
                <w:rFonts w:cstheme="minorHAnsi"/>
                <w:i/>
                <w:sz w:val="24"/>
                <w:szCs w:val="24"/>
              </w:rPr>
              <w:t xml:space="preserve">  </w:t>
            </w:r>
          </w:p>
        </w:tc>
      </w:tr>
    </w:tbl>
    <w:p w14:paraId="3B79AC6B" w14:textId="77777777" w:rsidR="007052C3" w:rsidRPr="002C310E" w:rsidRDefault="00F04DCF" w:rsidP="00733FC4">
      <w:pPr>
        <w:spacing w:before="120" w:after="0" w:line="240" w:lineRule="auto"/>
        <w:jc w:val="both"/>
        <w:rPr>
          <w:rFonts w:cstheme="minorHAnsi"/>
          <w:b/>
          <w:color w:val="C00000"/>
          <w:sz w:val="24"/>
          <w:szCs w:val="24"/>
        </w:rPr>
      </w:pPr>
      <w:r w:rsidRPr="002C310E">
        <w:rPr>
          <w:rFonts w:cstheme="minorHAnsi"/>
          <w:b/>
          <w:color w:val="C00000"/>
          <w:sz w:val="24"/>
          <w:szCs w:val="24"/>
        </w:rPr>
        <w:t>→ MV s</w:t>
      </w:r>
      <w:r w:rsidR="00D54A0E" w:rsidRPr="002C310E">
        <w:rPr>
          <w:rFonts w:cstheme="minorHAnsi"/>
          <w:b/>
          <w:color w:val="C00000"/>
          <w:sz w:val="24"/>
          <w:szCs w:val="24"/>
        </w:rPr>
        <w:t xml:space="preserve">chvalovalo monitorovací zprávy příjemců pozdě, </w:t>
      </w:r>
      <w:r w:rsidRPr="002C310E">
        <w:rPr>
          <w:rFonts w:cstheme="minorHAnsi"/>
          <w:b/>
          <w:color w:val="C00000"/>
          <w:sz w:val="24"/>
          <w:szCs w:val="24"/>
        </w:rPr>
        <w:t>což vedlo ke zpoždění v čerpání peněžních prostředků.</w:t>
      </w:r>
    </w:p>
    <w:p w14:paraId="45D86155" w14:textId="4614627C" w:rsidR="002E0D6E" w:rsidRPr="002C310E" w:rsidRDefault="00F04DCF" w:rsidP="00005D73">
      <w:pPr>
        <w:spacing w:before="120" w:after="120" w:line="240" w:lineRule="auto"/>
        <w:jc w:val="both"/>
        <w:rPr>
          <w:rFonts w:cstheme="minorHAnsi"/>
          <w:sz w:val="24"/>
          <w:szCs w:val="24"/>
        </w:rPr>
      </w:pPr>
      <w:r w:rsidRPr="00AA65DD">
        <w:rPr>
          <w:rFonts w:cstheme="minorHAnsi"/>
          <w:b/>
          <w:sz w:val="24"/>
          <w:szCs w:val="24"/>
        </w:rPr>
        <w:t>4.3</w:t>
      </w:r>
      <w:r w:rsidR="000B1625" w:rsidRPr="00AA65DD">
        <w:rPr>
          <w:rFonts w:cstheme="minorHAnsi"/>
          <w:b/>
          <w:sz w:val="24"/>
          <w:szCs w:val="24"/>
        </w:rPr>
        <w:t>0</w:t>
      </w:r>
      <w:r w:rsidRPr="002C310E">
        <w:rPr>
          <w:rFonts w:cstheme="minorHAnsi"/>
          <w:sz w:val="24"/>
          <w:szCs w:val="24"/>
        </w:rPr>
        <w:t xml:space="preserve"> NKÚ zjistil, že </w:t>
      </w:r>
      <w:r w:rsidR="006C2E4C" w:rsidRPr="002C310E">
        <w:rPr>
          <w:rFonts w:cstheme="minorHAnsi"/>
          <w:sz w:val="24"/>
          <w:szCs w:val="24"/>
        </w:rPr>
        <w:t>MV s</w:t>
      </w:r>
      <w:r w:rsidRPr="002C310E">
        <w:rPr>
          <w:rFonts w:cstheme="minorHAnsi"/>
          <w:sz w:val="24"/>
          <w:szCs w:val="24"/>
        </w:rPr>
        <w:t xml:space="preserve">chvalovalo monitorovací zprávy v některých případech až v době, kdy měl příjemce předložit již další monitorovací zprávu, čímž se </w:t>
      </w:r>
      <w:r w:rsidR="006C2E4C" w:rsidRPr="002C310E">
        <w:rPr>
          <w:rFonts w:cstheme="minorHAnsi"/>
          <w:sz w:val="24"/>
          <w:szCs w:val="24"/>
        </w:rPr>
        <w:t xml:space="preserve">zpožďovalo </w:t>
      </w:r>
      <w:r w:rsidRPr="002C310E">
        <w:rPr>
          <w:rFonts w:cstheme="minorHAnsi"/>
          <w:sz w:val="24"/>
          <w:szCs w:val="24"/>
        </w:rPr>
        <w:t>čerpání peněžních prostředků</w:t>
      </w:r>
      <w:r w:rsidR="00005D73" w:rsidRPr="002C310E">
        <w:rPr>
          <w:rFonts w:cstheme="minorHAnsi"/>
          <w:sz w:val="24"/>
          <w:szCs w:val="24"/>
        </w:rPr>
        <w:t xml:space="preserve">, neboť další čerpání je podmíněno </w:t>
      </w:r>
      <w:r w:rsidR="001B501C" w:rsidRPr="002C310E">
        <w:rPr>
          <w:rFonts w:cstheme="minorHAnsi"/>
          <w:sz w:val="24"/>
          <w:szCs w:val="24"/>
        </w:rPr>
        <w:t xml:space="preserve">jejím </w:t>
      </w:r>
      <w:r w:rsidR="00005D73" w:rsidRPr="002C310E">
        <w:rPr>
          <w:rFonts w:cstheme="minorHAnsi"/>
          <w:sz w:val="24"/>
          <w:szCs w:val="24"/>
        </w:rPr>
        <w:t>schválením.</w:t>
      </w:r>
      <w:r w:rsidR="00807DF5" w:rsidRPr="002C310E">
        <w:rPr>
          <w:rFonts w:cstheme="minorHAnsi"/>
          <w:sz w:val="24"/>
          <w:szCs w:val="24"/>
        </w:rPr>
        <w:t xml:space="preserve"> </w:t>
      </w:r>
    </w:p>
    <w:p w14:paraId="191AD944" w14:textId="77777777" w:rsidR="006D21B1" w:rsidRPr="00DF79B9" w:rsidRDefault="006A1715" w:rsidP="00733FC4">
      <w:pPr>
        <w:spacing w:after="120" w:line="240" w:lineRule="auto"/>
        <w:jc w:val="both"/>
        <w:rPr>
          <w:rFonts w:cstheme="minorHAnsi"/>
          <w:b/>
          <w:i/>
          <w:color w:val="1F4E79" w:themeColor="accent1" w:themeShade="80"/>
          <w:sz w:val="24"/>
          <w:szCs w:val="24"/>
        </w:rPr>
      </w:pPr>
      <w:r w:rsidRPr="00DF79B9">
        <w:rPr>
          <w:rFonts w:cstheme="minorHAnsi"/>
          <w:b/>
          <w:i/>
          <w:color w:val="1F4E79" w:themeColor="accent1" w:themeShade="80"/>
          <w:sz w:val="24"/>
          <w:szCs w:val="24"/>
        </w:rPr>
        <w:t>Jsou peněžní prostředky</w:t>
      </w:r>
      <w:r w:rsidR="00F04DCF" w:rsidRPr="00DF79B9">
        <w:rPr>
          <w:rFonts w:cstheme="minorHAnsi"/>
          <w:b/>
          <w:i/>
          <w:color w:val="1F4E79" w:themeColor="accent1" w:themeShade="80"/>
          <w:sz w:val="24"/>
          <w:szCs w:val="24"/>
        </w:rPr>
        <w:t xml:space="preserve"> na projekty NP AMIF vynakládány efektivně?</w:t>
      </w:r>
    </w:p>
    <w:p w14:paraId="360DC1F2" w14:textId="1712FE40" w:rsidR="001F78E3" w:rsidRPr="002C310E" w:rsidRDefault="00F04DCF" w:rsidP="001F78E3">
      <w:pPr>
        <w:spacing w:after="120" w:line="240" w:lineRule="auto"/>
        <w:jc w:val="both"/>
        <w:rPr>
          <w:rFonts w:cstheme="minorHAnsi"/>
          <w:bCs/>
          <w:sz w:val="24"/>
          <w:szCs w:val="24"/>
        </w:rPr>
      </w:pPr>
      <w:r w:rsidRPr="00AA65DD">
        <w:rPr>
          <w:rFonts w:cstheme="minorHAnsi"/>
          <w:b/>
          <w:sz w:val="24"/>
          <w:szCs w:val="24"/>
        </w:rPr>
        <w:t>4.3</w:t>
      </w:r>
      <w:r w:rsidR="000B1625" w:rsidRPr="00AA65DD">
        <w:rPr>
          <w:rFonts w:cstheme="minorHAnsi"/>
          <w:b/>
          <w:sz w:val="24"/>
          <w:szCs w:val="24"/>
        </w:rPr>
        <w:t>1</w:t>
      </w:r>
      <w:r w:rsidR="00BA1A4A" w:rsidRPr="002C310E">
        <w:rPr>
          <w:rFonts w:cstheme="minorHAnsi"/>
          <w:sz w:val="24"/>
          <w:szCs w:val="24"/>
        </w:rPr>
        <w:t xml:space="preserve"> </w:t>
      </w:r>
      <w:r w:rsidRPr="002C310E">
        <w:rPr>
          <w:rFonts w:cstheme="minorHAnsi"/>
          <w:sz w:val="24"/>
          <w:szCs w:val="24"/>
        </w:rPr>
        <w:t xml:space="preserve">Hodnocení efektivnosti a hospodárnosti projektů NP AMIF </w:t>
      </w:r>
      <w:r w:rsidR="00295DFC">
        <w:rPr>
          <w:rFonts w:cstheme="minorHAnsi"/>
          <w:sz w:val="24"/>
          <w:szCs w:val="24"/>
        </w:rPr>
        <w:t xml:space="preserve">ze strany MV </w:t>
      </w:r>
      <w:r w:rsidRPr="002C310E">
        <w:rPr>
          <w:rFonts w:cstheme="minorHAnsi"/>
          <w:sz w:val="24"/>
          <w:szCs w:val="24"/>
        </w:rPr>
        <w:t xml:space="preserve">je prováděno v rámci věcného hodnocení projektů obdobně jako </w:t>
      </w:r>
      <w:r w:rsidR="00E26B15">
        <w:rPr>
          <w:rFonts w:cstheme="minorHAnsi"/>
          <w:sz w:val="24"/>
          <w:szCs w:val="24"/>
        </w:rPr>
        <w:t>u</w:t>
      </w:r>
      <w:r w:rsidRPr="002C310E">
        <w:rPr>
          <w:rFonts w:cstheme="minorHAnsi"/>
          <w:sz w:val="24"/>
          <w:szCs w:val="24"/>
        </w:rPr>
        <w:t xml:space="preserve"> projektů NP ISF. </w:t>
      </w:r>
      <w:r w:rsidR="00406BA7">
        <w:rPr>
          <w:rFonts w:cstheme="minorHAnsi"/>
          <w:sz w:val="24"/>
          <w:szCs w:val="24"/>
        </w:rPr>
        <w:t>P</w:t>
      </w:r>
      <w:r w:rsidRPr="002C310E">
        <w:rPr>
          <w:rFonts w:cstheme="minorHAnsi"/>
          <w:sz w:val="24"/>
          <w:szCs w:val="24"/>
        </w:rPr>
        <w:t>řestože MV nastav</w:t>
      </w:r>
      <w:r w:rsidR="00406BA7">
        <w:rPr>
          <w:rFonts w:cstheme="minorHAnsi"/>
          <w:sz w:val="24"/>
          <w:szCs w:val="24"/>
        </w:rPr>
        <w:t>ilo</w:t>
      </w:r>
      <w:r w:rsidRPr="002C310E">
        <w:rPr>
          <w:rFonts w:cstheme="minorHAnsi"/>
          <w:sz w:val="24"/>
          <w:szCs w:val="24"/>
        </w:rPr>
        <w:t xml:space="preserve"> systém pro hodnocení efektivnosti a hospodárnosti projektů, byly v rámci kontroly vybraných projektů zjištěny NKÚ skutečnosti, které</w:t>
      </w:r>
      <w:r w:rsidR="007B395A" w:rsidRPr="002C310E">
        <w:rPr>
          <w:rFonts w:cstheme="minorHAnsi"/>
          <w:sz w:val="24"/>
          <w:szCs w:val="24"/>
        </w:rPr>
        <w:t xml:space="preserve"> snížily efektivnost vynaložených prostředků a které měly být detekovány již při hodnocení a výběru projektu.</w:t>
      </w:r>
      <w:r w:rsidRPr="002C310E">
        <w:rPr>
          <w:rFonts w:cstheme="minorHAnsi"/>
          <w:sz w:val="24"/>
          <w:szCs w:val="24"/>
        </w:rPr>
        <w:t xml:space="preserve"> Jednalo se např. o projekt </w:t>
      </w:r>
      <w:r w:rsidRPr="002C310E">
        <w:rPr>
          <w:rFonts w:cstheme="minorHAnsi"/>
          <w:bCs/>
          <w:sz w:val="24"/>
          <w:szCs w:val="24"/>
        </w:rPr>
        <w:t xml:space="preserve">AMIF/14/01 </w:t>
      </w:r>
      <w:r w:rsidRPr="002C310E">
        <w:rPr>
          <w:rFonts w:cstheme="minorHAnsi"/>
          <w:bCs/>
          <w:i/>
          <w:sz w:val="24"/>
          <w:szCs w:val="24"/>
        </w:rPr>
        <w:t>AZ Havířov – koupě a rekonstrukce rozšiřujícího objektu</w:t>
      </w:r>
      <w:r w:rsidR="007B395A" w:rsidRPr="002C310E">
        <w:rPr>
          <w:rFonts w:cstheme="minorHAnsi"/>
          <w:bCs/>
          <w:sz w:val="24"/>
          <w:szCs w:val="24"/>
        </w:rPr>
        <w:t xml:space="preserve"> (viz příklad č.</w:t>
      </w:r>
      <w:r w:rsidR="00A20856">
        <w:rPr>
          <w:rFonts w:cstheme="minorHAnsi"/>
          <w:bCs/>
          <w:sz w:val="24"/>
          <w:szCs w:val="24"/>
        </w:rPr>
        <w:t> </w:t>
      </w:r>
      <w:r w:rsidR="007B395A" w:rsidRPr="002C310E">
        <w:rPr>
          <w:rFonts w:cstheme="minorHAnsi"/>
          <w:bCs/>
          <w:sz w:val="24"/>
          <w:szCs w:val="24"/>
        </w:rPr>
        <w:t>5)</w:t>
      </w:r>
      <w:r w:rsidRPr="002C310E">
        <w:rPr>
          <w:rFonts w:cstheme="minorHAnsi"/>
          <w:bCs/>
          <w:sz w:val="24"/>
          <w:szCs w:val="24"/>
        </w:rPr>
        <w:t xml:space="preserve">. </w:t>
      </w:r>
    </w:p>
    <w:p w14:paraId="48D63C40" w14:textId="4EB09080" w:rsidR="006668D1" w:rsidRPr="006668D1" w:rsidRDefault="00F04DCF" w:rsidP="006668D1">
      <w:pPr>
        <w:pStyle w:val="Default"/>
        <w:spacing w:after="120"/>
        <w:jc w:val="both"/>
        <w:rPr>
          <w:rFonts w:asciiTheme="minorHAnsi" w:hAnsiTheme="minorHAnsi" w:cstheme="minorHAnsi"/>
          <w:color w:val="auto"/>
        </w:rPr>
      </w:pPr>
      <w:r w:rsidRPr="00AA65DD">
        <w:rPr>
          <w:rFonts w:asciiTheme="minorHAnsi" w:hAnsiTheme="minorHAnsi" w:cstheme="minorHAnsi"/>
          <w:b/>
          <w:color w:val="auto"/>
        </w:rPr>
        <w:t>4.3</w:t>
      </w:r>
      <w:r w:rsidR="000B1625" w:rsidRPr="00AA65DD">
        <w:rPr>
          <w:rFonts w:asciiTheme="minorHAnsi" w:hAnsiTheme="minorHAnsi" w:cstheme="minorHAnsi"/>
          <w:b/>
          <w:color w:val="auto"/>
        </w:rPr>
        <w:t>2</w:t>
      </w:r>
      <w:r w:rsidRPr="006668D1">
        <w:rPr>
          <w:rFonts w:asciiTheme="minorHAnsi" w:hAnsiTheme="minorHAnsi" w:cstheme="minorHAnsi"/>
          <w:color w:val="auto"/>
        </w:rPr>
        <w:t xml:space="preserve"> NKÚ také zjistil, že MV při hodnocení nemělo k dispozici výsledky hodnocení efektivnosti předchozích obdobně zaměřených projektů nebo projektů stejného příjemce. MV k tomu uvedlo, že proces hodnocení a výběru projektů probíhá ještě před </w:t>
      </w:r>
      <w:r w:rsidR="00855943">
        <w:rPr>
          <w:rFonts w:asciiTheme="minorHAnsi" w:hAnsiTheme="minorHAnsi" w:cstheme="minorHAnsi"/>
          <w:color w:val="auto"/>
        </w:rPr>
        <w:t>u</w:t>
      </w:r>
      <w:r w:rsidRPr="006668D1">
        <w:rPr>
          <w:rFonts w:asciiTheme="minorHAnsi" w:hAnsiTheme="minorHAnsi" w:cstheme="minorHAnsi"/>
          <w:color w:val="auto"/>
        </w:rPr>
        <w:t xml:space="preserve">končením realizace projektu předcházejícího, aby mohla být zajištěna návaznost v realizaci. Dle NKÚ je však potřeba při hodnocení projektů vycházet i z výsledků a vyhodnocení efektivnosti předcházejícího obdobně zaměřeného projektu a případně provést úpravy navazujícího projektu. </w:t>
      </w:r>
    </w:p>
    <w:p w14:paraId="5DD24D32" w14:textId="27A0DC8C" w:rsidR="00C101D3" w:rsidRPr="002C310E" w:rsidRDefault="00F04DCF" w:rsidP="00733FC4">
      <w:pPr>
        <w:spacing w:after="120" w:line="240" w:lineRule="auto"/>
        <w:jc w:val="both"/>
        <w:rPr>
          <w:rFonts w:cstheme="minorHAnsi"/>
          <w:sz w:val="24"/>
          <w:szCs w:val="24"/>
        </w:rPr>
      </w:pPr>
      <w:r w:rsidRPr="00AA65DD">
        <w:rPr>
          <w:rFonts w:cstheme="minorHAnsi"/>
          <w:b/>
          <w:sz w:val="24"/>
          <w:szCs w:val="24"/>
        </w:rPr>
        <w:lastRenderedPageBreak/>
        <w:t>4.3</w:t>
      </w:r>
      <w:r w:rsidR="000B1625" w:rsidRPr="00AA65DD">
        <w:rPr>
          <w:rFonts w:cstheme="minorHAnsi"/>
          <w:b/>
          <w:sz w:val="24"/>
          <w:szCs w:val="24"/>
        </w:rPr>
        <w:t>3</w:t>
      </w:r>
      <w:r w:rsidRPr="002C310E">
        <w:rPr>
          <w:rFonts w:cstheme="minorHAnsi"/>
          <w:sz w:val="24"/>
          <w:szCs w:val="24"/>
        </w:rPr>
        <w:t xml:space="preserve"> </w:t>
      </w:r>
      <w:r w:rsidR="006026EA" w:rsidRPr="002C310E">
        <w:rPr>
          <w:rFonts w:cstheme="minorHAnsi"/>
          <w:sz w:val="24"/>
          <w:szCs w:val="24"/>
        </w:rPr>
        <w:t xml:space="preserve">NKÚ dále zjistil, že </w:t>
      </w:r>
      <w:r w:rsidR="00471F73" w:rsidRPr="002C310E">
        <w:rPr>
          <w:rFonts w:cstheme="minorHAnsi"/>
          <w:sz w:val="24"/>
          <w:szCs w:val="24"/>
        </w:rPr>
        <w:t xml:space="preserve">u projektů </w:t>
      </w:r>
      <w:r w:rsidR="006026EA" w:rsidRPr="002C310E">
        <w:rPr>
          <w:rFonts w:cstheme="minorHAnsi"/>
          <w:sz w:val="24"/>
          <w:szCs w:val="24"/>
        </w:rPr>
        <w:t xml:space="preserve">zaměřených </w:t>
      </w:r>
      <w:r w:rsidR="00471F73" w:rsidRPr="002C310E">
        <w:rPr>
          <w:rFonts w:cstheme="minorHAnsi"/>
          <w:sz w:val="24"/>
          <w:szCs w:val="24"/>
        </w:rPr>
        <w:t xml:space="preserve">na financování center na podporu integrace cizinců MV nesledovalo průměrnou výši nákladů na jednoho klienta ani neporovnávalo tyto hodnoty mezi jednotlivými příjemci. </w:t>
      </w:r>
      <w:r w:rsidR="0074239D" w:rsidRPr="002C310E">
        <w:rPr>
          <w:rFonts w:cstheme="minorHAnsi"/>
          <w:sz w:val="24"/>
          <w:szCs w:val="24"/>
        </w:rPr>
        <w:t>Tyto náklady se např. v případě výuk</w:t>
      </w:r>
      <w:r w:rsidR="007C32C7" w:rsidRPr="002C310E">
        <w:rPr>
          <w:rFonts w:cstheme="minorHAnsi"/>
          <w:sz w:val="24"/>
          <w:szCs w:val="24"/>
        </w:rPr>
        <w:t xml:space="preserve">y českého jazyka pohybovaly </w:t>
      </w:r>
      <w:r w:rsidR="00A04998" w:rsidRPr="002C310E">
        <w:rPr>
          <w:rFonts w:cstheme="minorHAnsi"/>
          <w:sz w:val="24"/>
          <w:szCs w:val="24"/>
        </w:rPr>
        <w:t xml:space="preserve">cca </w:t>
      </w:r>
      <w:r w:rsidR="007C32C7" w:rsidRPr="002C310E">
        <w:rPr>
          <w:rFonts w:cstheme="minorHAnsi"/>
          <w:sz w:val="24"/>
          <w:szCs w:val="24"/>
        </w:rPr>
        <w:t xml:space="preserve">od 2 600 do 6 700 Kč a v případě právního a sociálního poradenství </w:t>
      </w:r>
      <w:r w:rsidR="00A04998" w:rsidRPr="002C310E">
        <w:rPr>
          <w:rFonts w:cstheme="minorHAnsi"/>
          <w:sz w:val="24"/>
          <w:szCs w:val="24"/>
        </w:rPr>
        <w:t xml:space="preserve">cca </w:t>
      </w:r>
      <w:r w:rsidR="007C32C7" w:rsidRPr="002C310E">
        <w:rPr>
          <w:rFonts w:cstheme="minorHAnsi"/>
          <w:sz w:val="24"/>
          <w:szCs w:val="24"/>
        </w:rPr>
        <w:t>od 2</w:t>
      </w:r>
      <w:r w:rsidR="00A20856">
        <w:rPr>
          <w:rFonts w:cstheme="minorHAnsi"/>
          <w:sz w:val="24"/>
          <w:szCs w:val="24"/>
        </w:rPr>
        <w:t> </w:t>
      </w:r>
      <w:r w:rsidR="007C32C7" w:rsidRPr="002C310E">
        <w:rPr>
          <w:rFonts w:cstheme="minorHAnsi"/>
          <w:sz w:val="24"/>
          <w:szCs w:val="24"/>
        </w:rPr>
        <w:t xml:space="preserve">400 do 4 700 Kč na </w:t>
      </w:r>
      <w:r w:rsidR="00622342">
        <w:rPr>
          <w:rFonts w:cstheme="minorHAnsi"/>
          <w:sz w:val="24"/>
          <w:szCs w:val="24"/>
        </w:rPr>
        <w:t xml:space="preserve">jednoho </w:t>
      </w:r>
      <w:r w:rsidRPr="002C310E">
        <w:rPr>
          <w:rFonts w:cstheme="minorHAnsi"/>
          <w:sz w:val="24"/>
          <w:szCs w:val="24"/>
        </w:rPr>
        <w:t>klienta</w:t>
      </w:r>
      <w:r w:rsidR="007C32C7" w:rsidRPr="002C310E">
        <w:rPr>
          <w:rFonts w:cstheme="minorHAnsi"/>
          <w:sz w:val="24"/>
          <w:szCs w:val="24"/>
        </w:rPr>
        <w:t>. M</w:t>
      </w:r>
      <w:r w:rsidR="00471F73" w:rsidRPr="002C310E">
        <w:rPr>
          <w:rFonts w:cstheme="minorHAnsi"/>
          <w:sz w:val="24"/>
          <w:szCs w:val="24"/>
        </w:rPr>
        <w:t>V</w:t>
      </w:r>
      <w:r w:rsidR="006026EA" w:rsidRPr="002C310E">
        <w:rPr>
          <w:rFonts w:cstheme="minorHAnsi"/>
          <w:sz w:val="24"/>
          <w:szCs w:val="24"/>
        </w:rPr>
        <w:t xml:space="preserve"> </w:t>
      </w:r>
      <w:r w:rsidR="00471F73" w:rsidRPr="002C310E">
        <w:rPr>
          <w:rFonts w:cstheme="minorHAnsi"/>
          <w:sz w:val="24"/>
          <w:szCs w:val="24"/>
        </w:rPr>
        <w:t xml:space="preserve">k tomu uvedlo, že </w:t>
      </w:r>
      <w:r w:rsidR="006026EA" w:rsidRPr="002C310E">
        <w:rPr>
          <w:rFonts w:cstheme="minorHAnsi"/>
          <w:sz w:val="24"/>
          <w:szCs w:val="24"/>
        </w:rPr>
        <w:t>pravid</w:t>
      </w:r>
      <w:r w:rsidR="00471F73" w:rsidRPr="002C310E">
        <w:rPr>
          <w:rFonts w:cstheme="minorHAnsi"/>
          <w:sz w:val="24"/>
          <w:szCs w:val="24"/>
        </w:rPr>
        <w:t xml:space="preserve">la nastavená </w:t>
      </w:r>
      <w:r w:rsidR="006026EA" w:rsidRPr="002C310E">
        <w:rPr>
          <w:rFonts w:cstheme="minorHAnsi"/>
          <w:sz w:val="24"/>
          <w:szCs w:val="24"/>
        </w:rPr>
        <w:t>EK</w:t>
      </w:r>
      <w:r w:rsidR="00471F73" w:rsidRPr="002C310E">
        <w:rPr>
          <w:rFonts w:cstheme="minorHAnsi"/>
          <w:sz w:val="24"/>
          <w:szCs w:val="24"/>
        </w:rPr>
        <w:t xml:space="preserve"> takový ukazatel nestanovují a že každý klient vyžaduje různou míru podpory, což vede k různé výši prostředků </w:t>
      </w:r>
      <w:r w:rsidRPr="002C310E">
        <w:rPr>
          <w:rFonts w:cstheme="minorHAnsi"/>
          <w:sz w:val="24"/>
          <w:szCs w:val="24"/>
        </w:rPr>
        <w:t xml:space="preserve">vynaložených </w:t>
      </w:r>
      <w:r w:rsidR="00471F73" w:rsidRPr="002C310E">
        <w:rPr>
          <w:rFonts w:cstheme="minorHAnsi"/>
          <w:sz w:val="24"/>
          <w:szCs w:val="24"/>
        </w:rPr>
        <w:t xml:space="preserve">na </w:t>
      </w:r>
      <w:r w:rsidRPr="002C310E">
        <w:rPr>
          <w:rFonts w:cstheme="minorHAnsi"/>
          <w:sz w:val="24"/>
          <w:szCs w:val="24"/>
        </w:rPr>
        <w:t xml:space="preserve">jednotlivé </w:t>
      </w:r>
      <w:r w:rsidR="00471F73" w:rsidRPr="002C310E">
        <w:rPr>
          <w:rFonts w:cstheme="minorHAnsi"/>
          <w:sz w:val="24"/>
          <w:szCs w:val="24"/>
        </w:rPr>
        <w:t>klienty. NKÚ</w:t>
      </w:r>
      <w:r w:rsidRPr="002C310E">
        <w:rPr>
          <w:rFonts w:cstheme="minorHAnsi"/>
          <w:sz w:val="24"/>
          <w:szCs w:val="24"/>
        </w:rPr>
        <w:t xml:space="preserve"> </w:t>
      </w:r>
      <w:r w:rsidR="006026EA" w:rsidRPr="002C310E">
        <w:rPr>
          <w:rFonts w:cstheme="minorHAnsi"/>
          <w:sz w:val="24"/>
          <w:szCs w:val="24"/>
        </w:rPr>
        <w:t xml:space="preserve">považuje za žádoucí </w:t>
      </w:r>
      <w:r w:rsidR="007C32C7" w:rsidRPr="002C310E">
        <w:rPr>
          <w:rFonts w:cstheme="minorHAnsi"/>
          <w:sz w:val="24"/>
          <w:szCs w:val="24"/>
        </w:rPr>
        <w:t xml:space="preserve">vyhodnocovat </w:t>
      </w:r>
      <w:r w:rsidR="006026EA" w:rsidRPr="002C310E">
        <w:rPr>
          <w:rFonts w:cstheme="minorHAnsi"/>
          <w:sz w:val="24"/>
          <w:szCs w:val="24"/>
        </w:rPr>
        <w:t xml:space="preserve">realizované projekty na základě kritérií, </w:t>
      </w:r>
      <w:r w:rsidR="00622342">
        <w:rPr>
          <w:rFonts w:cstheme="minorHAnsi"/>
          <w:sz w:val="24"/>
          <w:szCs w:val="24"/>
        </w:rPr>
        <w:t xml:space="preserve">jejichž </w:t>
      </w:r>
      <w:r w:rsidR="006026EA" w:rsidRPr="002C310E">
        <w:rPr>
          <w:rFonts w:cstheme="minorHAnsi"/>
          <w:sz w:val="24"/>
          <w:szCs w:val="24"/>
        </w:rPr>
        <w:t>prostřednictvím byly vybrány k</w:t>
      </w:r>
      <w:r w:rsidR="00D9564B" w:rsidRPr="002C310E">
        <w:rPr>
          <w:rFonts w:cstheme="minorHAnsi"/>
          <w:sz w:val="24"/>
          <w:szCs w:val="24"/>
        </w:rPr>
        <w:t> </w:t>
      </w:r>
      <w:r w:rsidR="006026EA" w:rsidRPr="002C310E">
        <w:rPr>
          <w:rFonts w:cstheme="minorHAnsi"/>
          <w:sz w:val="24"/>
          <w:szCs w:val="24"/>
        </w:rPr>
        <w:t>realizaci</w:t>
      </w:r>
      <w:r w:rsidR="00D9564B" w:rsidRPr="002C310E">
        <w:rPr>
          <w:rFonts w:cstheme="minorHAnsi"/>
          <w:sz w:val="24"/>
          <w:szCs w:val="24"/>
        </w:rPr>
        <w:t>, a</w:t>
      </w:r>
      <w:r w:rsidR="00622342">
        <w:rPr>
          <w:rFonts w:cstheme="minorHAnsi"/>
          <w:sz w:val="24"/>
          <w:szCs w:val="24"/>
        </w:rPr>
        <w:t> </w:t>
      </w:r>
      <w:r w:rsidR="00D9564B" w:rsidRPr="002C310E">
        <w:rPr>
          <w:rFonts w:cstheme="minorHAnsi"/>
          <w:sz w:val="24"/>
          <w:szCs w:val="24"/>
        </w:rPr>
        <w:t>vzájemně je porovnávat</w:t>
      </w:r>
      <w:r w:rsidR="006026EA" w:rsidRPr="002C310E">
        <w:rPr>
          <w:rFonts w:cstheme="minorHAnsi"/>
          <w:sz w:val="24"/>
          <w:szCs w:val="24"/>
        </w:rPr>
        <w:t xml:space="preserve">. Pracovní postup hodnocení projektů </w:t>
      </w:r>
      <w:r w:rsidR="00F76E66" w:rsidRPr="002C310E">
        <w:rPr>
          <w:rFonts w:cstheme="minorHAnsi"/>
          <w:sz w:val="24"/>
          <w:szCs w:val="24"/>
        </w:rPr>
        <w:t xml:space="preserve">NP AMIF </w:t>
      </w:r>
      <w:r w:rsidR="007C32C7" w:rsidRPr="002C310E">
        <w:rPr>
          <w:rFonts w:cstheme="minorHAnsi"/>
          <w:sz w:val="24"/>
          <w:szCs w:val="24"/>
        </w:rPr>
        <w:t xml:space="preserve">přitom </w:t>
      </w:r>
      <w:r w:rsidR="006026EA" w:rsidRPr="002C310E">
        <w:rPr>
          <w:rFonts w:cstheme="minorHAnsi"/>
          <w:sz w:val="24"/>
          <w:szCs w:val="24"/>
        </w:rPr>
        <w:t>v rámci hodnocení efektivnosti a hospodárnosti stanov</w:t>
      </w:r>
      <w:r w:rsidR="007C32C7" w:rsidRPr="002C310E">
        <w:rPr>
          <w:rFonts w:cstheme="minorHAnsi"/>
          <w:sz w:val="24"/>
          <w:szCs w:val="24"/>
        </w:rPr>
        <w:t xml:space="preserve">uje povinnost </w:t>
      </w:r>
      <w:r w:rsidR="006026EA" w:rsidRPr="002C310E">
        <w:rPr>
          <w:rFonts w:cstheme="minorHAnsi"/>
          <w:sz w:val="24"/>
          <w:szCs w:val="24"/>
        </w:rPr>
        <w:t xml:space="preserve">posouzení efektivního </w:t>
      </w:r>
      <w:r w:rsidR="00F76E66" w:rsidRPr="002C310E">
        <w:rPr>
          <w:rFonts w:cstheme="minorHAnsi"/>
          <w:sz w:val="24"/>
          <w:szCs w:val="24"/>
        </w:rPr>
        <w:t>a hospodárného použití zdrojů s </w:t>
      </w:r>
      <w:r w:rsidR="006026EA" w:rsidRPr="002C310E">
        <w:rPr>
          <w:rFonts w:cstheme="minorHAnsi"/>
          <w:sz w:val="24"/>
          <w:szCs w:val="24"/>
        </w:rPr>
        <w:t>ohledem na výstupy projektu</w:t>
      </w:r>
      <w:r w:rsidR="0074239D" w:rsidRPr="002C310E">
        <w:rPr>
          <w:rFonts w:cstheme="minorHAnsi"/>
          <w:sz w:val="24"/>
          <w:szCs w:val="24"/>
        </w:rPr>
        <w:t>, což u </w:t>
      </w:r>
      <w:r w:rsidR="00F76E66" w:rsidRPr="002C310E">
        <w:rPr>
          <w:rFonts w:cstheme="minorHAnsi"/>
          <w:sz w:val="24"/>
          <w:szCs w:val="24"/>
        </w:rPr>
        <w:t xml:space="preserve">projektů </w:t>
      </w:r>
      <w:r w:rsidRPr="002C310E">
        <w:rPr>
          <w:rFonts w:cstheme="minorHAnsi"/>
          <w:sz w:val="24"/>
          <w:szCs w:val="24"/>
        </w:rPr>
        <w:t xml:space="preserve">integrace cizinců </w:t>
      </w:r>
      <w:r w:rsidR="00F76E66" w:rsidRPr="002C310E">
        <w:rPr>
          <w:rFonts w:cstheme="minorHAnsi"/>
          <w:sz w:val="24"/>
          <w:szCs w:val="24"/>
        </w:rPr>
        <w:t xml:space="preserve">jsou právě </w:t>
      </w:r>
      <w:r w:rsidR="006026EA" w:rsidRPr="002C310E">
        <w:rPr>
          <w:rFonts w:cstheme="minorHAnsi"/>
          <w:sz w:val="24"/>
          <w:szCs w:val="24"/>
        </w:rPr>
        <w:t>počty klientů.</w:t>
      </w:r>
    </w:p>
    <w:p w14:paraId="67E87138" w14:textId="6139C066" w:rsidR="00DB2489" w:rsidRPr="002C310E" w:rsidRDefault="00F04DCF" w:rsidP="00733FC4">
      <w:pPr>
        <w:spacing w:after="120" w:line="240" w:lineRule="auto"/>
        <w:jc w:val="both"/>
        <w:rPr>
          <w:rFonts w:cstheme="minorHAnsi"/>
          <w:sz w:val="24"/>
          <w:szCs w:val="24"/>
        </w:rPr>
      </w:pPr>
      <w:r w:rsidRPr="00AA65DD">
        <w:rPr>
          <w:rFonts w:cstheme="minorHAnsi"/>
          <w:b/>
          <w:sz w:val="24"/>
          <w:szCs w:val="24"/>
        </w:rPr>
        <w:t>4.</w:t>
      </w:r>
      <w:r w:rsidR="00890F1D" w:rsidRPr="00AA65DD">
        <w:rPr>
          <w:rFonts w:cstheme="minorHAnsi"/>
          <w:b/>
          <w:sz w:val="24"/>
          <w:szCs w:val="24"/>
        </w:rPr>
        <w:t>3</w:t>
      </w:r>
      <w:r w:rsidR="000B1625" w:rsidRPr="00AA65DD">
        <w:rPr>
          <w:rFonts w:cstheme="minorHAnsi"/>
          <w:b/>
          <w:sz w:val="24"/>
          <w:szCs w:val="24"/>
        </w:rPr>
        <w:t>4</w:t>
      </w:r>
      <w:r w:rsidRPr="002C310E">
        <w:rPr>
          <w:rFonts w:cstheme="minorHAnsi"/>
          <w:sz w:val="24"/>
          <w:szCs w:val="24"/>
        </w:rPr>
        <w:t xml:space="preserve"> NKÚ </w:t>
      </w:r>
      <w:r w:rsidR="00A04998" w:rsidRPr="002C310E">
        <w:rPr>
          <w:rFonts w:cstheme="minorHAnsi"/>
          <w:sz w:val="24"/>
          <w:szCs w:val="24"/>
        </w:rPr>
        <w:t>také</w:t>
      </w:r>
      <w:r w:rsidR="00D275BC" w:rsidRPr="002C310E">
        <w:rPr>
          <w:rFonts w:cstheme="minorHAnsi"/>
          <w:sz w:val="24"/>
          <w:szCs w:val="24"/>
        </w:rPr>
        <w:t xml:space="preserve"> zjistil, že příjemci v žádosti o podporu</w:t>
      </w:r>
      <w:r w:rsidR="003450EE" w:rsidRPr="002C310E">
        <w:rPr>
          <w:rFonts w:cstheme="minorHAnsi"/>
          <w:sz w:val="24"/>
          <w:szCs w:val="24"/>
        </w:rPr>
        <w:t xml:space="preserve"> sice</w:t>
      </w:r>
      <w:r w:rsidR="00D275BC" w:rsidRPr="002C310E">
        <w:rPr>
          <w:rFonts w:cstheme="minorHAnsi"/>
          <w:sz w:val="24"/>
          <w:szCs w:val="24"/>
        </w:rPr>
        <w:t xml:space="preserve"> </w:t>
      </w:r>
      <w:r w:rsidR="003450EE" w:rsidRPr="002C310E">
        <w:rPr>
          <w:rFonts w:cstheme="minorHAnsi"/>
          <w:sz w:val="24"/>
          <w:szCs w:val="24"/>
        </w:rPr>
        <w:t xml:space="preserve">uváděli rozpočet na jednotlivé klíčové aktivity projektu, ale již </w:t>
      </w:r>
      <w:r w:rsidRPr="002C310E">
        <w:rPr>
          <w:rFonts w:cstheme="minorHAnsi"/>
          <w:sz w:val="24"/>
          <w:szCs w:val="24"/>
        </w:rPr>
        <w:t>nesledoval</w:t>
      </w:r>
      <w:r w:rsidR="00F2297D" w:rsidRPr="002C310E">
        <w:rPr>
          <w:rFonts w:cstheme="minorHAnsi"/>
          <w:sz w:val="24"/>
          <w:szCs w:val="24"/>
        </w:rPr>
        <w:t>i</w:t>
      </w:r>
      <w:r w:rsidRPr="002C310E">
        <w:rPr>
          <w:rFonts w:cstheme="minorHAnsi"/>
          <w:sz w:val="24"/>
          <w:szCs w:val="24"/>
        </w:rPr>
        <w:t xml:space="preserve"> a </w:t>
      </w:r>
      <w:r w:rsidR="00F2297D" w:rsidRPr="002C310E">
        <w:rPr>
          <w:rFonts w:cstheme="minorHAnsi"/>
          <w:sz w:val="24"/>
          <w:szCs w:val="24"/>
        </w:rPr>
        <w:t xml:space="preserve">ani </w:t>
      </w:r>
      <w:r w:rsidRPr="002C310E">
        <w:rPr>
          <w:rFonts w:cstheme="minorHAnsi"/>
          <w:sz w:val="24"/>
          <w:szCs w:val="24"/>
        </w:rPr>
        <w:t>nebyl</w:t>
      </w:r>
      <w:r w:rsidR="00F2297D" w:rsidRPr="002C310E">
        <w:rPr>
          <w:rFonts w:cstheme="minorHAnsi"/>
          <w:sz w:val="24"/>
          <w:szCs w:val="24"/>
        </w:rPr>
        <w:t>i</w:t>
      </w:r>
      <w:r w:rsidRPr="002C310E">
        <w:rPr>
          <w:rFonts w:cstheme="minorHAnsi"/>
          <w:sz w:val="24"/>
          <w:szCs w:val="24"/>
        </w:rPr>
        <w:t xml:space="preserve"> MV zavázán</w:t>
      </w:r>
      <w:r w:rsidR="00F2297D" w:rsidRPr="002C310E">
        <w:rPr>
          <w:rFonts w:cstheme="minorHAnsi"/>
          <w:sz w:val="24"/>
          <w:szCs w:val="24"/>
        </w:rPr>
        <w:t>i</w:t>
      </w:r>
      <w:r w:rsidRPr="002C310E">
        <w:rPr>
          <w:rFonts w:cstheme="minorHAnsi"/>
          <w:sz w:val="24"/>
          <w:szCs w:val="24"/>
        </w:rPr>
        <w:t xml:space="preserve"> sledovat </w:t>
      </w:r>
      <w:r w:rsidR="00F2297D" w:rsidRPr="002C310E">
        <w:rPr>
          <w:rFonts w:cstheme="minorHAnsi"/>
          <w:sz w:val="24"/>
          <w:szCs w:val="24"/>
        </w:rPr>
        <w:t xml:space="preserve">podle </w:t>
      </w:r>
      <w:r w:rsidRPr="002C310E">
        <w:rPr>
          <w:rFonts w:cstheme="minorHAnsi"/>
          <w:sz w:val="24"/>
          <w:szCs w:val="24"/>
        </w:rPr>
        <w:t>klíčových aktivit</w:t>
      </w:r>
      <w:r w:rsidR="003450EE" w:rsidRPr="002C310E">
        <w:rPr>
          <w:rFonts w:cstheme="minorHAnsi"/>
          <w:sz w:val="24"/>
          <w:szCs w:val="24"/>
        </w:rPr>
        <w:t xml:space="preserve"> skutečné náklady. N</w:t>
      </w:r>
      <w:r w:rsidRPr="002C310E">
        <w:rPr>
          <w:rFonts w:cstheme="minorHAnsi"/>
          <w:sz w:val="24"/>
          <w:szCs w:val="24"/>
        </w:rPr>
        <w:t>e</w:t>
      </w:r>
      <w:r w:rsidR="007C32C7" w:rsidRPr="002C310E">
        <w:rPr>
          <w:rFonts w:cstheme="minorHAnsi"/>
          <w:sz w:val="24"/>
          <w:szCs w:val="24"/>
        </w:rPr>
        <w:t xml:space="preserve">měli tak údaje pro porovnání průměrných nákladů a pro hodnocení efektivnosti jednotlivých klíčových aktivit projektů. </w:t>
      </w:r>
      <w:r w:rsidR="003450EE" w:rsidRPr="002C310E">
        <w:rPr>
          <w:rFonts w:cstheme="minorHAnsi"/>
          <w:sz w:val="24"/>
          <w:szCs w:val="24"/>
        </w:rPr>
        <w:t xml:space="preserve">Toto zjištění se týkalo </w:t>
      </w:r>
      <w:r w:rsidR="00D275BC" w:rsidRPr="002C310E">
        <w:rPr>
          <w:rFonts w:cstheme="minorHAnsi"/>
          <w:sz w:val="24"/>
          <w:szCs w:val="24"/>
        </w:rPr>
        <w:t xml:space="preserve">čtrnácti </w:t>
      </w:r>
      <w:r w:rsidR="00A04998" w:rsidRPr="002C310E">
        <w:rPr>
          <w:rFonts w:cstheme="minorHAnsi"/>
          <w:sz w:val="24"/>
          <w:szCs w:val="24"/>
        </w:rPr>
        <w:t>z</w:t>
      </w:r>
      <w:r w:rsidR="008B0AE5" w:rsidRPr="002C310E">
        <w:rPr>
          <w:rFonts w:cstheme="minorHAnsi"/>
          <w:sz w:val="24"/>
          <w:szCs w:val="24"/>
        </w:rPr>
        <w:t xml:space="preserve"> dvaceti </w:t>
      </w:r>
      <w:r w:rsidR="00D275BC" w:rsidRPr="002C310E">
        <w:rPr>
          <w:rFonts w:cstheme="minorHAnsi"/>
          <w:sz w:val="24"/>
          <w:szCs w:val="24"/>
        </w:rPr>
        <w:t>vybraných projektů</w:t>
      </w:r>
      <w:r w:rsidR="003450EE" w:rsidRPr="002C310E">
        <w:rPr>
          <w:rFonts w:cstheme="minorHAnsi"/>
          <w:sz w:val="24"/>
          <w:szCs w:val="24"/>
        </w:rPr>
        <w:t>. MV uvedlo, že vždy hodnotí projekt jako celek a rozdělení rozpočtu slouží příjemci mj. pro lepší plánování</w:t>
      </w:r>
      <w:r w:rsidR="003450EE" w:rsidRPr="002C310E">
        <w:rPr>
          <w:rFonts w:cstheme="minorHAnsi"/>
          <w:color w:val="000000"/>
          <w:sz w:val="24"/>
          <w:szCs w:val="24"/>
        </w:rPr>
        <w:t xml:space="preserve"> klíčových aktivit. </w:t>
      </w:r>
      <w:r w:rsidR="008B0AE5" w:rsidRPr="002C310E">
        <w:rPr>
          <w:rFonts w:cstheme="minorHAnsi"/>
          <w:color w:val="000000"/>
          <w:sz w:val="24"/>
          <w:szCs w:val="24"/>
        </w:rPr>
        <w:t xml:space="preserve">K tomu však nemůže dojít, pokud </w:t>
      </w:r>
      <w:r w:rsidR="004144E0" w:rsidRPr="002C310E">
        <w:rPr>
          <w:rFonts w:cstheme="minorHAnsi"/>
          <w:color w:val="000000"/>
          <w:sz w:val="24"/>
          <w:szCs w:val="24"/>
        </w:rPr>
        <w:t>příjemce ne</w:t>
      </w:r>
      <w:r w:rsidR="00A1267E" w:rsidRPr="002C310E">
        <w:rPr>
          <w:rFonts w:cstheme="minorHAnsi"/>
          <w:color w:val="000000"/>
          <w:sz w:val="24"/>
          <w:szCs w:val="24"/>
        </w:rPr>
        <w:t>sleduje</w:t>
      </w:r>
      <w:r w:rsidR="004144E0" w:rsidRPr="002C310E">
        <w:rPr>
          <w:rFonts w:cstheme="minorHAnsi"/>
          <w:color w:val="000000"/>
          <w:sz w:val="24"/>
          <w:szCs w:val="24"/>
        </w:rPr>
        <w:t xml:space="preserve"> skutečné náklady</w:t>
      </w:r>
      <w:r w:rsidR="00A1267E" w:rsidRPr="002C310E">
        <w:rPr>
          <w:rFonts w:cstheme="minorHAnsi"/>
          <w:color w:val="000000"/>
          <w:sz w:val="24"/>
          <w:szCs w:val="24"/>
        </w:rPr>
        <w:t xml:space="preserve"> podle aktivit</w:t>
      </w:r>
      <w:r w:rsidR="004144E0" w:rsidRPr="002C310E">
        <w:rPr>
          <w:rFonts w:cstheme="minorHAnsi"/>
          <w:color w:val="000000"/>
          <w:sz w:val="24"/>
          <w:szCs w:val="24"/>
        </w:rPr>
        <w:t xml:space="preserve">. </w:t>
      </w:r>
    </w:p>
    <w:p w14:paraId="5B4C6D6C" w14:textId="5C542DD7" w:rsidR="00726284" w:rsidRPr="002C310E" w:rsidRDefault="00F04DCF" w:rsidP="00733FC4">
      <w:pPr>
        <w:spacing w:after="120" w:line="240" w:lineRule="auto"/>
        <w:jc w:val="both"/>
        <w:rPr>
          <w:rFonts w:cstheme="minorHAnsi"/>
          <w:b/>
          <w:color w:val="C00000"/>
          <w:sz w:val="24"/>
          <w:szCs w:val="24"/>
        </w:rPr>
      </w:pPr>
      <w:r w:rsidRPr="002C310E">
        <w:rPr>
          <w:rFonts w:cstheme="minorHAnsi"/>
          <w:b/>
          <w:color w:val="C00000"/>
          <w:sz w:val="24"/>
          <w:szCs w:val="24"/>
        </w:rPr>
        <w:t xml:space="preserve">→ </w:t>
      </w:r>
      <w:r w:rsidR="00E26B15">
        <w:rPr>
          <w:rFonts w:cstheme="minorHAnsi"/>
          <w:b/>
          <w:color w:val="C00000"/>
          <w:sz w:val="24"/>
          <w:szCs w:val="24"/>
        </w:rPr>
        <w:t xml:space="preserve">Vynaložení peněžních prostředků </w:t>
      </w:r>
      <w:r w:rsidR="00F4221F">
        <w:rPr>
          <w:rFonts w:cstheme="minorHAnsi"/>
          <w:b/>
          <w:color w:val="C00000"/>
          <w:sz w:val="24"/>
          <w:szCs w:val="24"/>
        </w:rPr>
        <w:t>na deset</w:t>
      </w:r>
      <w:r w:rsidR="00E26B15">
        <w:rPr>
          <w:rFonts w:cstheme="minorHAnsi"/>
          <w:b/>
          <w:color w:val="C00000"/>
          <w:sz w:val="24"/>
          <w:szCs w:val="24"/>
        </w:rPr>
        <w:t xml:space="preserve"> </w:t>
      </w:r>
      <w:r w:rsidR="007A725B" w:rsidRPr="002C310E">
        <w:rPr>
          <w:rFonts w:cstheme="minorHAnsi"/>
          <w:b/>
          <w:color w:val="C00000"/>
          <w:sz w:val="24"/>
          <w:szCs w:val="24"/>
        </w:rPr>
        <w:t>z dvaceti</w:t>
      </w:r>
      <w:r w:rsidR="008B0AE5" w:rsidRPr="002C310E">
        <w:rPr>
          <w:rFonts w:cstheme="minorHAnsi"/>
          <w:b/>
          <w:color w:val="C00000"/>
          <w:sz w:val="24"/>
          <w:szCs w:val="24"/>
        </w:rPr>
        <w:t xml:space="preserve"> vybraných projektů NP AMIF </w:t>
      </w:r>
      <w:r w:rsidR="00E26B15">
        <w:rPr>
          <w:rFonts w:cstheme="minorHAnsi"/>
          <w:b/>
          <w:color w:val="C00000"/>
          <w:sz w:val="24"/>
          <w:szCs w:val="24"/>
        </w:rPr>
        <w:t>posoudil</w:t>
      </w:r>
      <w:r w:rsidR="008B0AE5" w:rsidRPr="002C310E">
        <w:rPr>
          <w:rFonts w:cstheme="minorHAnsi"/>
          <w:b/>
          <w:color w:val="C00000"/>
          <w:sz w:val="24"/>
          <w:szCs w:val="24"/>
        </w:rPr>
        <w:t xml:space="preserve"> NKÚ</w:t>
      </w:r>
      <w:r w:rsidR="00733FC4" w:rsidRPr="002C310E">
        <w:rPr>
          <w:rFonts w:cstheme="minorHAnsi"/>
          <w:b/>
          <w:color w:val="C00000"/>
          <w:sz w:val="24"/>
          <w:szCs w:val="24"/>
        </w:rPr>
        <w:t xml:space="preserve"> </w:t>
      </w:r>
      <w:r w:rsidR="00E26B15">
        <w:rPr>
          <w:rFonts w:cstheme="minorHAnsi"/>
          <w:b/>
          <w:color w:val="C00000"/>
          <w:sz w:val="24"/>
          <w:szCs w:val="24"/>
        </w:rPr>
        <w:t>jako efektivní</w:t>
      </w:r>
      <w:r w:rsidR="00F4221F">
        <w:rPr>
          <w:rFonts w:cstheme="minorHAnsi"/>
          <w:b/>
          <w:color w:val="C00000"/>
          <w:sz w:val="24"/>
          <w:szCs w:val="24"/>
        </w:rPr>
        <w:t xml:space="preserve"> nebo jen s mírnými nedostatky</w:t>
      </w:r>
      <w:r w:rsidR="008B0AE5" w:rsidRPr="002C310E">
        <w:rPr>
          <w:rFonts w:cstheme="minorHAnsi"/>
          <w:b/>
          <w:color w:val="C00000"/>
          <w:sz w:val="24"/>
          <w:szCs w:val="24"/>
        </w:rPr>
        <w:t xml:space="preserve">, </w:t>
      </w:r>
      <w:r w:rsidR="00E26B15">
        <w:rPr>
          <w:rFonts w:cstheme="minorHAnsi"/>
          <w:b/>
          <w:color w:val="C00000"/>
          <w:sz w:val="24"/>
          <w:szCs w:val="24"/>
        </w:rPr>
        <w:t xml:space="preserve">u </w:t>
      </w:r>
      <w:r w:rsidR="0004070E" w:rsidRPr="002C310E">
        <w:rPr>
          <w:rFonts w:cstheme="minorHAnsi"/>
          <w:b/>
          <w:color w:val="C00000"/>
          <w:sz w:val="24"/>
          <w:szCs w:val="24"/>
        </w:rPr>
        <w:t>čtyř</w:t>
      </w:r>
      <w:r w:rsidR="00CA02E5" w:rsidRPr="002C310E">
        <w:rPr>
          <w:rFonts w:cstheme="minorHAnsi"/>
          <w:b/>
          <w:color w:val="C00000"/>
          <w:sz w:val="24"/>
          <w:szCs w:val="24"/>
        </w:rPr>
        <w:t xml:space="preserve"> jako efektivní</w:t>
      </w:r>
      <w:r w:rsidR="004104A4" w:rsidRPr="002C310E">
        <w:rPr>
          <w:rFonts w:cstheme="minorHAnsi"/>
          <w:b/>
          <w:color w:val="C00000"/>
          <w:sz w:val="24"/>
          <w:szCs w:val="24"/>
        </w:rPr>
        <w:t xml:space="preserve"> </w:t>
      </w:r>
      <w:r w:rsidR="007A725B" w:rsidRPr="002C310E">
        <w:rPr>
          <w:rFonts w:cstheme="minorHAnsi"/>
          <w:b/>
          <w:color w:val="C00000"/>
          <w:sz w:val="24"/>
          <w:szCs w:val="24"/>
        </w:rPr>
        <w:t>pouze omezeně a</w:t>
      </w:r>
      <w:r w:rsidR="004104A4" w:rsidRPr="002C310E">
        <w:rPr>
          <w:rFonts w:cstheme="minorHAnsi"/>
          <w:b/>
          <w:color w:val="C00000"/>
          <w:sz w:val="24"/>
          <w:szCs w:val="24"/>
        </w:rPr>
        <w:t xml:space="preserve"> </w:t>
      </w:r>
      <w:r w:rsidR="007A725B" w:rsidRPr="002C310E">
        <w:rPr>
          <w:rFonts w:cstheme="minorHAnsi"/>
          <w:b/>
          <w:color w:val="C00000"/>
          <w:sz w:val="24"/>
          <w:szCs w:val="24"/>
        </w:rPr>
        <w:t>u</w:t>
      </w:r>
      <w:r w:rsidR="004104A4" w:rsidRPr="002C310E">
        <w:rPr>
          <w:rFonts w:cstheme="minorHAnsi"/>
          <w:b/>
          <w:color w:val="C00000"/>
          <w:sz w:val="24"/>
          <w:szCs w:val="24"/>
        </w:rPr>
        <w:t xml:space="preserve"> </w:t>
      </w:r>
      <w:r w:rsidR="0004070E" w:rsidRPr="002C310E">
        <w:rPr>
          <w:rFonts w:cstheme="minorHAnsi"/>
          <w:b/>
          <w:color w:val="C00000"/>
          <w:sz w:val="24"/>
          <w:szCs w:val="24"/>
        </w:rPr>
        <w:t xml:space="preserve">šesti projektů </w:t>
      </w:r>
      <w:r w:rsidR="008B0AE5" w:rsidRPr="002C310E">
        <w:rPr>
          <w:rFonts w:cstheme="minorHAnsi"/>
          <w:b/>
          <w:color w:val="C00000"/>
          <w:sz w:val="24"/>
          <w:szCs w:val="24"/>
        </w:rPr>
        <w:t xml:space="preserve">efektivnost </w:t>
      </w:r>
      <w:r w:rsidR="00E26B15">
        <w:rPr>
          <w:rFonts w:cstheme="minorHAnsi"/>
          <w:b/>
          <w:color w:val="C00000"/>
          <w:sz w:val="24"/>
          <w:szCs w:val="24"/>
        </w:rPr>
        <w:t>neposuzoval</w:t>
      </w:r>
      <w:r w:rsidR="00CA02E5" w:rsidRPr="002C310E">
        <w:rPr>
          <w:rFonts w:cstheme="minorHAnsi"/>
          <w:b/>
          <w:color w:val="C00000"/>
          <w:sz w:val="24"/>
          <w:szCs w:val="24"/>
        </w:rPr>
        <w:t xml:space="preserve"> z důvodu počáteční fáze jejich realizace.</w:t>
      </w:r>
    </w:p>
    <w:p w14:paraId="1E0EC0A6" w14:textId="1358BE10" w:rsidR="00A578B3" w:rsidRPr="002C310E" w:rsidRDefault="00F04DCF" w:rsidP="00733FC4">
      <w:pPr>
        <w:spacing w:after="120" w:line="240" w:lineRule="auto"/>
        <w:jc w:val="both"/>
        <w:rPr>
          <w:rFonts w:cstheme="minorHAnsi"/>
          <w:noProof/>
          <w:sz w:val="24"/>
          <w:szCs w:val="24"/>
        </w:rPr>
      </w:pPr>
      <w:r w:rsidRPr="00AA65DD">
        <w:rPr>
          <w:rFonts w:cstheme="minorHAnsi"/>
          <w:b/>
          <w:noProof/>
          <w:sz w:val="24"/>
          <w:szCs w:val="24"/>
        </w:rPr>
        <w:t>4.</w:t>
      </w:r>
      <w:r w:rsidR="001F1E97" w:rsidRPr="00AA65DD">
        <w:rPr>
          <w:rFonts w:cstheme="minorHAnsi"/>
          <w:b/>
          <w:noProof/>
          <w:sz w:val="24"/>
          <w:szCs w:val="24"/>
        </w:rPr>
        <w:t>3</w:t>
      </w:r>
      <w:r w:rsidR="000B1625" w:rsidRPr="00AA65DD">
        <w:rPr>
          <w:rFonts w:cstheme="minorHAnsi"/>
          <w:b/>
          <w:noProof/>
          <w:sz w:val="24"/>
          <w:szCs w:val="24"/>
        </w:rPr>
        <w:t>5</w:t>
      </w:r>
      <w:r w:rsidRPr="002C310E">
        <w:rPr>
          <w:rFonts w:cstheme="minorHAnsi"/>
          <w:noProof/>
          <w:sz w:val="24"/>
          <w:szCs w:val="24"/>
        </w:rPr>
        <w:t xml:space="preserve"> NKÚ provedl posouzení efektivnosti dvaceti</w:t>
      </w:r>
      <w:r w:rsidRPr="00DF79B9">
        <w:rPr>
          <w:rFonts w:cstheme="minorHAnsi"/>
          <w:noProof/>
          <w:sz w:val="24"/>
          <w:szCs w:val="24"/>
        </w:rPr>
        <w:t xml:space="preserve"> </w:t>
      </w:r>
      <w:r w:rsidRPr="002C310E">
        <w:rPr>
          <w:rFonts w:cstheme="minorHAnsi"/>
          <w:noProof/>
          <w:sz w:val="24"/>
          <w:szCs w:val="24"/>
        </w:rPr>
        <w:t>vybraných projektů</w:t>
      </w:r>
      <w:r w:rsidR="004104A4" w:rsidRPr="002C310E">
        <w:rPr>
          <w:rFonts w:cstheme="minorHAnsi"/>
          <w:noProof/>
          <w:sz w:val="24"/>
          <w:szCs w:val="24"/>
        </w:rPr>
        <w:t xml:space="preserve"> NP AMIF</w:t>
      </w:r>
      <w:r w:rsidRPr="002C310E">
        <w:rPr>
          <w:rFonts w:cstheme="minorHAnsi"/>
          <w:noProof/>
          <w:sz w:val="24"/>
          <w:szCs w:val="24"/>
        </w:rPr>
        <w:t>. Stejně jako v případě účelnosti byla k vyhodnocení využita čtyřstupňová škála (projekt je efektivní / je efektivní s mírnými nedostatky / je efektivní pouze omezeně / není efektivní). Kritéria pro posouzení efektivnosti, která NKÚ použil, jsou uvedena v příloze č. 4</w:t>
      </w:r>
      <w:r w:rsidR="00846288">
        <w:rPr>
          <w:rFonts w:cstheme="minorHAnsi"/>
          <w:noProof/>
          <w:sz w:val="24"/>
          <w:szCs w:val="24"/>
        </w:rPr>
        <w:t xml:space="preserve"> </w:t>
      </w:r>
      <w:r w:rsidR="00846288">
        <w:rPr>
          <w:rFonts w:eastAsia="Times New Roman" w:cstheme="minorHAnsi"/>
          <w:color w:val="000000"/>
          <w:sz w:val="24"/>
          <w:szCs w:val="24"/>
        </w:rPr>
        <w:t>tohoto kontrolního závěru</w:t>
      </w:r>
      <w:r w:rsidRPr="002C310E">
        <w:rPr>
          <w:rFonts w:cstheme="minorHAnsi"/>
          <w:noProof/>
          <w:sz w:val="24"/>
          <w:szCs w:val="24"/>
        </w:rPr>
        <w:t>.</w:t>
      </w:r>
    </w:p>
    <w:p w14:paraId="37014FCF" w14:textId="4E801DF0" w:rsidR="004E743D" w:rsidRPr="002C310E" w:rsidRDefault="00F04DCF" w:rsidP="00C2365E">
      <w:pPr>
        <w:spacing w:after="120" w:line="240" w:lineRule="auto"/>
        <w:ind w:left="11" w:right="28" w:hanging="11"/>
        <w:jc w:val="both"/>
        <w:rPr>
          <w:rFonts w:cstheme="minorHAnsi"/>
          <w:sz w:val="24"/>
          <w:szCs w:val="24"/>
        </w:rPr>
      </w:pPr>
      <w:r w:rsidRPr="00AA65DD">
        <w:rPr>
          <w:rFonts w:cstheme="minorHAnsi"/>
          <w:b/>
          <w:noProof/>
          <w:sz w:val="24"/>
          <w:szCs w:val="24"/>
        </w:rPr>
        <w:t>4.</w:t>
      </w:r>
      <w:r w:rsidR="003F0188" w:rsidRPr="00AA65DD">
        <w:rPr>
          <w:rFonts w:cstheme="minorHAnsi"/>
          <w:b/>
          <w:noProof/>
          <w:sz w:val="24"/>
          <w:szCs w:val="24"/>
        </w:rPr>
        <w:t>3</w:t>
      </w:r>
      <w:r w:rsidR="000B1625" w:rsidRPr="00AA65DD">
        <w:rPr>
          <w:rFonts w:cstheme="minorHAnsi"/>
          <w:b/>
          <w:noProof/>
          <w:sz w:val="24"/>
          <w:szCs w:val="24"/>
        </w:rPr>
        <w:t>6</w:t>
      </w:r>
      <w:r w:rsidRPr="002C310E">
        <w:rPr>
          <w:rFonts w:cstheme="minorHAnsi"/>
          <w:noProof/>
          <w:sz w:val="24"/>
          <w:szCs w:val="24"/>
        </w:rPr>
        <w:t xml:space="preserve"> </w:t>
      </w:r>
      <w:r w:rsidRPr="002C310E">
        <w:rPr>
          <w:rFonts w:cstheme="minorHAnsi"/>
          <w:sz w:val="24"/>
          <w:szCs w:val="24"/>
        </w:rPr>
        <w:t xml:space="preserve">Jeden projekt vyhodnotil NKÚ </w:t>
      </w:r>
      <w:r w:rsidRPr="002C310E">
        <w:rPr>
          <w:rFonts w:cstheme="minorHAnsi"/>
          <w:color w:val="000000"/>
          <w:sz w:val="24"/>
          <w:szCs w:val="24"/>
        </w:rPr>
        <w:t xml:space="preserve">jako efektivní, </w:t>
      </w:r>
      <w:r w:rsidRPr="002C310E">
        <w:rPr>
          <w:rFonts w:cstheme="minorHAnsi"/>
          <w:sz w:val="24"/>
          <w:szCs w:val="24"/>
        </w:rPr>
        <w:t>devět jako efektivní s mírnými nedostatky, čtyři jako efektivní pouze omezeně a u šesti projektů nebyla efektivnost hodnocena</w:t>
      </w:r>
      <w:r w:rsidRPr="002C310E">
        <w:rPr>
          <w:rFonts w:cstheme="minorHAnsi"/>
          <w:color w:val="000000"/>
          <w:sz w:val="24"/>
          <w:szCs w:val="24"/>
        </w:rPr>
        <w:t xml:space="preserve"> vzhledem k počáteční fázi jejich realizace. </w:t>
      </w:r>
      <w:r w:rsidR="00CA02E5" w:rsidRPr="002C310E">
        <w:rPr>
          <w:rFonts w:cstheme="minorHAnsi"/>
          <w:sz w:val="24"/>
          <w:szCs w:val="24"/>
        </w:rPr>
        <w:t>N</w:t>
      </w:r>
      <w:r w:rsidRPr="002C310E">
        <w:rPr>
          <w:rFonts w:cstheme="minorHAnsi"/>
          <w:sz w:val="24"/>
          <w:szCs w:val="24"/>
        </w:rPr>
        <w:t xml:space="preserve">edostatky v efektivnosti spatřuje NKÚ </w:t>
      </w:r>
      <w:r w:rsidR="00C2365E" w:rsidRPr="002C310E">
        <w:rPr>
          <w:rFonts w:cstheme="minorHAnsi"/>
          <w:sz w:val="24"/>
          <w:szCs w:val="24"/>
        </w:rPr>
        <w:t xml:space="preserve">např. </w:t>
      </w:r>
      <w:r w:rsidR="00280A93">
        <w:rPr>
          <w:rFonts w:cstheme="minorHAnsi"/>
          <w:sz w:val="24"/>
          <w:szCs w:val="24"/>
        </w:rPr>
        <w:t xml:space="preserve">v </w:t>
      </w:r>
      <w:r w:rsidR="00C2365E" w:rsidRPr="002C310E">
        <w:rPr>
          <w:rFonts w:cstheme="minorHAnsi"/>
          <w:sz w:val="24"/>
          <w:szCs w:val="24"/>
        </w:rPr>
        <w:t>realizaci dílčích aktivit, které nebyly nutné pro splnění cílů projektu, či nesledování nákladů vynaložených na klíčové aktivity, což omezuje možnost vyhodnocení efektivnosti projektu</w:t>
      </w:r>
      <w:r w:rsidRPr="002C310E">
        <w:rPr>
          <w:rFonts w:cstheme="minorHAnsi"/>
          <w:sz w:val="24"/>
          <w:szCs w:val="24"/>
        </w:rPr>
        <w:t xml:space="preserve">. Výsledek shrnuje graf č. 4. Výsledky posouzení jednotlivých projektů jsou uvedeny v příloze č. </w:t>
      </w:r>
      <w:r w:rsidR="001D5D00">
        <w:rPr>
          <w:rFonts w:cstheme="minorHAnsi"/>
          <w:sz w:val="24"/>
          <w:szCs w:val="24"/>
        </w:rPr>
        <w:t>3</w:t>
      </w:r>
      <w:r w:rsidR="00846288">
        <w:rPr>
          <w:rFonts w:cstheme="minorHAnsi"/>
          <w:sz w:val="24"/>
          <w:szCs w:val="24"/>
        </w:rPr>
        <w:t xml:space="preserve"> </w:t>
      </w:r>
      <w:r w:rsidR="00846288">
        <w:rPr>
          <w:rFonts w:eastAsia="Times New Roman" w:cstheme="minorHAnsi"/>
          <w:color w:val="000000"/>
          <w:sz w:val="24"/>
          <w:szCs w:val="24"/>
        </w:rPr>
        <w:t>tohoto kontrolního závěru</w:t>
      </w:r>
      <w:r w:rsidRPr="002C310E">
        <w:rPr>
          <w:rFonts w:cstheme="minorHAnsi"/>
          <w:sz w:val="24"/>
          <w:szCs w:val="24"/>
        </w:rPr>
        <w:t>.</w:t>
      </w:r>
    </w:p>
    <w:p w14:paraId="485F982F" w14:textId="5F1463A1" w:rsidR="002155B1" w:rsidRPr="002C310E" w:rsidRDefault="00F04DCF" w:rsidP="00AA65DD">
      <w:pPr>
        <w:keepNext/>
        <w:spacing w:after="0" w:line="240" w:lineRule="auto"/>
        <w:jc w:val="both"/>
        <w:rPr>
          <w:rFonts w:cstheme="minorHAnsi"/>
          <w:b/>
          <w:sz w:val="24"/>
          <w:szCs w:val="24"/>
        </w:rPr>
      </w:pPr>
      <w:r w:rsidRPr="002C310E">
        <w:rPr>
          <w:rFonts w:cstheme="minorHAnsi"/>
          <w:b/>
          <w:sz w:val="24"/>
          <w:szCs w:val="24"/>
        </w:rPr>
        <w:lastRenderedPageBreak/>
        <w:t>Graf č.</w:t>
      </w:r>
      <w:r w:rsidR="001F1E97" w:rsidRPr="002C310E">
        <w:rPr>
          <w:rFonts w:cstheme="minorHAnsi"/>
          <w:b/>
          <w:sz w:val="24"/>
          <w:szCs w:val="24"/>
        </w:rPr>
        <w:t xml:space="preserve"> 4</w:t>
      </w:r>
      <w:r w:rsidRPr="002C310E">
        <w:rPr>
          <w:rFonts w:cstheme="minorHAnsi"/>
          <w:b/>
          <w:sz w:val="24"/>
          <w:szCs w:val="24"/>
        </w:rPr>
        <w:t>: Výsledek hodnocení efektivnosti 20 vybraných projektů NP AMIF</w:t>
      </w:r>
    </w:p>
    <w:p w14:paraId="165E10B4" w14:textId="77777777" w:rsidR="002155B1" w:rsidRPr="002C310E" w:rsidRDefault="00F04DCF" w:rsidP="00AA65DD">
      <w:pPr>
        <w:keepNext/>
        <w:spacing w:after="0" w:line="240" w:lineRule="auto"/>
        <w:jc w:val="center"/>
        <w:rPr>
          <w:rFonts w:cstheme="minorHAnsi"/>
          <w:sz w:val="24"/>
          <w:szCs w:val="24"/>
        </w:rPr>
      </w:pPr>
      <w:r w:rsidRPr="002C310E">
        <w:rPr>
          <w:rFonts w:cstheme="minorHAnsi"/>
          <w:noProof/>
          <w:sz w:val="24"/>
          <w:szCs w:val="24"/>
          <w:lang w:eastAsia="cs-CZ"/>
        </w:rPr>
        <w:drawing>
          <wp:inline distT="0" distB="0" distL="0" distR="0" wp14:anchorId="39B0A560" wp14:editId="360B8786">
            <wp:extent cx="4761865" cy="2700000"/>
            <wp:effectExtent l="0" t="0" r="635" b="571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B383C3" w14:textId="77777777" w:rsidR="00CA02E5" w:rsidRPr="00491FCA" w:rsidRDefault="00F04DCF" w:rsidP="00AA65DD">
      <w:pPr>
        <w:keepNext/>
        <w:spacing w:after="0" w:line="240" w:lineRule="auto"/>
        <w:jc w:val="both"/>
        <w:rPr>
          <w:rFonts w:cstheme="minorHAnsi"/>
          <w:noProof/>
          <w:sz w:val="20"/>
          <w:szCs w:val="20"/>
        </w:rPr>
      </w:pPr>
      <w:r w:rsidRPr="00491FCA">
        <w:rPr>
          <w:rFonts w:cstheme="minorHAnsi"/>
          <w:sz w:val="20"/>
          <w:szCs w:val="20"/>
        </w:rPr>
        <w:t>*</w:t>
      </w:r>
      <w:r w:rsidRPr="00491FCA">
        <w:rPr>
          <w:rFonts w:cstheme="minorHAnsi"/>
          <w:noProof/>
          <w:sz w:val="20"/>
          <w:szCs w:val="20"/>
        </w:rPr>
        <w:t xml:space="preserve"> Efektivnost nebyla hodnocena vzhledem k počáteční fázi realizace projektů.</w:t>
      </w:r>
    </w:p>
    <w:p w14:paraId="4ED2966C" w14:textId="2342030C" w:rsidR="00CA02E5" w:rsidRPr="00491FCA" w:rsidRDefault="00F04DCF" w:rsidP="00CA02E5">
      <w:pPr>
        <w:spacing w:after="120" w:line="240" w:lineRule="auto"/>
        <w:jc w:val="both"/>
        <w:rPr>
          <w:rFonts w:cstheme="minorHAnsi"/>
          <w:sz w:val="20"/>
          <w:szCs w:val="20"/>
        </w:rPr>
      </w:pPr>
      <w:r w:rsidRPr="00491FCA">
        <w:rPr>
          <w:rFonts w:cstheme="minorHAnsi"/>
          <w:b/>
          <w:sz w:val="20"/>
          <w:szCs w:val="20"/>
        </w:rPr>
        <w:t>Zdroj:</w:t>
      </w:r>
      <w:r w:rsidRPr="00491FCA">
        <w:rPr>
          <w:rFonts w:cstheme="minorHAnsi"/>
          <w:sz w:val="20"/>
          <w:szCs w:val="20"/>
        </w:rPr>
        <w:t xml:space="preserve"> </w:t>
      </w:r>
      <w:r w:rsidR="000D01D4">
        <w:rPr>
          <w:rFonts w:cstheme="minorHAnsi"/>
          <w:sz w:val="20"/>
          <w:szCs w:val="20"/>
        </w:rPr>
        <w:t xml:space="preserve">vypracoval </w:t>
      </w:r>
      <w:r w:rsidRPr="00491FCA">
        <w:rPr>
          <w:rFonts w:cstheme="minorHAnsi"/>
          <w:noProof/>
          <w:sz w:val="20"/>
          <w:szCs w:val="20"/>
          <w:lang w:eastAsia="cs-CZ"/>
        </w:rPr>
        <w:t>NKÚ.</w:t>
      </w:r>
    </w:p>
    <w:p w14:paraId="7FE18B1E" w14:textId="4D41EBDA" w:rsidR="00726284" w:rsidRPr="002C310E" w:rsidRDefault="00F04DCF" w:rsidP="00733FC4">
      <w:pPr>
        <w:spacing w:after="120" w:line="240" w:lineRule="auto"/>
        <w:jc w:val="both"/>
        <w:rPr>
          <w:rFonts w:cstheme="minorHAnsi"/>
          <w:noProof/>
          <w:sz w:val="24"/>
          <w:szCs w:val="24"/>
        </w:rPr>
      </w:pPr>
      <w:r w:rsidRPr="00AA65DD">
        <w:rPr>
          <w:rFonts w:cstheme="minorHAnsi"/>
          <w:b/>
          <w:noProof/>
          <w:sz w:val="24"/>
          <w:szCs w:val="24"/>
        </w:rPr>
        <w:t>4.3</w:t>
      </w:r>
      <w:r w:rsidR="000B1625" w:rsidRPr="00AA65DD">
        <w:rPr>
          <w:rFonts w:cstheme="minorHAnsi"/>
          <w:b/>
          <w:noProof/>
          <w:sz w:val="24"/>
          <w:szCs w:val="24"/>
        </w:rPr>
        <w:t>7</w:t>
      </w:r>
      <w:r w:rsidR="0004070E" w:rsidRPr="002C310E">
        <w:rPr>
          <w:rFonts w:cstheme="minorHAnsi"/>
          <w:noProof/>
          <w:sz w:val="24"/>
          <w:szCs w:val="24"/>
        </w:rPr>
        <w:t xml:space="preserve"> </w:t>
      </w:r>
      <w:r w:rsidR="00944941" w:rsidRPr="002C310E">
        <w:rPr>
          <w:rFonts w:cstheme="minorHAnsi"/>
          <w:noProof/>
          <w:sz w:val="24"/>
          <w:szCs w:val="24"/>
        </w:rPr>
        <w:t>P</w:t>
      </w:r>
      <w:r w:rsidR="0004070E" w:rsidRPr="002C310E">
        <w:rPr>
          <w:rFonts w:cstheme="minorHAnsi"/>
          <w:noProof/>
          <w:sz w:val="24"/>
          <w:szCs w:val="24"/>
        </w:rPr>
        <w:t xml:space="preserve">říklad č. </w:t>
      </w:r>
      <w:r w:rsidR="002246A2" w:rsidRPr="002C310E">
        <w:rPr>
          <w:rFonts w:cstheme="minorHAnsi"/>
          <w:noProof/>
          <w:sz w:val="24"/>
          <w:szCs w:val="24"/>
        </w:rPr>
        <w:t>6</w:t>
      </w:r>
      <w:r w:rsidR="0004070E" w:rsidRPr="002C310E">
        <w:rPr>
          <w:rFonts w:cstheme="minorHAnsi"/>
          <w:noProof/>
          <w:sz w:val="24"/>
          <w:szCs w:val="24"/>
        </w:rPr>
        <w:t xml:space="preserve"> </w:t>
      </w:r>
      <w:r w:rsidR="00944941" w:rsidRPr="002C310E">
        <w:rPr>
          <w:rFonts w:cstheme="minorHAnsi"/>
          <w:noProof/>
          <w:sz w:val="24"/>
          <w:szCs w:val="24"/>
        </w:rPr>
        <w:t>ukazuj</w:t>
      </w:r>
      <w:r w:rsidR="00733FC4" w:rsidRPr="002C310E">
        <w:rPr>
          <w:rFonts w:cstheme="minorHAnsi"/>
          <w:noProof/>
          <w:sz w:val="24"/>
          <w:szCs w:val="24"/>
        </w:rPr>
        <w:t>e</w:t>
      </w:r>
      <w:r w:rsidR="00187EE3" w:rsidRPr="002C310E">
        <w:rPr>
          <w:rFonts w:cstheme="minorHAnsi"/>
          <w:noProof/>
          <w:sz w:val="24"/>
          <w:szCs w:val="24"/>
        </w:rPr>
        <w:t xml:space="preserve"> důvody hodnocení projektu jako omezeně efektivního ze strany NKÚ</w:t>
      </w:r>
      <w:r w:rsidR="00524AB9" w:rsidRPr="002C310E">
        <w:rPr>
          <w:rFonts w:cstheme="minorHAnsi"/>
          <w:noProof/>
          <w:sz w:val="24"/>
          <w:szCs w:val="24"/>
        </w:rPr>
        <w:t>.</w:t>
      </w:r>
    </w:p>
    <w:p w14:paraId="0AA2EE98" w14:textId="7D76BA17" w:rsidR="00524AB9" w:rsidRPr="002C310E" w:rsidRDefault="00F04DCF" w:rsidP="00AA65DD">
      <w:pPr>
        <w:spacing w:after="120" w:line="240" w:lineRule="auto"/>
        <w:rPr>
          <w:rFonts w:cstheme="minorHAnsi"/>
          <w:b/>
          <w:color w:val="000000" w:themeColor="text1"/>
          <w:sz w:val="24"/>
          <w:szCs w:val="24"/>
        </w:rPr>
      </w:pPr>
      <w:r w:rsidRPr="002C310E">
        <w:rPr>
          <w:rFonts w:cstheme="minorHAnsi"/>
          <w:b/>
          <w:color w:val="000000" w:themeColor="text1"/>
          <w:sz w:val="24"/>
          <w:szCs w:val="24"/>
        </w:rPr>
        <w:t>Příklad č.</w:t>
      </w:r>
      <w:r w:rsidR="001F1E97" w:rsidRPr="002C310E">
        <w:rPr>
          <w:rFonts w:cstheme="minorHAnsi"/>
          <w:b/>
          <w:color w:val="000000" w:themeColor="text1"/>
          <w:sz w:val="24"/>
          <w:szCs w:val="24"/>
        </w:rPr>
        <w:t xml:space="preserve"> </w:t>
      </w:r>
      <w:r w:rsidR="005D7966" w:rsidRPr="002C310E">
        <w:rPr>
          <w:rFonts w:cstheme="minorHAnsi"/>
          <w:b/>
          <w:color w:val="000000" w:themeColor="text1"/>
          <w:sz w:val="24"/>
          <w:szCs w:val="24"/>
        </w:rPr>
        <w:t>6</w:t>
      </w:r>
      <w:r w:rsidRPr="002C310E">
        <w:rPr>
          <w:rFonts w:cstheme="minorHAnsi"/>
          <w:b/>
          <w:color w:val="000000" w:themeColor="text1"/>
          <w:sz w:val="24"/>
          <w:szCs w:val="24"/>
        </w:rPr>
        <w:t xml:space="preserve">: </w:t>
      </w:r>
      <w:r w:rsidRPr="002C310E">
        <w:rPr>
          <w:rFonts w:cstheme="minorHAnsi"/>
          <w:b/>
          <w:sz w:val="24"/>
          <w:szCs w:val="24"/>
        </w:rPr>
        <w:t xml:space="preserve">Předpokládané náklady </w:t>
      </w:r>
      <w:r w:rsidR="00D74C76">
        <w:rPr>
          <w:rFonts w:cstheme="minorHAnsi"/>
          <w:b/>
          <w:sz w:val="24"/>
          <w:szCs w:val="24"/>
        </w:rPr>
        <w:t xml:space="preserve">na </w:t>
      </w:r>
      <w:r w:rsidR="00CA02E5" w:rsidRPr="002C310E">
        <w:rPr>
          <w:rFonts w:cstheme="minorHAnsi"/>
          <w:b/>
          <w:sz w:val="24"/>
          <w:szCs w:val="24"/>
        </w:rPr>
        <w:t xml:space="preserve">klienta </w:t>
      </w:r>
      <w:r w:rsidRPr="002C310E">
        <w:rPr>
          <w:rFonts w:cstheme="minorHAnsi"/>
          <w:b/>
          <w:sz w:val="24"/>
          <w:szCs w:val="24"/>
        </w:rPr>
        <w:t xml:space="preserve">nejsou úměrné přínosům </w:t>
      </w:r>
      <w:r w:rsidR="00AD23E8" w:rsidRPr="002C310E">
        <w:rPr>
          <w:rFonts w:cstheme="minorHAnsi"/>
          <w:b/>
          <w:sz w:val="24"/>
          <w:szCs w:val="24"/>
        </w:rPr>
        <w:t>projektu</w:t>
      </w:r>
    </w:p>
    <w:tbl>
      <w:tblPr>
        <w:tblStyle w:val="Mkatabulky"/>
        <w:tblW w:w="0" w:type="auto"/>
        <w:tblInd w:w="-5" w:type="dxa"/>
        <w:tblLook w:val="04A0" w:firstRow="1" w:lastRow="0" w:firstColumn="1" w:lastColumn="0" w:noHBand="0" w:noVBand="1"/>
      </w:tblPr>
      <w:tblGrid>
        <w:gridCol w:w="9067"/>
      </w:tblGrid>
      <w:tr w:rsidR="00C72C9E" w14:paraId="71DDA1EB" w14:textId="77777777" w:rsidTr="00115ECA">
        <w:tc>
          <w:tcPr>
            <w:tcW w:w="9067" w:type="dxa"/>
            <w:tcBorders>
              <w:top w:val="single" w:sz="4" w:space="0" w:color="auto"/>
              <w:left w:val="single" w:sz="4" w:space="0" w:color="auto"/>
              <w:bottom w:val="single" w:sz="4" w:space="0" w:color="auto"/>
              <w:right w:val="single" w:sz="4" w:space="0" w:color="auto"/>
            </w:tcBorders>
            <w:hideMark/>
          </w:tcPr>
          <w:p w14:paraId="27A7F7E4" w14:textId="094C299B" w:rsidR="00524AB9" w:rsidRPr="002C310E" w:rsidRDefault="00F04DCF" w:rsidP="00927C63">
            <w:pPr>
              <w:jc w:val="both"/>
              <w:rPr>
                <w:rFonts w:cstheme="minorHAnsi"/>
                <w:i/>
                <w:sz w:val="24"/>
                <w:szCs w:val="24"/>
              </w:rPr>
            </w:pPr>
            <w:r w:rsidRPr="002C310E">
              <w:rPr>
                <w:rFonts w:cstheme="minorHAnsi"/>
                <w:i/>
                <w:sz w:val="24"/>
                <w:szCs w:val="24"/>
              </w:rPr>
              <w:t>C</w:t>
            </w:r>
            <w:r w:rsidR="00944941" w:rsidRPr="002C310E">
              <w:rPr>
                <w:rFonts w:cstheme="minorHAnsi"/>
                <w:i/>
                <w:sz w:val="24"/>
                <w:szCs w:val="24"/>
              </w:rPr>
              <w:t>ílem projektu</w:t>
            </w:r>
            <w:r w:rsidRPr="002C310E">
              <w:rPr>
                <w:rFonts w:cstheme="minorHAnsi"/>
                <w:i/>
                <w:sz w:val="24"/>
                <w:szCs w:val="24"/>
              </w:rPr>
              <w:t xml:space="preserve"> AMIF/22/09 </w:t>
            </w:r>
            <w:r w:rsidR="000D01D4">
              <w:rPr>
                <w:rFonts w:cstheme="minorHAnsi"/>
                <w:i/>
                <w:sz w:val="24"/>
                <w:szCs w:val="24"/>
              </w:rPr>
              <w:t>–</w:t>
            </w:r>
            <w:r w:rsidRPr="002C310E">
              <w:rPr>
                <w:rFonts w:cstheme="minorHAnsi"/>
                <w:i/>
                <w:sz w:val="24"/>
                <w:szCs w:val="24"/>
              </w:rPr>
              <w:t xml:space="preserve"> (Dez)informace</w:t>
            </w:r>
            <w:r w:rsidR="00944941" w:rsidRPr="002C310E">
              <w:rPr>
                <w:rFonts w:cstheme="minorHAnsi"/>
                <w:i/>
                <w:sz w:val="24"/>
                <w:szCs w:val="24"/>
              </w:rPr>
              <w:t xml:space="preserve"> je zvýšení informovanosti </w:t>
            </w:r>
            <w:r w:rsidRPr="002C310E">
              <w:rPr>
                <w:rFonts w:cstheme="minorHAnsi"/>
                <w:i/>
                <w:sz w:val="24"/>
                <w:szCs w:val="24"/>
              </w:rPr>
              <w:t xml:space="preserve">většinové </w:t>
            </w:r>
            <w:r w:rsidR="00944941" w:rsidRPr="002C310E">
              <w:rPr>
                <w:rFonts w:cstheme="minorHAnsi"/>
                <w:i/>
                <w:sz w:val="24"/>
                <w:szCs w:val="24"/>
              </w:rPr>
              <w:t>společnosti v oblasti integrace cizinců ze třetích zemí pomocí šíření objektivních informací o</w:t>
            </w:r>
            <w:r w:rsidR="000D01D4">
              <w:rPr>
                <w:rFonts w:cstheme="minorHAnsi"/>
                <w:i/>
                <w:sz w:val="24"/>
                <w:szCs w:val="24"/>
              </w:rPr>
              <w:t> </w:t>
            </w:r>
            <w:r w:rsidR="00944941" w:rsidRPr="002C310E">
              <w:rPr>
                <w:rFonts w:cstheme="minorHAnsi"/>
                <w:i/>
                <w:sz w:val="24"/>
                <w:szCs w:val="24"/>
              </w:rPr>
              <w:t>tomto tématu</w:t>
            </w:r>
            <w:r w:rsidR="004104A4" w:rsidRPr="002C310E">
              <w:rPr>
                <w:rFonts w:cstheme="minorHAnsi"/>
                <w:i/>
                <w:sz w:val="24"/>
                <w:szCs w:val="24"/>
              </w:rPr>
              <w:t xml:space="preserve">. </w:t>
            </w:r>
            <w:r w:rsidR="00944941" w:rsidRPr="002C310E">
              <w:rPr>
                <w:rFonts w:cstheme="minorHAnsi"/>
                <w:i/>
                <w:sz w:val="24"/>
                <w:szCs w:val="24"/>
              </w:rPr>
              <w:t>V rámci projektu jsou stanoveny dvě klíčové ak</w:t>
            </w:r>
            <w:r w:rsidR="004104A4" w:rsidRPr="002C310E">
              <w:rPr>
                <w:rFonts w:cstheme="minorHAnsi"/>
                <w:i/>
                <w:sz w:val="24"/>
                <w:szCs w:val="24"/>
              </w:rPr>
              <w:t xml:space="preserve">tivity – </w:t>
            </w:r>
            <w:r w:rsidR="000D01D4">
              <w:rPr>
                <w:rFonts w:cstheme="minorHAnsi"/>
                <w:i/>
                <w:sz w:val="24"/>
                <w:szCs w:val="24"/>
              </w:rPr>
              <w:t>a</w:t>
            </w:r>
            <w:r w:rsidR="004104A4" w:rsidRPr="002C310E">
              <w:rPr>
                <w:rFonts w:cstheme="minorHAnsi"/>
                <w:i/>
                <w:sz w:val="24"/>
                <w:szCs w:val="24"/>
              </w:rPr>
              <w:t>udiovizuální kampaň a </w:t>
            </w:r>
            <w:r w:rsidR="000D01D4">
              <w:rPr>
                <w:rFonts w:cstheme="minorHAnsi"/>
                <w:i/>
                <w:sz w:val="24"/>
                <w:szCs w:val="24"/>
              </w:rPr>
              <w:t>v</w:t>
            </w:r>
            <w:r w:rsidR="00944941" w:rsidRPr="002C310E">
              <w:rPr>
                <w:rFonts w:cstheme="minorHAnsi"/>
                <w:i/>
                <w:sz w:val="24"/>
                <w:szCs w:val="24"/>
              </w:rPr>
              <w:t>zdělávací workshopy na školách. Hlavní náplní workshopů realizovaných pro 8.</w:t>
            </w:r>
            <w:r w:rsidR="000D01D4">
              <w:rPr>
                <w:rFonts w:cstheme="minorHAnsi"/>
                <w:i/>
                <w:sz w:val="24"/>
                <w:szCs w:val="24"/>
              </w:rPr>
              <w:t> </w:t>
            </w:r>
            <w:r w:rsidR="00944941" w:rsidRPr="002C310E">
              <w:rPr>
                <w:rFonts w:cstheme="minorHAnsi"/>
                <w:i/>
                <w:sz w:val="24"/>
                <w:szCs w:val="24"/>
              </w:rPr>
              <w:t>a</w:t>
            </w:r>
            <w:r w:rsidR="00927C63">
              <w:rPr>
                <w:rFonts w:cstheme="minorHAnsi"/>
                <w:i/>
                <w:sz w:val="24"/>
                <w:szCs w:val="24"/>
              </w:rPr>
              <w:t> </w:t>
            </w:r>
            <w:r w:rsidR="00944941" w:rsidRPr="002C310E">
              <w:rPr>
                <w:rFonts w:cstheme="minorHAnsi"/>
                <w:i/>
                <w:sz w:val="24"/>
                <w:szCs w:val="24"/>
              </w:rPr>
              <w:t xml:space="preserve">9. třídy </w:t>
            </w:r>
            <w:r w:rsidR="00117439" w:rsidRPr="002C310E">
              <w:rPr>
                <w:rFonts w:cstheme="minorHAnsi"/>
                <w:i/>
                <w:sz w:val="24"/>
                <w:szCs w:val="24"/>
              </w:rPr>
              <w:t>základních škol a střední školy</w:t>
            </w:r>
            <w:r w:rsidR="00944941" w:rsidRPr="002C310E">
              <w:rPr>
                <w:rFonts w:cstheme="minorHAnsi"/>
                <w:i/>
                <w:sz w:val="24"/>
                <w:szCs w:val="24"/>
              </w:rPr>
              <w:t xml:space="preserve"> </w:t>
            </w:r>
            <w:r w:rsidRPr="002C310E">
              <w:rPr>
                <w:rFonts w:cstheme="minorHAnsi"/>
                <w:i/>
                <w:sz w:val="24"/>
                <w:szCs w:val="24"/>
              </w:rPr>
              <w:t>má být</w:t>
            </w:r>
            <w:r w:rsidR="00944941" w:rsidRPr="002C310E">
              <w:rPr>
                <w:rFonts w:cstheme="minorHAnsi"/>
                <w:i/>
                <w:sz w:val="24"/>
                <w:szCs w:val="24"/>
              </w:rPr>
              <w:t xml:space="preserve"> společenská hra</w:t>
            </w:r>
            <w:r w:rsidR="00117439" w:rsidRPr="002C310E">
              <w:rPr>
                <w:rFonts w:cstheme="minorHAnsi"/>
                <w:i/>
                <w:sz w:val="24"/>
                <w:szCs w:val="24"/>
              </w:rPr>
              <w:t>, během které se žáci seznámí s </w:t>
            </w:r>
            <w:r w:rsidR="00944941" w:rsidRPr="002C310E">
              <w:rPr>
                <w:rFonts w:cstheme="minorHAnsi"/>
                <w:i/>
                <w:sz w:val="24"/>
                <w:szCs w:val="24"/>
              </w:rPr>
              <w:t xml:space="preserve">častými dezinformacemi a </w:t>
            </w:r>
            <w:r w:rsidR="004104A4" w:rsidRPr="002C310E">
              <w:rPr>
                <w:rFonts w:cstheme="minorHAnsi"/>
                <w:i/>
                <w:sz w:val="24"/>
                <w:szCs w:val="24"/>
              </w:rPr>
              <w:t>mají mo</w:t>
            </w:r>
            <w:r w:rsidR="00944941" w:rsidRPr="002C310E">
              <w:rPr>
                <w:rFonts w:cstheme="minorHAnsi"/>
                <w:i/>
                <w:sz w:val="24"/>
                <w:szCs w:val="24"/>
              </w:rPr>
              <w:t xml:space="preserve">žnost sami dojít k pravdivým závěrům. </w:t>
            </w:r>
            <w:r w:rsidR="00AE6764" w:rsidRPr="002C310E">
              <w:rPr>
                <w:rFonts w:cstheme="minorHAnsi"/>
                <w:i/>
                <w:sz w:val="24"/>
                <w:szCs w:val="24"/>
              </w:rPr>
              <w:t>Příjemce</w:t>
            </w:r>
            <w:r w:rsidRPr="002C310E">
              <w:rPr>
                <w:rFonts w:cstheme="minorHAnsi"/>
                <w:i/>
                <w:sz w:val="24"/>
                <w:szCs w:val="24"/>
              </w:rPr>
              <w:t xml:space="preserve"> </w:t>
            </w:r>
            <w:r w:rsidR="00944941" w:rsidRPr="002C310E">
              <w:rPr>
                <w:rFonts w:cstheme="minorHAnsi"/>
                <w:i/>
                <w:sz w:val="24"/>
                <w:szCs w:val="24"/>
              </w:rPr>
              <w:t xml:space="preserve">plánuje </w:t>
            </w:r>
            <w:r w:rsidR="004104A4" w:rsidRPr="002C310E">
              <w:rPr>
                <w:rFonts w:cstheme="minorHAnsi"/>
                <w:i/>
                <w:sz w:val="24"/>
                <w:szCs w:val="24"/>
              </w:rPr>
              <w:t xml:space="preserve">oslovit </w:t>
            </w:r>
            <w:r w:rsidR="00944941" w:rsidRPr="002C310E">
              <w:rPr>
                <w:rFonts w:cstheme="minorHAnsi"/>
                <w:i/>
                <w:sz w:val="24"/>
                <w:szCs w:val="24"/>
              </w:rPr>
              <w:t>cca 1</w:t>
            </w:r>
            <w:r w:rsidRPr="002C310E">
              <w:rPr>
                <w:rFonts w:cstheme="minorHAnsi"/>
                <w:i/>
                <w:sz w:val="24"/>
                <w:szCs w:val="24"/>
              </w:rPr>
              <w:t xml:space="preserve"> </w:t>
            </w:r>
            <w:r w:rsidR="00944941" w:rsidRPr="002C310E">
              <w:rPr>
                <w:rFonts w:cstheme="minorHAnsi"/>
                <w:i/>
                <w:sz w:val="24"/>
                <w:szCs w:val="24"/>
              </w:rPr>
              <w:t xml:space="preserve">000 </w:t>
            </w:r>
            <w:r w:rsidR="004104A4" w:rsidRPr="002C310E">
              <w:rPr>
                <w:rFonts w:cstheme="minorHAnsi"/>
                <w:i/>
                <w:sz w:val="24"/>
                <w:szCs w:val="24"/>
              </w:rPr>
              <w:t>žáků</w:t>
            </w:r>
            <w:r w:rsidR="00944941" w:rsidRPr="002C310E">
              <w:rPr>
                <w:rFonts w:cstheme="minorHAnsi"/>
                <w:i/>
                <w:sz w:val="24"/>
                <w:szCs w:val="24"/>
              </w:rPr>
              <w:t xml:space="preserve">. Náklady klíčové aktivity </w:t>
            </w:r>
            <w:r w:rsidR="000D01D4">
              <w:rPr>
                <w:rFonts w:cstheme="minorHAnsi"/>
                <w:i/>
                <w:sz w:val="24"/>
                <w:szCs w:val="24"/>
              </w:rPr>
              <w:t>„v</w:t>
            </w:r>
            <w:r w:rsidR="00944941" w:rsidRPr="002C310E">
              <w:rPr>
                <w:rFonts w:cstheme="minorHAnsi"/>
                <w:i/>
                <w:sz w:val="24"/>
                <w:szCs w:val="24"/>
              </w:rPr>
              <w:t>zdělávací workshopy na školách</w:t>
            </w:r>
            <w:r w:rsidR="000D01D4">
              <w:rPr>
                <w:rFonts w:cstheme="minorHAnsi"/>
                <w:i/>
                <w:sz w:val="24"/>
                <w:szCs w:val="24"/>
              </w:rPr>
              <w:t>“</w:t>
            </w:r>
            <w:r w:rsidR="00944941" w:rsidRPr="002C310E">
              <w:rPr>
                <w:rFonts w:cstheme="minorHAnsi"/>
                <w:i/>
                <w:sz w:val="24"/>
                <w:szCs w:val="24"/>
              </w:rPr>
              <w:t xml:space="preserve"> </w:t>
            </w:r>
            <w:r w:rsidR="004104A4" w:rsidRPr="002C310E">
              <w:rPr>
                <w:rFonts w:cstheme="minorHAnsi"/>
                <w:i/>
                <w:sz w:val="24"/>
                <w:szCs w:val="24"/>
              </w:rPr>
              <w:t>byly v </w:t>
            </w:r>
            <w:r w:rsidRPr="002C310E">
              <w:rPr>
                <w:rFonts w:cstheme="minorHAnsi"/>
                <w:i/>
                <w:sz w:val="24"/>
                <w:szCs w:val="24"/>
              </w:rPr>
              <w:t>ž</w:t>
            </w:r>
            <w:r w:rsidR="00944941" w:rsidRPr="002C310E">
              <w:rPr>
                <w:rFonts w:cstheme="minorHAnsi"/>
                <w:i/>
                <w:sz w:val="24"/>
                <w:szCs w:val="24"/>
              </w:rPr>
              <w:t xml:space="preserve">ádosti o podporu odhadovány na více než 2,5 mil. Kč, což odpovídá </w:t>
            </w:r>
            <w:r w:rsidR="004104A4" w:rsidRPr="002C310E">
              <w:rPr>
                <w:rFonts w:cstheme="minorHAnsi"/>
                <w:i/>
                <w:sz w:val="24"/>
                <w:szCs w:val="24"/>
              </w:rPr>
              <w:t xml:space="preserve">ceně cca 2 500 Kč na </w:t>
            </w:r>
            <w:r w:rsidR="00944941" w:rsidRPr="002C310E">
              <w:rPr>
                <w:rFonts w:cstheme="minorHAnsi"/>
                <w:i/>
                <w:sz w:val="24"/>
                <w:szCs w:val="24"/>
              </w:rPr>
              <w:t xml:space="preserve">žáka. Tato cena značně přesahuje průměrné náklady na žáka při realizaci </w:t>
            </w:r>
            <w:r w:rsidRPr="002C310E">
              <w:rPr>
                <w:rFonts w:cstheme="minorHAnsi"/>
                <w:i/>
                <w:sz w:val="24"/>
                <w:szCs w:val="24"/>
              </w:rPr>
              <w:t>p</w:t>
            </w:r>
            <w:r w:rsidR="00944941" w:rsidRPr="002C310E">
              <w:rPr>
                <w:rFonts w:cstheme="minorHAnsi"/>
                <w:i/>
                <w:sz w:val="24"/>
                <w:szCs w:val="24"/>
              </w:rPr>
              <w:t>rojektu AMIF/1/02</w:t>
            </w:r>
            <w:r w:rsidRPr="002C310E">
              <w:rPr>
                <w:rFonts w:cstheme="minorHAnsi"/>
                <w:i/>
                <w:sz w:val="24"/>
                <w:szCs w:val="24"/>
              </w:rPr>
              <w:t>, kdy u klíčové aktivity</w:t>
            </w:r>
            <w:r w:rsidR="00944941" w:rsidRPr="002C310E">
              <w:rPr>
                <w:rFonts w:cstheme="minorHAnsi"/>
                <w:i/>
                <w:sz w:val="24"/>
                <w:szCs w:val="24"/>
              </w:rPr>
              <w:t xml:space="preserve"> </w:t>
            </w:r>
            <w:r w:rsidR="000D01D4">
              <w:rPr>
                <w:rFonts w:cstheme="minorHAnsi"/>
                <w:i/>
                <w:sz w:val="24"/>
                <w:szCs w:val="24"/>
              </w:rPr>
              <w:t>„w</w:t>
            </w:r>
            <w:r w:rsidR="00944941" w:rsidRPr="002C310E">
              <w:rPr>
                <w:rFonts w:cstheme="minorHAnsi"/>
                <w:i/>
                <w:sz w:val="24"/>
                <w:szCs w:val="24"/>
              </w:rPr>
              <w:t xml:space="preserve">orkshopy na </w:t>
            </w:r>
            <w:r w:rsidR="00AE6764" w:rsidRPr="002C310E">
              <w:rPr>
                <w:rFonts w:cstheme="minorHAnsi"/>
                <w:i/>
                <w:sz w:val="24"/>
                <w:szCs w:val="24"/>
              </w:rPr>
              <w:t>středních školách</w:t>
            </w:r>
            <w:r w:rsidR="000D01D4">
              <w:rPr>
                <w:rFonts w:cstheme="minorHAnsi"/>
                <w:i/>
                <w:sz w:val="24"/>
                <w:szCs w:val="24"/>
              </w:rPr>
              <w:t>“</w:t>
            </w:r>
            <w:r w:rsidR="00AE6764" w:rsidRPr="002C310E">
              <w:rPr>
                <w:rFonts w:cstheme="minorHAnsi"/>
                <w:i/>
                <w:sz w:val="24"/>
                <w:szCs w:val="24"/>
              </w:rPr>
              <w:t xml:space="preserve"> činila </w:t>
            </w:r>
            <w:r w:rsidR="00944941" w:rsidRPr="002C310E">
              <w:rPr>
                <w:rFonts w:cstheme="minorHAnsi"/>
                <w:i/>
                <w:sz w:val="24"/>
                <w:szCs w:val="24"/>
              </w:rPr>
              <w:t>cca 400</w:t>
            </w:r>
            <w:r w:rsidR="000D01D4">
              <w:rPr>
                <w:rFonts w:cstheme="minorHAnsi"/>
                <w:i/>
                <w:sz w:val="24"/>
                <w:szCs w:val="24"/>
              </w:rPr>
              <w:t> </w:t>
            </w:r>
            <w:r w:rsidR="00944941" w:rsidRPr="002C310E">
              <w:rPr>
                <w:rFonts w:cstheme="minorHAnsi"/>
                <w:i/>
                <w:sz w:val="24"/>
                <w:szCs w:val="24"/>
              </w:rPr>
              <w:t xml:space="preserve">Kč. NKÚ pokládá náklady 2 500 Kč na žáka za vysoké vzhledem ke skutečnosti, že podpora necílí přímo na cizince, ale jedná se o náklady na člena </w:t>
            </w:r>
            <w:r w:rsidR="00AE6764" w:rsidRPr="002C310E">
              <w:rPr>
                <w:rFonts w:cstheme="minorHAnsi"/>
                <w:i/>
                <w:sz w:val="24"/>
                <w:szCs w:val="24"/>
              </w:rPr>
              <w:t xml:space="preserve">většinové </w:t>
            </w:r>
            <w:r w:rsidR="00944941" w:rsidRPr="002C310E">
              <w:rPr>
                <w:rFonts w:cstheme="minorHAnsi"/>
                <w:i/>
                <w:sz w:val="24"/>
                <w:szCs w:val="24"/>
              </w:rPr>
              <w:t xml:space="preserve">společnosti. NKÚ </w:t>
            </w:r>
            <w:r w:rsidR="00AE6764" w:rsidRPr="002C310E">
              <w:rPr>
                <w:rFonts w:cstheme="minorHAnsi"/>
                <w:i/>
                <w:sz w:val="24"/>
                <w:szCs w:val="24"/>
              </w:rPr>
              <w:t xml:space="preserve">vyhodnotil, </w:t>
            </w:r>
            <w:r w:rsidR="00944941" w:rsidRPr="002C310E">
              <w:rPr>
                <w:rFonts w:cstheme="minorHAnsi"/>
                <w:i/>
                <w:sz w:val="24"/>
                <w:szCs w:val="24"/>
              </w:rPr>
              <w:t xml:space="preserve">že </w:t>
            </w:r>
            <w:r w:rsidR="004104A4" w:rsidRPr="002C310E">
              <w:rPr>
                <w:rFonts w:cstheme="minorHAnsi"/>
                <w:i/>
                <w:sz w:val="24"/>
                <w:szCs w:val="24"/>
              </w:rPr>
              <w:t>výše plánovaných nákladů</w:t>
            </w:r>
            <w:r w:rsidR="00944941" w:rsidRPr="002C310E">
              <w:rPr>
                <w:rFonts w:cstheme="minorHAnsi"/>
                <w:i/>
                <w:sz w:val="24"/>
                <w:szCs w:val="24"/>
              </w:rPr>
              <w:t xml:space="preserve"> </w:t>
            </w:r>
            <w:r w:rsidR="004104A4" w:rsidRPr="002C310E">
              <w:rPr>
                <w:rFonts w:cstheme="minorHAnsi"/>
                <w:i/>
                <w:sz w:val="24"/>
                <w:szCs w:val="24"/>
              </w:rPr>
              <w:t>představuje</w:t>
            </w:r>
            <w:r w:rsidR="00944941" w:rsidRPr="002C310E">
              <w:rPr>
                <w:rFonts w:cstheme="minorHAnsi"/>
                <w:i/>
                <w:sz w:val="24"/>
                <w:szCs w:val="24"/>
              </w:rPr>
              <w:t xml:space="preserve"> značné riziko </w:t>
            </w:r>
            <w:r w:rsidR="004104A4" w:rsidRPr="002C310E">
              <w:rPr>
                <w:rFonts w:cstheme="minorHAnsi"/>
                <w:i/>
                <w:sz w:val="24"/>
                <w:szCs w:val="24"/>
              </w:rPr>
              <w:t>ne</w:t>
            </w:r>
            <w:r w:rsidR="00944941" w:rsidRPr="002C310E">
              <w:rPr>
                <w:rFonts w:cstheme="minorHAnsi"/>
                <w:i/>
                <w:sz w:val="24"/>
                <w:szCs w:val="24"/>
              </w:rPr>
              <w:t>efektivnosti proj</w:t>
            </w:r>
            <w:r w:rsidR="00FB6A97" w:rsidRPr="002C310E">
              <w:rPr>
                <w:rFonts w:cstheme="minorHAnsi"/>
                <w:i/>
                <w:sz w:val="24"/>
                <w:szCs w:val="24"/>
              </w:rPr>
              <w:t>ektu a ne</w:t>
            </w:r>
            <w:r w:rsidR="004104A4" w:rsidRPr="002C310E">
              <w:rPr>
                <w:rFonts w:cstheme="minorHAnsi"/>
                <w:i/>
                <w:sz w:val="24"/>
                <w:szCs w:val="24"/>
              </w:rPr>
              <w:t>ní úměrná</w:t>
            </w:r>
            <w:r w:rsidR="00FB6A97" w:rsidRPr="002C310E">
              <w:rPr>
                <w:rFonts w:cstheme="minorHAnsi"/>
                <w:i/>
                <w:sz w:val="24"/>
                <w:szCs w:val="24"/>
              </w:rPr>
              <w:t xml:space="preserve"> přínosům k </w:t>
            </w:r>
            <w:r w:rsidR="00944941" w:rsidRPr="002C310E">
              <w:rPr>
                <w:rFonts w:cstheme="minorHAnsi"/>
                <w:i/>
                <w:sz w:val="24"/>
                <w:szCs w:val="24"/>
              </w:rPr>
              <w:t xml:space="preserve">plnění </w:t>
            </w:r>
            <w:r w:rsidR="00AE6764" w:rsidRPr="002C310E">
              <w:rPr>
                <w:rFonts w:cstheme="minorHAnsi"/>
                <w:i/>
                <w:sz w:val="24"/>
                <w:szCs w:val="24"/>
              </w:rPr>
              <w:t>cílů NP AMIF</w:t>
            </w:r>
            <w:r w:rsidR="00944941" w:rsidRPr="002C310E">
              <w:rPr>
                <w:rFonts w:cstheme="minorHAnsi"/>
                <w:i/>
                <w:sz w:val="24"/>
                <w:szCs w:val="24"/>
              </w:rPr>
              <w:t xml:space="preserve">. </w:t>
            </w:r>
            <w:r w:rsidR="00AE6764" w:rsidRPr="002C310E">
              <w:rPr>
                <w:rFonts w:cstheme="minorHAnsi"/>
                <w:i/>
                <w:sz w:val="24"/>
                <w:szCs w:val="24"/>
              </w:rPr>
              <w:t xml:space="preserve">NKÚ proto </w:t>
            </w:r>
            <w:r w:rsidR="00944941" w:rsidRPr="002C310E">
              <w:rPr>
                <w:rFonts w:cstheme="minorHAnsi"/>
                <w:i/>
                <w:sz w:val="24"/>
                <w:szCs w:val="24"/>
              </w:rPr>
              <w:t xml:space="preserve">projekt </w:t>
            </w:r>
            <w:r w:rsidR="004104A4" w:rsidRPr="002C310E">
              <w:rPr>
                <w:rFonts w:cstheme="minorHAnsi"/>
                <w:i/>
                <w:sz w:val="24"/>
                <w:szCs w:val="24"/>
              </w:rPr>
              <w:t>vyhodnotil</w:t>
            </w:r>
            <w:r w:rsidR="00944941" w:rsidRPr="002C310E">
              <w:rPr>
                <w:rFonts w:cstheme="minorHAnsi"/>
                <w:i/>
                <w:sz w:val="24"/>
                <w:szCs w:val="24"/>
              </w:rPr>
              <w:t xml:space="preserve"> jako omezeně efektivní.</w:t>
            </w:r>
          </w:p>
        </w:tc>
      </w:tr>
    </w:tbl>
    <w:p w14:paraId="5E99A822" w14:textId="77777777" w:rsidR="00944941" w:rsidRPr="002C310E" w:rsidRDefault="00944941" w:rsidP="00733FC4">
      <w:pPr>
        <w:spacing w:after="0" w:line="240" w:lineRule="auto"/>
        <w:jc w:val="both"/>
        <w:rPr>
          <w:rFonts w:cstheme="minorHAnsi"/>
          <w:b/>
          <w:color w:val="000000" w:themeColor="text1"/>
          <w:sz w:val="24"/>
          <w:szCs w:val="24"/>
        </w:rPr>
      </w:pPr>
    </w:p>
    <w:tbl>
      <w:tblPr>
        <w:tblStyle w:val="Mkatabulky"/>
        <w:tblW w:w="0" w:type="auto"/>
        <w:tblLook w:val="04A0" w:firstRow="1" w:lastRow="0" w:firstColumn="1" w:lastColumn="0" w:noHBand="0" w:noVBand="1"/>
      </w:tblPr>
      <w:tblGrid>
        <w:gridCol w:w="9062"/>
      </w:tblGrid>
      <w:tr w:rsidR="00C72C9E" w14:paraId="2DDB1150" w14:textId="77777777" w:rsidTr="00BD4518">
        <w:trPr>
          <w:trHeight w:val="389"/>
        </w:trPr>
        <w:tc>
          <w:tcPr>
            <w:tcW w:w="9062" w:type="dxa"/>
            <w:shd w:val="clear" w:color="auto" w:fill="E5F1FF"/>
            <w:vAlign w:val="center"/>
          </w:tcPr>
          <w:p w14:paraId="47D4129E" w14:textId="5D19D982" w:rsidR="0091544F" w:rsidRPr="002C310E" w:rsidRDefault="00F04DCF" w:rsidP="000D01D4">
            <w:pPr>
              <w:pStyle w:val="Nadpis2"/>
              <w:outlineLvl w:val="1"/>
              <w:rPr>
                <w:rFonts w:asciiTheme="minorHAnsi" w:hAnsiTheme="minorHAnsi" w:cstheme="minorHAnsi"/>
                <w:b/>
                <w:sz w:val="24"/>
                <w:szCs w:val="24"/>
              </w:rPr>
            </w:pPr>
            <w:r w:rsidRPr="002C310E">
              <w:rPr>
                <w:rFonts w:asciiTheme="minorHAnsi" w:hAnsiTheme="minorHAnsi" w:cstheme="minorHAnsi"/>
                <w:b/>
                <w:color w:val="1F4E79" w:themeColor="accent1" w:themeShade="80"/>
                <w:sz w:val="24"/>
                <w:szCs w:val="24"/>
              </w:rPr>
              <w:t xml:space="preserve">B.3 </w:t>
            </w:r>
            <w:r w:rsidRPr="00DF79B9">
              <w:rPr>
                <w:rFonts w:asciiTheme="minorHAnsi" w:hAnsiTheme="minorHAnsi" w:cstheme="minorHAnsi"/>
                <w:b/>
                <w:i/>
                <w:color w:val="1F4E79" w:themeColor="accent1" w:themeShade="80"/>
                <w:sz w:val="24"/>
                <w:szCs w:val="24"/>
              </w:rPr>
              <w:t>Státní integrační program</w:t>
            </w:r>
          </w:p>
        </w:tc>
      </w:tr>
    </w:tbl>
    <w:p w14:paraId="483402B4" w14:textId="77777777" w:rsidR="005F3303" w:rsidRPr="00DF79B9" w:rsidRDefault="00F04DCF" w:rsidP="001F1E97">
      <w:pPr>
        <w:spacing w:before="120" w:after="120" w:line="240" w:lineRule="auto"/>
        <w:jc w:val="both"/>
        <w:rPr>
          <w:rFonts w:cstheme="minorHAnsi"/>
          <w:b/>
          <w:i/>
          <w:color w:val="1F4E79" w:themeColor="accent1" w:themeShade="80"/>
          <w:sz w:val="24"/>
          <w:szCs w:val="24"/>
        </w:rPr>
      </w:pPr>
      <w:r w:rsidRPr="00DF79B9">
        <w:rPr>
          <w:rFonts w:cstheme="minorHAnsi"/>
          <w:b/>
          <w:i/>
          <w:color w:val="1F4E79" w:themeColor="accent1" w:themeShade="80"/>
          <w:sz w:val="24"/>
          <w:szCs w:val="24"/>
        </w:rPr>
        <w:t>Přispěla realizace integračních plánů SIP k plnění cílů migrační politiky</w:t>
      </w:r>
      <w:r w:rsidR="001F1E97" w:rsidRPr="00DF79B9">
        <w:rPr>
          <w:rFonts w:cstheme="minorHAnsi"/>
          <w:b/>
          <w:i/>
          <w:color w:val="1F4E79" w:themeColor="accent1" w:themeShade="80"/>
          <w:sz w:val="24"/>
          <w:szCs w:val="24"/>
        </w:rPr>
        <w:t>, tj.</w:t>
      </w:r>
      <w:r w:rsidR="00295DFC" w:rsidRPr="00DF79B9">
        <w:rPr>
          <w:rFonts w:cstheme="minorHAnsi"/>
          <w:b/>
          <w:i/>
          <w:color w:val="1F4E79" w:themeColor="accent1" w:themeShade="80"/>
          <w:sz w:val="24"/>
          <w:szCs w:val="24"/>
        </w:rPr>
        <w:t xml:space="preserve"> byly </w:t>
      </w:r>
      <w:r w:rsidR="006A1715" w:rsidRPr="00DF79B9">
        <w:rPr>
          <w:rFonts w:cstheme="minorHAnsi"/>
          <w:b/>
          <w:i/>
          <w:color w:val="1F4E79" w:themeColor="accent1" w:themeShade="80"/>
          <w:sz w:val="24"/>
          <w:szCs w:val="24"/>
        </w:rPr>
        <w:t xml:space="preserve">peněžní </w:t>
      </w:r>
      <w:r w:rsidR="00295DFC" w:rsidRPr="00DF79B9">
        <w:rPr>
          <w:rFonts w:cstheme="minorHAnsi"/>
          <w:b/>
          <w:i/>
          <w:color w:val="1F4E79" w:themeColor="accent1" w:themeShade="80"/>
          <w:sz w:val="24"/>
          <w:szCs w:val="24"/>
        </w:rPr>
        <w:t>prostředky na projekty vynaloženy</w:t>
      </w:r>
      <w:r w:rsidR="001128D9" w:rsidRPr="00DF79B9">
        <w:rPr>
          <w:rFonts w:cstheme="minorHAnsi"/>
          <w:b/>
          <w:i/>
          <w:color w:val="1F4E79" w:themeColor="accent1" w:themeShade="80"/>
          <w:sz w:val="24"/>
          <w:szCs w:val="24"/>
        </w:rPr>
        <w:t xml:space="preserve"> účeln</w:t>
      </w:r>
      <w:r w:rsidR="00295DFC" w:rsidRPr="00DF79B9">
        <w:rPr>
          <w:rFonts w:cstheme="minorHAnsi"/>
          <w:b/>
          <w:i/>
          <w:color w:val="1F4E79" w:themeColor="accent1" w:themeShade="80"/>
          <w:sz w:val="24"/>
          <w:szCs w:val="24"/>
        </w:rPr>
        <w:t>ě</w:t>
      </w:r>
      <w:r w:rsidRPr="00DF79B9">
        <w:rPr>
          <w:rFonts w:cstheme="minorHAnsi"/>
          <w:b/>
          <w:i/>
          <w:color w:val="1F4E79" w:themeColor="accent1" w:themeShade="80"/>
          <w:sz w:val="24"/>
          <w:szCs w:val="24"/>
        </w:rPr>
        <w:t>?</w:t>
      </w:r>
    </w:p>
    <w:p w14:paraId="0E5888AA" w14:textId="77777777" w:rsidR="000C0035" w:rsidRPr="002C310E" w:rsidRDefault="00F04DCF" w:rsidP="001F1E97">
      <w:pPr>
        <w:spacing w:after="120" w:line="240" w:lineRule="auto"/>
        <w:jc w:val="both"/>
        <w:rPr>
          <w:rFonts w:cstheme="minorHAnsi"/>
          <w:b/>
          <w:color w:val="C00000"/>
          <w:sz w:val="24"/>
          <w:szCs w:val="24"/>
        </w:rPr>
      </w:pPr>
      <w:r w:rsidRPr="002C310E">
        <w:rPr>
          <w:rFonts w:cstheme="minorHAnsi"/>
          <w:b/>
          <w:color w:val="C00000"/>
          <w:sz w:val="24"/>
          <w:szCs w:val="24"/>
        </w:rPr>
        <w:t xml:space="preserve">→ </w:t>
      </w:r>
      <w:r w:rsidR="00316BA5" w:rsidRPr="002C310E">
        <w:rPr>
          <w:rFonts w:cstheme="minorHAnsi"/>
          <w:b/>
          <w:color w:val="C00000"/>
          <w:sz w:val="24"/>
          <w:szCs w:val="24"/>
        </w:rPr>
        <w:t xml:space="preserve">MV nepožaduje po SUZ MV následné ověření naplnění cíle SIP a </w:t>
      </w:r>
      <w:r w:rsidRPr="002C310E">
        <w:rPr>
          <w:rFonts w:cstheme="minorHAnsi"/>
          <w:b/>
          <w:color w:val="C00000"/>
          <w:sz w:val="24"/>
          <w:szCs w:val="24"/>
        </w:rPr>
        <w:t>SUZ MV neprovád</w:t>
      </w:r>
      <w:r w:rsidR="00316BA5" w:rsidRPr="002C310E">
        <w:rPr>
          <w:rFonts w:cstheme="minorHAnsi"/>
          <w:b/>
          <w:color w:val="C00000"/>
          <w:sz w:val="24"/>
          <w:szCs w:val="24"/>
        </w:rPr>
        <w:t>í</w:t>
      </w:r>
      <w:r w:rsidR="005D2423" w:rsidRPr="002C310E">
        <w:rPr>
          <w:rFonts w:cstheme="minorHAnsi"/>
          <w:b/>
          <w:color w:val="C00000"/>
          <w:sz w:val="24"/>
          <w:szCs w:val="24"/>
        </w:rPr>
        <w:t xml:space="preserve"> vyhodnocení aktivit realizovaných v rámci SIP</w:t>
      </w:r>
      <w:r w:rsidR="005B34C3" w:rsidRPr="002C310E">
        <w:rPr>
          <w:rFonts w:cstheme="minorHAnsi"/>
          <w:b/>
          <w:color w:val="C00000"/>
          <w:sz w:val="24"/>
          <w:szCs w:val="24"/>
        </w:rPr>
        <w:t>.</w:t>
      </w:r>
    </w:p>
    <w:p w14:paraId="757F89FE" w14:textId="3CB0A8A3" w:rsidR="000C0035" w:rsidRPr="002C310E" w:rsidRDefault="00F04DCF" w:rsidP="001F1E97">
      <w:pPr>
        <w:spacing w:after="120" w:line="240" w:lineRule="auto"/>
        <w:jc w:val="both"/>
        <w:rPr>
          <w:rFonts w:eastAsia="Calibri" w:cstheme="minorHAnsi"/>
          <w:bCs/>
          <w:iCs/>
          <w:spacing w:val="-1"/>
          <w:sz w:val="24"/>
          <w:szCs w:val="24"/>
          <w:lang w:eastAsia="cs-CZ"/>
        </w:rPr>
      </w:pPr>
      <w:r w:rsidRPr="00AA65DD">
        <w:rPr>
          <w:rFonts w:cstheme="minorHAnsi"/>
          <w:b/>
          <w:noProof/>
          <w:sz w:val="24"/>
          <w:szCs w:val="24"/>
        </w:rPr>
        <w:t>4.</w:t>
      </w:r>
      <w:r w:rsidR="000B1625" w:rsidRPr="00AA65DD">
        <w:rPr>
          <w:rFonts w:cstheme="minorHAnsi"/>
          <w:b/>
          <w:noProof/>
          <w:sz w:val="24"/>
          <w:szCs w:val="24"/>
        </w:rPr>
        <w:t>38</w:t>
      </w:r>
      <w:r w:rsidR="00B959DF" w:rsidRPr="002C310E">
        <w:rPr>
          <w:rFonts w:cstheme="minorHAnsi"/>
          <w:noProof/>
          <w:sz w:val="24"/>
          <w:szCs w:val="24"/>
        </w:rPr>
        <w:t xml:space="preserve"> </w:t>
      </w:r>
      <w:r w:rsidR="003573D9" w:rsidRPr="002C310E">
        <w:rPr>
          <w:rFonts w:cstheme="minorHAnsi"/>
          <w:noProof/>
          <w:sz w:val="24"/>
          <w:szCs w:val="24"/>
        </w:rPr>
        <w:t xml:space="preserve">MV </w:t>
      </w:r>
      <w:r w:rsidR="00064D33" w:rsidRPr="002C310E">
        <w:rPr>
          <w:rFonts w:cstheme="minorHAnsi"/>
          <w:sz w:val="24"/>
          <w:szCs w:val="24"/>
        </w:rPr>
        <w:t xml:space="preserve">nestanovilo </w:t>
      </w:r>
      <w:r w:rsidR="001128D9" w:rsidRPr="002C310E">
        <w:rPr>
          <w:rFonts w:cstheme="minorHAnsi"/>
          <w:sz w:val="24"/>
          <w:szCs w:val="24"/>
        </w:rPr>
        <w:t xml:space="preserve">v programu SIP </w:t>
      </w:r>
      <w:r w:rsidR="003573D9" w:rsidRPr="002C310E">
        <w:rPr>
          <w:rFonts w:cstheme="minorHAnsi"/>
          <w:sz w:val="24"/>
          <w:szCs w:val="24"/>
        </w:rPr>
        <w:t xml:space="preserve">měřitelné </w:t>
      </w:r>
      <w:r w:rsidR="00064D33" w:rsidRPr="002C310E">
        <w:rPr>
          <w:rFonts w:cstheme="minorHAnsi"/>
          <w:sz w:val="24"/>
          <w:szCs w:val="24"/>
        </w:rPr>
        <w:t xml:space="preserve">ukazatele pro naplnění </w:t>
      </w:r>
      <w:r w:rsidR="003573D9" w:rsidRPr="002C310E">
        <w:rPr>
          <w:rFonts w:cstheme="minorHAnsi"/>
          <w:sz w:val="24"/>
          <w:szCs w:val="24"/>
        </w:rPr>
        <w:t xml:space="preserve">cíle SIP </w:t>
      </w:r>
      <w:r w:rsidR="00064D33" w:rsidRPr="002C310E">
        <w:rPr>
          <w:rFonts w:cstheme="minorHAnsi"/>
          <w:sz w:val="24"/>
          <w:szCs w:val="24"/>
        </w:rPr>
        <w:t>a</w:t>
      </w:r>
      <w:r w:rsidR="003573D9" w:rsidRPr="002C310E">
        <w:rPr>
          <w:rFonts w:cstheme="minorHAnsi"/>
          <w:sz w:val="24"/>
          <w:szCs w:val="24"/>
        </w:rPr>
        <w:t>ni</w:t>
      </w:r>
      <w:r w:rsidR="00AA65DD">
        <w:rPr>
          <w:rFonts w:cstheme="minorHAnsi"/>
          <w:sz w:val="24"/>
          <w:szCs w:val="24"/>
        </w:rPr>
        <w:t xml:space="preserve"> </w:t>
      </w:r>
      <w:r w:rsidR="00064D33" w:rsidRPr="002C310E">
        <w:rPr>
          <w:rFonts w:cstheme="minorHAnsi"/>
          <w:sz w:val="24"/>
          <w:szCs w:val="24"/>
        </w:rPr>
        <w:t>ne</w:t>
      </w:r>
      <w:r w:rsidR="00316BA5" w:rsidRPr="002C310E">
        <w:rPr>
          <w:rFonts w:cstheme="minorHAnsi"/>
          <w:sz w:val="24"/>
          <w:szCs w:val="24"/>
        </w:rPr>
        <w:t>určilo</w:t>
      </w:r>
      <w:r w:rsidR="00064D33" w:rsidRPr="002C310E">
        <w:rPr>
          <w:rFonts w:cstheme="minorHAnsi"/>
          <w:sz w:val="24"/>
          <w:szCs w:val="24"/>
        </w:rPr>
        <w:t xml:space="preserve"> </w:t>
      </w:r>
      <w:r w:rsidR="00316BA5" w:rsidRPr="002C310E">
        <w:rPr>
          <w:rFonts w:cstheme="minorHAnsi"/>
          <w:sz w:val="24"/>
          <w:szCs w:val="24"/>
        </w:rPr>
        <w:t xml:space="preserve">pravidla nebo lhůty </w:t>
      </w:r>
      <w:r w:rsidR="00064D33" w:rsidRPr="002C310E">
        <w:rPr>
          <w:rFonts w:cstheme="minorHAnsi"/>
          <w:sz w:val="24"/>
          <w:szCs w:val="24"/>
        </w:rPr>
        <w:t xml:space="preserve">pro sledování </w:t>
      </w:r>
      <w:r w:rsidR="00800667" w:rsidRPr="002C310E">
        <w:rPr>
          <w:rFonts w:cstheme="minorHAnsi"/>
          <w:sz w:val="24"/>
          <w:szCs w:val="24"/>
        </w:rPr>
        <w:t>klientů</w:t>
      </w:r>
      <w:r w:rsidR="00064D33" w:rsidRPr="002C310E">
        <w:rPr>
          <w:rFonts w:cstheme="minorHAnsi"/>
          <w:sz w:val="24"/>
          <w:szCs w:val="24"/>
        </w:rPr>
        <w:t xml:space="preserve"> po ukončení realizace </w:t>
      </w:r>
      <w:r w:rsidR="00316BA5" w:rsidRPr="002C310E">
        <w:rPr>
          <w:rFonts w:cstheme="minorHAnsi"/>
          <w:sz w:val="24"/>
          <w:szCs w:val="24"/>
        </w:rPr>
        <w:t>konkrétních integračních plánů</w:t>
      </w:r>
      <w:r w:rsidR="00064D33" w:rsidRPr="002C310E">
        <w:rPr>
          <w:rFonts w:cstheme="minorHAnsi"/>
          <w:sz w:val="24"/>
          <w:szCs w:val="24"/>
        </w:rPr>
        <w:t xml:space="preserve">. </w:t>
      </w:r>
      <w:r w:rsidR="00316BA5" w:rsidRPr="002C310E">
        <w:rPr>
          <w:rFonts w:cstheme="minorHAnsi"/>
          <w:sz w:val="24"/>
          <w:szCs w:val="24"/>
        </w:rPr>
        <w:t>Nastavený obecný cíl programu</w:t>
      </w:r>
      <w:r w:rsidR="008377A7" w:rsidRPr="002C310E">
        <w:rPr>
          <w:rFonts w:cstheme="minorHAnsi"/>
          <w:sz w:val="24"/>
          <w:szCs w:val="24"/>
        </w:rPr>
        <w:t xml:space="preserve"> </w:t>
      </w:r>
      <w:r w:rsidR="00064D33" w:rsidRPr="002C310E">
        <w:rPr>
          <w:rFonts w:cstheme="minorHAnsi"/>
          <w:sz w:val="24"/>
          <w:szCs w:val="24"/>
        </w:rPr>
        <w:t xml:space="preserve">nelze </w:t>
      </w:r>
      <w:r w:rsidR="008377A7" w:rsidRPr="002C310E">
        <w:rPr>
          <w:rFonts w:cstheme="minorHAnsi"/>
          <w:sz w:val="24"/>
          <w:szCs w:val="24"/>
        </w:rPr>
        <w:t>vy</w:t>
      </w:r>
      <w:r w:rsidR="00064D33" w:rsidRPr="002C310E">
        <w:rPr>
          <w:rFonts w:cstheme="minorHAnsi"/>
          <w:sz w:val="24"/>
          <w:szCs w:val="24"/>
        </w:rPr>
        <w:t>hodnotit</w:t>
      </w:r>
      <w:r w:rsidR="00316BA5" w:rsidRPr="002C310E">
        <w:rPr>
          <w:rFonts w:cstheme="minorHAnsi"/>
          <w:sz w:val="24"/>
          <w:szCs w:val="24"/>
        </w:rPr>
        <w:t xml:space="preserve"> </w:t>
      </w:r>
      <w:r w:rsidR="003573D9" w:rsidRPr="002C310E">
        <w:rPr>
          <w:rFonts w:cstheme="minorHAnsi"/>
          <w:sz w:val="24"/>
          <w:szCs w:val="24"/>
        </w:rPr>
        <w:t>po</w:t>
      </w:r>
      <w:r w:rsidR="00064D33" w:rsidRPr="002C310E">
        <w:rPr>
          <w:rFonts w:cstheme="minorHAnsi"/>
          <w:sz w:val="24"/>
          <w:szCs w:val="24"/>
        </w:rPr>
        <w:t>dle principu SMART.</w:t>
      </w:r>
      <w:r w:rsidR="003573D9" w:rsidRPr="002C310E">
        <w:rPr>
          <w:rFonts w:cstheme="minorHAnsi"/>
          <w:sz w:val="24"/>
          <w:szCs w:val="24"/>
        </w:rPr>
        <w:t xml:space="preserve"> MV </w:t>
      </w:r>
      <w:r w:rsidR="00064D33" w:rsidRPr="002C310E">
        <w:rPr>
          <w:rFonts w:cstheme="minorHAnsi"/>
          <w:sz w:val="24"/>
          <w:szCs w:val="24"/>
        </w:rPr>
        <w:t>ne</w:t>
      </w:r>
      <w:r w:rsidR="008377A7" w:rsidRPr="002C310E">
        <w:rPr>
          <w:rFonts w:cstheme="minorHAnsi"/>
          <w:sz w:val="24"/>
          <w:szCs w:val="24"/>
        </w:rPr>
        <w:t>zjišťuje</w:t>
      </w:r>
      <w:r w:rsidR="00316BA5" w:rsidRPr="002C310E">
        <w:rPr>
          <w:rFonts w:cstheme="minorHAnsi"/>
          <w:sz w:val="24"/>
          <w:szCs w:val="24"/>
        </w:rPr>
        <w:t xml:space="preserve"> zpětnou vazbu o </w:t>
      </w:r>
      <w:r w:rsidR="00064D33" w:rsidRPr="002C310E">
        <w:rPr>
          <w:rFonts w:cstheme="minorHAnsi"/>
          <w:sz w:val="24"/>
          <w:szCs w:val="24"/>
        </w:rPr>
        <w:t>tom, zda se</w:t>
      </w:r>
      <w:r w:rsidR="008377A7" w:rsidRPr="002C310E">
        <w:rPr>
          <w:rFonts w:cstheme="minorHAnsi"/>
          <w:sz w:val="24"/>
          <w:szCs w:val="24"/>
        </w:rPr>
        <w:t xml:space="preserve"> klienti</w:t>
      </w:r>
      <w:r w:rsidR="00064D33" w:rsidRPr="002C310E">
        <w:rPr>
          <w:rFonts w:cstheme="minorHAnsi"/>
          <w:sz w:val="24"/>
          <w:szCs w:val="24"/>
        </w:rPr>
        <w:t xml:space="preserve"> úspěšně in</w:t>
      </w:r>
      <w:r w:rsidR="00AA65DD">
        <w:rPr>
          <w:rFonts w:cstheme="minorHAnsi"/>
          <w:sz w:val="24"/>
          <w:szCs w:val="24"/>
        </w:rPr>
        <w:t xml:space="preserve">tegrovali do české společnosti, </w:t>
      </w:r>
      <w:r w:rsidR="00064D33" w:rsidRPr="002C310E">
        <w:rPr>
          <w:rFonts w:cstheme="minorHAnsi"/>
          <w:sz w:val="24"/>
          <w:szCs w:val="24"/>
        </w:rPr>
        <w:t xml:space="preserve">zda </w:t>
      </w:r>
      <w:r w:rsidR="003573D9" w:rsidRPr="002C310E">
        <w:rPr>
          <w:rFonts w:cstheme="minorHAnsi"/>
          <w:sz w:val="24"/>
          <w:szCs w:val="24"/>
        </w:rPr>
        <w:t xml:space="preserve">např. </w:t>
      </w:r>
      <w:r w:rsidR="00064D33" w:rsidRPr="002C310E">
        <w:rPr>
          <w:rFonts w:cstheme="minorHAnsi"/>
          <w:sz w:val="24"/>
          <w:szCs w:val="24"/>
        </w:rPr>
        <w:t>zůstali a pracují v ČR. MV t</w:t>
      </w:r>
      <w:r w:rsidR="003573D9" w:rsidRPr="002C310E">
        <w:rPr>
          <w:rFonts w:cstheme="minorHAnsi"/>
          <w:sz w:val="24"/>
          <w:szCs w:val="24"/>
        </w:rPr>
        <w:t xml:space="preserve">ak </w:t>
      </w:r>
      <w:r w:rsidR="00064D33" w:rsidRPr="002C310E">
        <w:rPr>
          <w:rFonts w:cstheme="minorHAnsi"/>
          <w:sz w:val="24"/>
          <w:szCs w:val="24"/>
        </w:rPr>
        <w:t xml:space="preserve">nemá přehled o úspěšnosti </w:t>
      </w:r>
      <w:r w:rsidR="003573D9" w:rsidRPr="002C310E">
        <w:rPr>
          <w:rFonts w:cstheme="minorHAnsi"/>
          <w:sz w:val="24"/>
          <w:szCs w:val="24"/>
        </w:rPr>
        <w:t>integra</w:t>
      </w:r>
      <w:r w:rsidR="008377A7" w:rsidRPr="002C310E">
        <w:rPr>
          <w:rFonts w:cstheme="minorHAnsi"/>
          <w:sz w:val="24"/>
          <w:szCs w:val="24"/>
        </w:rPr>
        <w:t xml:space="preserve">ce klientů </w:t>
      </w:r>
      <w:r w:rsidR="003573D9" w:rsidRPr="002C310E">
        <w:rPr>
          <w:rFonts w:cstheme="minorHAnsi"/>
          <w:sz w:val="24"/>
          <w:szCs w:val="24"/>
        </w:rPr>
        <w:t xml:space="preserve">a nemůže hodnotit, zda </w:t>
      </w:r>
      <w:r w:rsidR="000D01D4" w:rsidRPr="002C310E">
        <w:rPr>
          <w:rFonts w:cstheme="minorHAnsi"/>
          <w:sz w:val="24"/>
          <w:szCs w:val="24"/>
        </w:rPr>
        <w:lastRenderedPageBreak/>
        <w:t xml:space="preserve">byly </w:t>
      </w:r>
      <w:r w:rsidR="00064D33" w:rsidRPr="002C310E">
        <w:rPr>
          <w:rFonts w:cstheme="minorHAnsi"/>
          <w:sz w:val="24"/>
          <w:szCs w:val="24"/>
        </w:rPr>
        <w:t>prostředky vynaloženy účelně</w:t>
      </w:r>
      <w:r w:rsidR="003573D9" w:rsidRPr="002C310E">
        <w:rPr>
          <w:rFonts w:cstheme="minorHAnsi"/>
          <w:sz w:val="24"/>
          <w:szCs w:val="24"/>
        </w:rPr>
        <w:t>.</w:t>
      </w:r>
      <w:r w:rsidRPr="002C310E">
        <w:rPr>
          <w:rFonts w:eastAsia="Calibri" w:cstheme="minorHAnsi"/>
          <w:bCs/>
          <w:iCs/>
          <w:spacing w:val="-1"/>
          <w:sz w:val="24"/>
          <w:szCs w:val="24"/>
          <w:lang w:eastAsia="cs-CZ"/>
        </w:rPr>
        <w:t xml:space="preserve"> MV nestanovilo </w:t>
      </w:r>
      <w:r w:rsidR="001128D9" w:rsidRPr="002C310E">
        <w:rPr>
          <w:rFonts w:eastAsia="Calibri" w:cstheme="minorHAnsi"/>
          <w:bCs/>
          <w:iCs/>
          <w:spacing w:val="-1"/>
          <w:sz w:val="24"/>
          <w:szCs w:val="24"/>
          <w:lang w:eastAsia="cs-CZ"/>
        </w:rPr>
        <w:t xml:space="preserve">ani </w:t>
      </w:r>
      <w:r w:rsidRPr="002C310E">
        <w:rPr>
          <w:rFonts w:eastAsia="Calibri" w:cstheme="minorHAnsi"/>
          <w:bCs/>
          <w:iCs/>
          <w:spacing w:val="-1"/>
          <w:sz w:val="24"/>
          <w:szCs w:val="24"/>
          <w:lang w:eastAsia="cs-CZ"/>
        </w:rPr>
        <w:t xml:space="preserve">SUZ MV </w:t>
      </w:r>
      <w:r w:rsidR="001128D9" w:rsidRPr="002C310E">
        <w:rPr>
          <w:rFonts w:eastAsia="Calibri" w:cstheme="minorHAnsi"/>
          <w:bCs/>
          <w:iCs/>
          <w:spacing w:val="-1"/>
          <w:sz w:val="24"/>
          <w:szCs w:val="24"/>
          <w:lang w:eastAsia="cs-CZ"/>
        </w:rPr>
        <w:t xml:space="preserve">jako podřízené organizaci </w:t>
      </w:r>
      <w:r w:rsidRPr="002C310E">
        <w:rPr>
          <w:rFonts w:eastAsia="Calibri" w:cstheme="minorHAnsi"/>
          <w:bCs/>
          <w:iCs/>
          <w:spacing w:val="-1"/>
          <w:sz w:val="24"/>
          <w:szCs w:val="24"/>
          <w:lang w:eastAsia="cs-CZ"/>
        </w:rPr>
        <w:t xml:space="preserve">povinnost provádět následné ověření naplnění cíle SIP či vyhodnocovat aktivity realizované v rámci SIP ve vztahu k integračnímu procesu </w:t>
      </w:r>
      <w:r w:rsidR="005B34C3" w:rsidRPr="002C310E">
        <w:rPr>
          <w:rFonts w:eastAsia="Calibri" w:cstheme="minorHAnsi"/>
          <w:bCs/>
          <w:iCs/>
          <w:spacing w:val="-1"/>
          <w:sz w:val="24"/>
          <w:szCs w:val="24"/>
          <w:lang w:eastAsia="cs-CZ"/>
        </w:rPr>
        <w:t>klientů</w:t>
      </w:r>
      <w:r w:rsidRPr="002C310E">
        <w:rPr>
          <w:rFonts w:eastAsia="Calibri" w:cstheme="minorHAnsi"/>
          <w:bCs/>
          <w:iCs/>
          <w:spacing w:val="-1"/>
          <w:sz w:val="24"/>
          <w:szCs w:val="24"/>
          <w:lang w:eastAsia="cs-CZ"/>
        </w:rPr>
        <w:t xml:space="preserve">. </w:t>
      </w:r>
    </w:p>
    <w:p w14:paraId="38DDC3DE" w14:textId="789FEC15" w:rsidR="00AF5301" w:rsidRPr="002C310E" w:rsidRDefault="00F04DCF" w:rsidP="00AF5301">
      <w:pPr>
        <w:spacing w:after="120" w:line="240" w:lineRule="auto"/>
        <w:jc w:val="both"/>
        <w:rPr>
          <w:rFonts w:cstheme="minorHAnsi"/>
          <w:sz w:val="24"/>
          <w:szCs w:val="24"/>
        </w:rPr>
      </w:pPr>
      <w:r w:rsidRPr="00AA65DD">
        <w:rPr>
          <w:rFonts w:cstheme="minorHAnsi"/>
          <w:b/>
          <w:noProof/>
          <w:sz w:val="24"/>
          <w:szCs w:val="24"/>
        </w:rPr>
        <w:t>4.</w:t>
      </w:r>
      <w:r w:rsidR="000B1625" w:rsidRPr="00AA65DD">
        <w:rPr>
          <w:rFonts w:cstheme="minorHAnsi"/>
          <w:b/>
          <w:noProof/>
          <w:sz w:val="24"/>
          <w:szCs w:val="24"/>
        </w:rPr>
        <w:t>39</w:t>
      </w:r>
      <w:r w:rsidR="005E4FFE" w:rsidRPr="002C310E">
        <w:rPr>
          <w:rFonts w:cstheme="minorHAnsi"/>
          <w:noProof/>
          <w:sz w:val="24"/>
          <w:szCs w:val="24"/>
        </w:rPr>
        <w:t xml:space="preserve"> </w:t>
      </w:r>
      <w:r w:rsidR="008E3C52" w:rsidRPr="002C310E">
        <w:rPr>
          <w:rFonts w:cstheme="minorHAnsi"/>
          <w:sz w:val="24"/>
          <w:szCs w:val="24"/>
        </w:rPr>
        <w:t>O zařazení do SIP a následnou podporu při integraci může požádat držitel mezinárodní ochrany (oprávněná osoba).</w:t>
      </w:r>
      <w:r w:rsidR="008E3C52" w:rsidRPr="002C310E">
        <w:rPr>
          <w:rFonts w:cstheme="minorHAnsi"/>
        </w:rPr>
        <w:t xml:space="preserve"> </w:t>
      </w:r>
      <w:r w:rsidR="00316BA5" w:rsidRPr="002C310E">
        <w:rPr>
          <w:rFonts w:eastAsia="Calibri" w:cstheme="minorHAnsi"/>
          <w:sz w:val="24"/>
          <w:szCs w:val="24"/>
        </w:rPr>
        <w:t>SUZ MV</w:t>
      </w:r>
      <w:r w:rsidR="00A26DC7" w:rsidRPr="002C310E">
        <w:rPr>
          <w:rFonts w:eastAsia="Calibri" w:cstheme="minorHAnsi"/>
          <w:sz w:val="24"/>
          <w:szCs w:val="24"/>
        </w:rPr>
        <w:t>,</w:t>
      </w:r>
      <w:r w:rsidR="00A26DC7" w:rsidRPr="002C310E">
        <w:rPr>
          <w:rFonts w:cstheme="minorHAnsi"/>
          <w:sz w:val="24"/>
          <w:szCs w:val="24"/>
        </w:rPr>
        <w:t xml:space="preserve"> popř. jiný poskytovatel integračních služeb,</w:t>
      </w:r>
      <w:r w:rsidR="00316BA5" w:rsidRPr="002C310E">
        <w:rPr>
          <w:rFonts w:eastAsia="Calibri" w:cstheme="minorHAnsi"/>
          <w:sz w:val="24"/>
          <w:szCs w:val="24"/>
        </w:rPr>
        <w:t xml:space="preserve"> rozhoduje</w:t>
      </w:r>
      <w:r w:rsidR="00A26DC7" w:rsidRPr="002C310E">
        <w:rPr>
          <w:rFonts w:eastAsia="Calibri" w:cstheme="minorHAnsi"/>
          <w:sz w:val="24"/>
          <w:szCs w:val="24"/>
        </w:rPr>
        <w:t xml:space="preserve"> </w:t>
      </w:r>
      <w:r w:rsidR="00316BA5" w:rsidRPr="002C310E">
        <w:rPr>
          <w:rFonts w:eastAsia="Calibri" w:cstheme="minorHAnsi"/>
          <w:sz w:val="24"/>
          <w:szCs w:val="24"/>
        </w:rPr>
        <w:t>o</w:t>
      </w:r>
      <w:r w:rsidR="00A20856">
        <w:rPr>
          <w:rFonts w:eastAsia="Calibri" w:cstheme="minorHAnsi"/>
          <w:sz w:val="24"/>
          <w:szCs w:val="24"/>
        </w:rPr>
        <w:t> </w:t>
      </w:r>
      <w:r w:rsidR="00316BA5" w:rsidRPr="002C310E">
        <w:rPr>
          <w:rFonts w:eastAsia="Calibri" w:cstheme="minorHAnsi"/>
          <w:sz w:val="24"/>
          <w:szCs w:val="24"/>
        </w:rPr>
        <w:t xml:space="preserve">obsahu </w:t>
      </w:r>
      <w:r w:rsidR="00064D33" w:rsidRPr="002C310E">
        <w:rPr>
          <w:rFonts w:cstheme="minorHAnsi"/>
          <w:sz w:val="24"/>
          <w:szCs w:val="24"/>
        </w:rPr>
        <w:t>integračních plánů</w:t>
      </w:r>
      <w:r w:rsidR="00316BA5" w:rsidRPr="002C310E">
        <w:rPr>
          <w:rFonts w:cstheme="minorHAnsi"/>
          <w:sz w:val="24"/>
          <w:szCs w:val="24"/>
        </w:rPr>
        <w:t>,</w:t>
      </w:r>
      <w:r w:rsidR="00A26DC7" w:rsidRPr="002C310E">
        <w:rPr>
          <w:rFonts w:cstheme="minorHAnsi"/>
          <w:sz w:val="24"/>
          <w:szCs w:val="24"/>
        </w:rPr>
        <w:t xml:space="preserve"> které jsou </w:t>
      </w:r>
      <w:r w:rsidR="00316BA5" w:rsidRPr="002C310E">
        <w:rPr>
          <w:rFonts w:cstheme="minorHAnsi"/>
          <w:sz w:val="24"/>
          <w:szCs w:val="24"/>
        </w:rPr>
        <w:t>tvořeny</w:t>
      </w:r>
      <w:r w:rsidR="00064D33" w:rsidRPr="002C310E">
        <w:rPr>
          <w:rFonts w:cstheme="minorHAnsi"/>
          <w:sz w:val="24"/>
          <w:szCs w:val="24"/>
        </w:rPr>
        <w:t xml:space="preserve"> na míru oprávněným osobám</w:t>
      </w:r>
      <w:r w:rsidR="00566D6A" w:rsidRPr="002C310E">
        <w:rPr>
          <w:rFonts w:cstheme="minorHAnsi"/>
          <w:sz w:val="24"/>
          <w:szCs w:val="24"/>
        </w:rPr>
        <w:t>.</w:t>
      </w:r>
      <w:r w:rsidRPr="002C310E">
        <w:rPr>
          <w:rFonts w:cstheme="minorHAnsi"/>
          <w:sz w:val="24"/>
          <w:szCs w:val="24"/>
        </w:rPr>
        <w:t xml:space="preserve"> MV je následně schvaluje.</w:t>
      </w:r>
      <w:r w:rsidRPr="002C310E">
        <w:rPr>
          <w:rFonts w:eastAsia="Calibri" w:cstheme="minorHAnsi"/>
          <w:sz w:val="24"/>
          <w:szCs w:val="24"/>
        </w:rPr>
        <w:t xml:space="preserve"> </w:t>
      </w:r>
      <w:r w:rsidRPr="002C310E">
        <w:rPr>
          <w:rFonts w:cstheme="minorHAnsi"/>
          <w:noProof/>
          <w:sz w:val="24"/>
          <w:szCs w:val="24"/>
        </w:rPr>
        <w:t>NKÚ chtěl posoudit účelnost 39 vy</w:t>
      </w:r>
      <w:r w:rsidR="00C23C8F">
        <w:rPr>
          <w:rFonts w:cstheme="minorHAnsi"/>
          <w:noProof/>
          <w:sz w:val="24"/>
          <w:szCs w:val="24"/>
        </w:rPr>
        <w:t>braných integračních plánů</w:t>
      </w:r>
      <w:r w:rsidRPr="002C310E">
        <w:rPr>
          <w:rFonts w:cstheme="minorHAnsi"/>
          <w:noProof/>
          <w:sz w:val="24"/>
          <w:szCs w:val="24"/>
        </w:rPr>
        <w:t xml:space="preserve"> alespoň podle jednoduchého kritéria, tedy zda klient SIP zůstal v ČR a našel si zaměstnání. NKÚ však zjistil, že MV ani SUZ MV takovými informacemi nedisponují a ani je nesledují, a to ani ve formě spolupráce s jinými orgány státní správy</w:t>
      </w:r>
      <w:r w:rsidR="00051331">
        <w:rPr>
          <w:rFonts w:cstheme="minorHAnsi"/>
          <w:noProof/>
          <w:sz w:val="24"/>
          <w:szCs w:val="24"/>
        </w:rPr>
        <w:t>,</w:t>
      </w:r>
      <w:r w:rsidRPr="002C310E">
        <w:rPr>
          <w:rFonts w:cstheme="minorHAnsi"/>
          <w:noProof/>
          <w:sz w:val="24"/>
          <w:szCs w:val="24"/>
        </w:rPr>
        <w:t xml:space="preserve"> např. v oblasti sociálního zabezpečení a</w:t>
      </w:r>
      <w:r w:rsidR="00A20856">
        <w:rPr>
          <w:rFonts w:cstheme="minorHAnsi"/>
          <w:noProof/>
          <w:sz w:val="24"/>
          <w:szCs w:val="24"/>
        </w:rPr>
        <w:t> </w:t>
      </w:r>
      <w:r w:rsidRPr="002C310E">
        <w:rPr>
          <w:rFonts w:cstheme="minorHAnsi"/>
          <w:noProof/>
          <w:sz w:val="24"/>
          <w:szCs w:val="24"/>
        </w:rPr>
        <w:t>zaměstnanosti</w:t>
      </w:r>
      <w:r w:rsidR="00051331">
        <w:rPr>
          <w:rFonts w:cstheme="minorHAnsi"/>
          <w:noProof/>
          <w:sz w:val="24"/>
          <w:szCs w:val="24"/>
        </w:rPr>
        <w:t>,</w:t>
      </w:r>
      <w:r w:rsidRPr="002C310E">
        <w:rPr>
          <w:rFonts w:cstheme="minorHAnsi"/>
          <w:noProof/>
          <w:sz w:val="24"/>
          <w:szCs w:val="24"/>
        </w:rPr>
        <w:t xml:space="preserve"> ani získáváním a vyhodnocováním zpětné vazby od klientů SIP po ukončení integračního plánu.</w:t>
      </w:r>
      <w:r w:rsidRPr="002C310E">
        <w:rPr>
          <w:rFonts w:cstheme="minorHAnsi"/>
          <w:sz w:val="24"/>
          <w:szCs w:val="24"/>
        </w:rPr>
        <w:t xml:space="preserve"> </w:t>
      </w:r>
    </w:p>
    <w:p w14:paraId="2EAFF963" w14:textId="2A30CAD4" w:rsidR="00BD4B30" w:rsidRPr="002C310E" w:rsidRDefault="00F04DCF" w:rsidP="00490C0E">
      <w:pPr>
        <w:spacing w:after="120" w:line="240" w:lineRule="auto"/>
        <w:jc w:val="both"/>
        <w:rPr>
          <w:rFonts w:eastAsia="Calibri" w:cstheme="minorHAnsi"/>
          <w:bCs/>
          <w:iCs/>
          <w:spacing w:val="-1"/>
          <w:sz w:val="24"/>
          <w:szCs w:val="24"/>
          <w:lang w:eastAsia="cs-CZ"/>
        </w:rPr>
      </w:pPr>
      <w:r w:rsidRPr="00AA65DD">
        <w:rPr>
          <w:rFonts w:cstheme="minorHAnsi"/>
          <w:b/>
          <w:noProof/>
          <w:sz w:val="24"/>
          <w:szCs w:val="24"/>
        </w:rPr>
        <w:t>4.4</w:t>
      </w:r>
      <w:r w:rsidR="000B1625" w:rsidRPr="00AA65DD">
        <w:rPr>
          <w:rFonts w:cstheme="minorHAnsi"/>
          <w:b/>
          <w:noProof/>
          <w:sz w:val="24"/>
          <w:szCs w:val="24"/>
        </w:rPr>
        <w:t>0</w:t>
      </w:r>
      <w:r w:rsidR="00AD2B51" w:rsidRPr="002C310E">
        <w:rPr>
          <w:rFonts w:cstheme="minorHAnsi"/>
          <w:noProof/>
          <w:sz w:val="24"/>
          <w:szCs w:val="24"/>
        </w:rPr>
        <w:t xml:space="preserve"> </w:t>
      </w:r>
      <w:r w:rsidR="00AD2B51" w:rsidRPr="002C310E">
        <w:rPr>
          <w:rFonts w:cstheme="minorHAnsi"/>
          <w:sz w:val="24"/>
          <w:szCs w:val="24"/>
        </w:rPr>
        <w:t>MV má nastaven monitoring realizace jednotlivých integračních plánů</w:t>
      </w:r>
      <w:r w:rsidR="008377A7" w:rsidRPr="002C310E">
        <w:rPr>
          <w:rFonts w:cstheme="minorHAnsi"/>
          <w:sz w:val="24"/>
          <w:szCs w:val="24"/>
        </w:rPr>
        <w:t xml:space="preserve">. </w:t>
      </w:r>
      <w:r w:rsidR="00566D6A" w:rsidRPr="002C310E">
        <w:rPr>
          <w:rFonts w:cstheme="minorHAnsi"/>
          <w:sz w:val="24"/>
          <w:szCs w:val="24"/>
        </w:rPr>
        <w:t xml:space="preserve">Aby bylo možné </w:t>
      </w:r>
      <w:r w:rsidR="00BF578D" w:rsidRPr="002C310E">
        <w:rPr>
          <w:rFonts w:cstheme="minorHAnsi"/>
          <w:sz w:val="24"/>
          <w:szCs w:val="24"/>
        </w:rPr>
        <w:t xml:space="preserve">vyhodnotit, zda </w:t>
      </w:r>
      <w:r w:rsidR="00566D6A" w:rsidRPr="002C310E">
        <w:rPr>
          <w:rFonts w:cstheme="minorHAnsi"/>
          <w:sz w:val="24"/>
          <w:szCs w:val="24"/>
        </w:rPr>
        <w:t>byl</w:t>
      </w:r>
      <w:r w:rsidR="00521431" w:rsidRPr="002C310E">
        <w:rPr>
          <w:rFonts w:cstheme="minorHAnsi"/>
          <w:sz w:val="24"/>
          <w:szCs w:val="24"/>
        </w:rPr>
        <w:t xml:space="preserve">a </w:t>
      </w:r>
      <w:r w:rsidR="008377A7" w:rsidRPr="002C310E">
        <w:rPr>
          <w:rFonts w:cstheme="minorHAnsi"/>
          <w:sz w:val="24"/>
          <w:szCs w:val="24"/>
        </w:rPr>
        <w:t>integrace</w:t>
      </w:r>
      <w:r w:rsidR="00521431" w:rsidRPr="002C310E">
        <w:rPr>
          <w:rFonts w:cstheme="minorHAnsi"/>
          <w:sz w:val="24"/>
          <w:szCs w:val="24"/>
        </w:rPr>
        <w:t xml:space="preserve"> klienta</w:t>
      </w:r>
      <w:r w:rsidR="008377A7" w:rsidRPr="002C310E">
        <w:rPr>
          <w:rFonts w:cstheme="minorHAnsi"/>
          <w:sz w:val="24"/>
          <w:szCs w:val="24"/>
        </w:rPr>
        <w:t xml:space="preserve"> </w:t>
      </w:r>
      <w:r w:rsidR="00BF578D" w:rsidRPr="002C310E">
        <w:rPr>
          <w:rFonts w:cstheme="minorHAnsi"/>
          <w:sz w:val="24"/>
          <w:szCs w:val="24"/>
        </w:rPr>
        <w:t xml:space="preserve">po dobu realizace integračního plánu </w:t>
      </w:r>
      <w:r w:rsidR="00566D6A" w:rsidRPr="002C310E">
        <w:rPr>
          <w:rFonts w:cstheme="minorHAnsi"/>
          <w:sz w:val="24"/>
          <w:szCs w:val="24"/>
        </w:rPr>
        <w:t>úspěšn</w:t>
      </w:r>
      <w:r w:rsidR="00521431" w:rsidRPr="002C310E">
        <w:rPr>
          <w:rFonts w:cstheme="minorHAnsi"/>
          <w:sz w:val="24"/>
          <w:szCs w:val="24"/>
        </w:rPr>
        <w:t>á</w:t>
      </w:r>
      <w:r w:rsidR="00566D6A" w:rsidRPr="002C310E">
        <w:rPr>
          <w:rFonts w:cstheme="minorHAnsi"/>
          <w:sz w:val="24"/>
          <w:szCs w:val="24"/>
        </w:rPr>
        <w:t xml:space="preserve">, je třeba mít k dispozici </w:t>
      </w:r>
      <w:r w:rsidR="00521431" w:rsidRPr="002C310E">
        <w:rPr>
          <w:rFonts w:cstheme="minorHAnsi"/>
          <w:sz w:val="24"/>
          <w:szCs w:val="24"/>
        </w:rPr>
        <w:t xml:space="preserve">průběžné </w:t>
      </w:r>
      <w:r w:rsidR="00566D6A" w:rsidRPr="002C310E">
        <w:rPr>
          <w:rFonts w:cstheme="minorHAnsi"/>
          <w:sz w:val="24"/>
          <w:szCs w:val="24"/>
        </w:rPr>
        <w:t>výstupy</w:t>
      </w:r>
      <w:r w:rsidR="00521431" w:rsidRPr="002C310E">
        <w:rPr>
          <w:rFonts w:cstheme="minorHAnsi"/>
          <w:sz w:val="24"/>
          <w:szCs w:val="24"/>
        </w:rPr>
        <w:t xml:space="preserve"> </w:t>
      </w:r>
      <w:r w:rsidR="00BF578D" w:rsidRPr="002C310E">
        <w:rPr>
          <w:rFonts w:cstheme="minorHAnsi"/>
          <w:sz w:val="24"/>
          <w:szCs w:val="24"/>
        </w:rPr>
        <w:t xml:space="preserve">a také </w:t>
      </w:r>
      <w:r w:rsidR="00566D6A" w:rsidRPr="002C310E">
        <w:rPr>
          <w:rFonts w:cstheme="minorHAnsi"/>
          <w:sz w:val="24"/>
          <w:szCs w:val="24"/>
        </w:rPr>
        <w:t>závěrečné vyhodnocení</w:t>
      </w:r>
      <w:r w:rsidR="00BF578D" w:rsidRPr="002C310E">
        <w:rPr>
          <w:rFonts w:cstheme="minorHAnsi"/>
          <w:sz w:val="24"/>
          <w:szCs w:val="24"/>
        </w:rPr>
        <w:t>, v</w:t>
      </w:r>
      <w:r w:rsidR="000F2737" w:rsidRPr="002C310E">
        <w:rPr>
          <w:rFonts w:cstheme="minorHAnsi"/>
          <w:sz w:val="24"/>
          <w:szCs w:val="24"/>
        </w:rPr>
        <w:t xml:space="preserve">četně </w:t>
      </w:r>
      <w:r w:rsidR="00566D6A" w:rsidRPr="002C310E">
        <w:rPr>
          <w:rFonts w:cstheme="minorHAnsi"/>
          <w:sz w:val="24"/>
          <w:szCs w:val="24"/>
        </w:rPr>
        <w:t xml:space="preserve">hodnocení </w:t>
      </w:r>
      <w:r w:rsidR="00521431" w:rsidRPr="002C310E">
        <w:rPr>
          <w:rFonts w:cstheme="minorHAnsi"/>
          <w:sz w:val="24"/>
          <w:szCs w:val="24"/>
        </w:rPr>
        <w:t xml:space="preserve">procesu integrace klientem. </w:t>
      </w:r>
      <w:r w:rsidR="00AD2B51" w:rsidRPr="002C310E">
        <w:rPr>
          <w:rFonts w:eastAsia="Calibri" w:cstheme="minorHAnsi"/>
          <w:bCs/>
          <w:iCs/>
          <w:spacing w:val="-1"/>
          <w:sz w:val="24"/>
          <w:szCs w:val="24"/>
          <w:lang w:eastAsia="cs-CZ"/>
        </w:rPr>
        <w:t>V</w:t>
      </w:r>
      <w:r w:rsidRPr="002C310E">
        <w:rPr>
          <w:rFonts w:eastAsia="Calibri" w:cstheme="minorHAnsi"/>
          <w:bCs/>
          <w:iCs/>
          <w:spacing w:val="-1"/>
          <w:sz w:val="24"/>
          <w:szCs w:val="24"/>
          <w:lang w:eastAsia="cs-CZ"/>
        </w:rPr>
        <w:t>ýstupním dokumentem</w:t>
      </w:r>
      <w:r w:rsidR="00FE08F4" w:rsidRPr="002C310E">
        <w:rPr>
          <w:rFonts w:eastAsia="Calibri" w:cstheme="minorHAnsi"/>
          <w:bCs/>
          <w:iCs/>
          <w:spacing w:val="-1"/>
          <w:sz w:val="24"/>
          <w:szCs w:val="24"/>
          <w:lang w:eastAsia="cs-CZ"/>
        </w:rPr>
        <w:t xml:space="preserve"> realizace </w:t>
      </w:r>
      <w:r w:rsidR="00E46B4A" w:rsidRPr="002C310E">
        <w:rPr>
          <w:rFonts w:eastAsia="Calibri" w:cstheme="minorHAnsi"/>
          <w:bCs/>
          <w:iCs/>
          <w:spacing w:val="-1"/>
          <w:sz w:val="24"/>
          <w:szCs w:val="24"/>
          <w:lang w:eastAsia="cs-CZ"/>
        </w:rPr>
        <w:t>integračních</w:t>
      </w:r>
      <w:r w:rsidR="00FE08F4" w:rsidRPr="002C310E">
        <w:rPr>
          <w:rFonts w:eastAsia="Calibri" w:cstheme="minorHAnsi"/>
          <w:bCs/>
          <w:iCs/>
          <w:spacing w:val="-1"/>
          <w:sz w:val="24"/>
          <w:szCs w:val="24"/>
          <w:lang w:eastAsia="cs-CZ"/>
        </w:rPr>
        <w:t xml:space="preserve"> plánů </w:t>
      </w:r>
      <w:r w:rsidRPr="002C310E">
        <w:rPr>
          <w:rFonts w:eastAsia="Calibri" w:cstheme="minorHAnsi"/>
          <w:bCs/>
          <w:iCs/>
          <w:spacing w:val="-1"/>
          <w:sz w:val="24"/>
          <w:szCs w:val="24"/>
          <w:lang w:eastAsia="cs-CZ"/>
        </w:rPr>
        <w:t>je závěrečná zpráva</w:t>
      </w:r>
      <w:r w:rsidR="003175CE">
        <w:rPr>
          <w:rFonts w:eastAsia="Calibri" w:cstheme="minorHAnsi"/>
          <w:bCs/>
          <w:iCs/>
          <w:spacing w:val="-1"/>
          <w:sz w:val="24"/>
          <w:szCs w:val="24"/>
          <w:lang w:eastAsia="cs-CZ"/>
        </w:rPr>
        <w:t>.</w:t>
      </w:r>
      <w:r w:rsidRPr="002C310E">
        <w:rPr>
          <w:rFonts w:eastAsia="Calibri" w:cstheme="minorHAnsi"/>
          <w:bCs/>
          <w:iCs/>
          <w:spacing w:val="-1"/>
          <w:sz w:val="24"/>
          <w:szCs w:val="24"/>
          <w:lang w:eastAsia="cs-CZ"/>
        </w:rPr>
        <w:t xml:space="preserve"> </w:t>
      </w:r>
      <w:r w:rsidR="00521431" w:rsidRPr="002C310E">
        <w:rPr>
          <w:rFonts w:eastAsia="Calibri" w:cstheme="minorHAnsi"/>
          <w:bCs/>
          <w:iCs/>
          <w:spacing w:val="-1"/>
          <w:sz w:val="24"/>
          <w:szCs w:val="24"/>
          <w:lang w:eastAsia="cs-CZ"/>
        </w:rPr>
        <w:t xml:space="preserve">MV </w:t>
      </w:r>
      <w:r w:rsidR="003175CE">
        <w:rPr>
          <w:rFonts w:eastAsia="Calibri" w:cstheme="minorHAnsi"/>
          <w:bCs/>
          <w:iCs/>
          <w:spacing w:val="-1"/>
          <w:sz w:val="24"/>
          <w:szCs w:val="24"/>
          <w:lang w:eastAsia="cs-CZ"/>
        </w:rPr>
        <w:t xml:space="preserve">sice </w:t>
      </w:r>
      <w:r w:rsidR="00521431" w:rsidRPr="002C310E">
        <w:rPr>
          <w:rFonts w:eastAsia="Calibri" w:cstheme="minorHAnsi"/>
          <w:bCs/>
          <w:iCs/>
          <w:spacing w:val="-1"/>
          <w:sz w:val="24"/>
          <w:szCs w:val="24"/>
          <w:lang w:eastAsia="cs-CZ"/>
        </w:rPr>
        <w:t xml:space="preserve">stanovilo </w:t>
      </w:r>
      <w:r w:rsidR="00FE08F4" w:rsidRPr="002C310E">
        <w:rPr>
          <w:rFonts w:eastAsia="Calibri" w:cstheme="minorHAnsi"/>
          <w:bCs/>
          <w:iCs/>
          <w:spacing w:val="-1"/>
          <w:sz w:val="24"/>
          <w:szCs w:val="24"/>
          <w:lang w:eastAsia="cs-CZ"/>
        </w:rPr>
        <w:t xml:space="preserve">její </w:t>
      </w:r>
      <w:r w:rsidR="00521431" w:rsidRPr="002C310E">
        <w:rPr>
          <w:rFonts w:eastAsia="Calibri" w:cstheme="minorHAnsi"/>
          <w:bCs/>
          <w:iCs/>
          <w:spacing w:val="-1"/>
          <w:sz w:val="24"/>
          <w:szCs w:val="24"/>
          <w:lang w:eastAsia="cs-CZ"/>
        </w:rPr>
        <w:t>form</w:t>
      </w:r>
      <w:r w:rsidR="00FE08F4" w:rsidRPr="002C310E">
        <w:rPr>
          <w:rFonts w:eastAsia="Calibri" w:cstheme="minorHAnsi"/>
          <w:bCs/>
          <w:iCs/>
          <w:spacing w:val="-1"/>
          <w:sz w:val="24"/>
          <w:szCs w:val="24"/>
          <w:lang w:eastAsia="cs-CZ"/>
        </w:rPr>
        <w:t>u</w:t>
      </w:r>
      <w:r w:rsidRPr="002C310E">
        <w:rPr>
          <w:rFonts w:eastAsia="Calibri" w:cstheme="minorHAnsi"/>
          <w:bCs/>
          <w:iCs/>
          <w:spacing w:val="-1"/>
          <w:sz w:val="24"/>
          <w:szCs w:val="24"/>
          <w:lang w:eastAsia="cs-CZ"/>
        </w:rPr>
        <w:t xml:space="preserve">, </w:t>
      </w:r>
      <w:r w:rsidR="009111B3" w:rsidRPr="002C310E">
        <w:rPr>
          <w:rFonts w:eastAsia="Calibri" w:cstheme="minorHAnsi"/>
          <w:bCs/>
          <w:iCs/>
          <w:spacing w:val="-1"/>
          <w:sz w:val="24"/>
          <w:szCs w:val="24"/>
          <w:lang w:eastAsia="cs-CZ"/>
        </w:rPr>
        <w:t xml:space="preserve">nikoli </w:t>
      </w:r>
      <w:r w:rsidR="00203451" w:rsidRPr="002C310E">
        <w:rPr>
          <w:rFonts w:eastAsia="Calibri" w:cstheme="minorHAnsi"/>
          <w:bCs/>
          <w:iCs/>
          <w:spacing w:val="-1"/>
          <w:sz w:val="24"/>
          <w:szCs w:val="24"/>
          <w:lang w:eastAsia="cs-CZ"/>
        </w:rPr>
        <w:t xml:space="preserve">ale </w:t>
      </w:r>
      <w:r w:rsidRPr="002C310E">
        <w:rPr>
          <w:rFonts w:eastAsia="Calibri" w:cstheme="minorHAnsi"/>
          <w:bCs/>
          <w:iCs/>
          <w:spacing w:val="-1"/>
          <w:sz w:val="24"/>
          <w:szCs w:val="24"/>
          <w:lang w:eastAsia="cs-CZ"/>
        </w:rPr>
        <w:t>rozsah informací, které m</w:t>
      </w:r>
      <w:r w:rsidR="00521431" w:rsidRPr="002C310E">
        <w:rPr>
          <w:rFonts w:eastAsia="Calibri" w:cstheme="minorHAnsi"/>
          <w:bCs/>
          <w:iCs/>
          <w:spacing w:val="-1"/>
          <w:sz w:val="24"/>
          <w:szCs w:val="24"/>
          <w:lang w:eastAsia="cs-CZ"/>
        </w:rPr>
        <w:t>á obsahovat</w:t>
      </w:r>
      <w:r w:rsidRPr="002C310E">
        <w:rPr>
          <w:rFonts w:eastAsia="Calibri" w:cstheme="minorHAnsi"/>
          <w:bCs/>
          <w:iCs/>
          <w:spacing w:val="-1"/>
          <w:sz w:val="24"/>
          <w:szCs w:val="24"/>
          <w:lang w:eastAsia="cs-CZ"/>
        </w:rPr>
        <w:t xml:space="preserve">. </w:t>
      </w:r>
      <w:r w:rsidR="009111B3" w:rsidRPr="002C310E">
        <w:rPr>
          <w:rFonts w:eastAsia="Calibri" w:cstheme="minorHAnsi"/>
          <w:bCs/>
          <w:iCs/>
          <w:spacing w:val="-1"/>
          <w:sz w:val="24"/>
          <w:szCs w:val="24"/>
          <w:lang w:eastAsia="cs-CZ"/>
        </w:rPr>
        <w:t>NKÚ</w:t>
      </w:r>
      <w:r w:rsidR="00CD4C90">
        <w:rPr>
          <w:rFonts w:eastAsia="Calibri" w:cstheme="minorHAnsi"/>
          <w:bCs/>
          <w:iCs/>
          <w:spacing w:val="-1"/>
          <w:sz w:val="24"/>
          <w:szCs w:val="24"/>
          <w:lang w:eastAsia="cs-CZ"/>
        </w:rPr>
        <w:t xml:space="preserve"> na kontrolovaném vzorku </w:t>
      </w:r>
      <w:r w:rsidR="009E2F82">
        <w:rPr>
          <w:rFonts w:eastAsia="Calibri" w:cstheme="minorHAnsi"/>
          <w:bCs/>
          <w:iCs/>
          <w:spacing w:val="-1"/>
          <w:sz w:val="24"/>
          <w:szCs w:val="24"/>
          <w:lang w:eastAsia="cs-CZ"/>
        </w:rPr>
        <w:t>integračních plánů</w:t>
      </w:r>
      <w:r w:rsidR="009111B3" w:rsidRPr="002C310E">
        <w:rPr>
          <w:rFonts w:eastAsia="Calibri" w:cstheme="minorHAnsi"/>
          <w:bCs/>
          <w:iCs/>
          <w:spacing w:val="-1"/>
          <w:sz w:val="24"/>
          <w:szCs w:val="24"/>
          <w:lang w:eastAsia="cs-CZ"/>
        </w:rPr>
        <w:t xml:space="preserve"> zjistil, že </w:t>
      </w:r>
      <w:r w:rsidRPr="002C310E">
        <w:rPr>
          <w:rFonts w:eastAsia="Calibri" w:cstheme="minorHAnsi"/>
          <w:bCs/>
          <w:iCs/>
          <w:spacing w:val="-1"/>
          <w:sz w:val="24"/>
          <w:szCs w:val="24"/>
          <w:lang w:eastAsia="cs-CZ"/>
        </w:rPr>
        <w:t xml:space="preserve">závěrečné zprávy </w:t>
      </w:r>
      <w:r w:rsidR="009111B3" w:rsidRPr="002C310E">
        <w:rPr>
          <w:rFonts w:eastAsia="Calibri" w:cstheme="minorHAnsi"/>
          <w:bCs/>
          <w:iCs/>
          <w:spacing w:val="-1"/>
          <w:sz w:val="24"/>
          <w:szCs w:val="24"/>
          <w:lang w:eastAsia="cs-CZ"/>
        </w:rPr>
        <w:t xml:space="preserve">byly </w:t>
      </w:r>
      <w:r w:rsidRPr="002C310E">
        <w:rPr>
          <w:rFonts w:eastAsia="Calibri" w:cstheme="minorHAnsi"/>
          <w:bCs/>
          <w:iCs/>
          <w:spacing w:val="-1"/>
          <w:sz w:val="24"/>
          <w:szCs w:val="24"/>
          <w:lang w:eastAsia="cs-CZ"/>
        </w:rPr>
        <w:t xml:space="preserve">obsahově </w:t>
      </w:r>
      <w:r w:rsidR="00203451" w:rsidRPr="002C310E">
        <w:rPr>
          <w:rFonts w:eastAsia="Calibri" w:cstheme="minorHAnsi"/>
          <w:bCs/>
          <w:iCs/>
          <w:spacing w:val="-1"/>
          <w:sz w:val="24"/>
          <w:szCs w:val="24"/>
          <w:lang w:eastAsia="cs-CZ"/>
        </w:rPr>
        <w:t>ne</w:t>
      </w:r>
      <w:r w:rsidRPr="002C310E">
        <w:rPr>
          <w:rFonts w:eastAsia="Calibri" w:cstheme="minorHAnsi"/>
          <w:bCs/>
          <w:iCs/>
          <w:spacing w:val="-1"/>
          <w:sz w:val="24"/>
          <w:szCs w:val="24"/>
          <w:lang w:eastAsia="cs-CZ"/>
        </w:rPr>
        <w:t>jednotné</w:t>
      </w:r>
      <w:r w:rsidR="00CD4C90">
        <w:rPr>
          <w:rFonts w:eastAsia="Calibri" w:cstheme="minorHAnsi"/>
          <w:bCs/>
          <w:iCs/>
          <w:spacing w:val="-1"/>
          <w:sz w:val="24"/>
          <w:szCs w:val="24"/>
          <w:lang w:eastAsia="cs-CZ"/>
        </w:rPr>
        <w:t>.</w:t>
      </w:r>
      <w:r w:rsidR="00521431" w:rsidRPr="002C310E">
        <w:rPr>
          <w:rFonts w:eastAsia="Calibri" w:cstheme="minorHAnsi"/>
          <w:bCs/>
          <w:iCs/>
          <w:spacing w:val="-1"/>
          <w:sz w:val="24"/>
          <w:szCs w:val="24"/>
          <w:lang w:eastAsia="cs-CZ"/>
        </w:rPr>
        <w:t xml:space="preserve"> </w:t>
      </w:r>
      <w:r w:rsidRPr="002C310E">
        <w:rPr>
          <w:rFonts w:eastAsia="Calibri" w:cstheme="minorHAnsi"/>
          <w:bCs/>
          <w:iCs/>
          <w:spacing w:val="-1"/>
          <w:sz w:val="24"/>
          <w:szCs w:val="24"/>
          <w:lang w:eastAsia="cs-CZ"/>
        </w:rPr>
        <w:t xml:space="preserve"> </w:t>
      </w:r>
    </w:p>
    <w:p w14:paraId="2FFF075C" w14:textId="59C28264" w:rsidR="00064D33" w:rsidRPr="002C310E" w:rsidRDefault="00F04DCF" w:rsidP="005B3F9D">
      <w:pPr>
        <w:spacing w:after="120" w:line="240" w:lineRule="auto"/>
        <w:jc w:val="both"/>
        <w:rPr>
          <w:rFonts w:cstheme="minorHAnsi"/>
          <w:sz w:val="24"/>
          <w:szCs w:val="24"/>
        </w:rPr>
      </w:pPr>
      <w:r w:rsidRPr="00AA65DD">
        <w:rPr>
          <w:rFonts w:cstheme="minorHAnsi"/>
          <w:b/>
          <w:sz w:val="24"/>
          <w:szCs w:val="24"/>
        </w:rPr>
        <w:t>4.4</w:t>
      </w:r>
      <w:r w:rsidR="000B1625" w:rsidRPr="00AA65DD">
        <w:rPr>
          <w:rFonts w:cstheme="minorHAnsi"/>
          <w:b/>
          <w:sz w:val="24"/>
          <w:szCs w:val="24"/>
        </w:rPr>
        <w:t>1</w:t>
      </w:r>
      <w:r w:rsidR="000F2737" w:rsidRPr="002C310E">
        <w:rPr>
          <w:rFonts w:cstheme="minorHAnsi"/>
          <w:sz w:val="24"/>
          <w:szCs w:val="24"/>
        </w:rPr>
        <w:t xml:space="preserve"> </w:t>
      </w:r>
      <w:r w:rsidRPr="002C310E">
        <w:rPr>
          <w:rFonts w:cstheme="minorHAnsi"/>
          <w:sz w:val="24"/>
          <w:szCs w:val="24"/>
        </w:rPr>
        <w:t>MV nevyhodnocuje</w:t>
      </w:r>
      <w:r w:rsidR="00FE08F4" w:rsidRPr="002C310E">
        <w:rPr>
          <w:rFonts w:cstheme="minorHAnsi"/>
          <w:sz w:val="24"/>
          <w:szCs w:val="24"/>
        </w:rPr>
        <w:t xml:space="preserve"> </w:t>
      </w:r>
      <w:r w:rsidRPr="002C310E">
        <w:rPr>
          <w:rFonts w:cstheme="minorHAnsi"/>
          <w:sz w:val="24"/>
          <w:szCs w:val="24"/>
        </w:rPr>
        <w:t xml:space="preserve">ukazatele míry úspěšnosti </w:t>
      </w:r>
      <w:r w:rsidR="004C07E7" w:rsidRPr="002C310E">
        <w:rPr>
          <w:rFonts w:cstheme="minorHAnsi"/>
          <w:sz w:val="24"/>
          <w:szCs w:val="24"/>
        </w:rPr>
        <w:t>SIP</w:t>
      </w:r>
      <w:r w:rsidRPr="002C310E">
        <w:rPr>
          <w:rFonts w:cstheme="minorHAnsi"/>
          <w:sz w:val="24"/>
          <w:szCs w:val="24"/>
        </w:rPr>
        <w:t xml:space="preserve"> ani je nepožaduje po SUZ</w:t>
      </w:r>
      <w:r w:rsidR="000F2737" w:rsidRPr="002C310E">
        <w:rPr>
          <w:rFonts w:cstheme="minorHAnsi"/>
          <w:sz w:val="24"/>
          <w:szCs w:val="24"/>
        </w:rPr>
        <w:t xml:space="preserve"> MV</w:t>
      </w:r>
      <w:r w:rsidRPr="002C310E">
        <w:rPr>
          <w:rFonts w:cstheme="minorHAnsi"/>
          <w:sz w:val="24"/>
          <w:szCs w:val="24"/>
        </w:rPr>
        <w:t xml:space="preserve">. </w:t>
      </w:r>
      <w:r w:rsidR="00FE08F4" w:rsidRPr="002C310E">
        <w:rPr>
          <w:rFonts w:cstheme="minorHAnsi"/>
          <w:sz w:val="24"/>
          <w:szCs w:val="24"/>
        </w:rPr>
        <w:t>R</w:t>
      </w:r>
      <w:r w:rsidR="000F2737" w:rsidRPr="002C310E">
        <w:rPr>
          <w:rFonts w:cstheme="minorHAnsi"/>
          <w:sz w:val="24"/>
          <w:szCs w:val="24"/>
        </w:rPr>
        <w:t xml:space="preserve">oční </w:t>
      </w:r>
      <w:r w:rsidR="00FE08F4" w:rsidRPr="002C310E">
        <w:rPr>
          <w:rFonts w:cstheme="minorHAnsi"/>
          <w:sz w:val="24"/>
          <w:szCs w:val="24"/>
        </w:rPr>
        <w:t xml:space="preserve">závěrečné </w:t>
      </w:r>
      <w:r w:rsidRPr="002C310E">
        <w:rPr>
          <w:rFonts w:cstheme="minorHAnsi"/>
          <w:sz w:val="24"/>
          <w:szCs w:val="24"/>
        </w:rPr>
        <w:t>zprávy o realizaci SIP zpracované SUZ</w:t>
      </w:r>
      <w:r w:rsidR="000F2737" w:rsidRPr="002C310E">
        <w:rPr>
          <w:rFonts w:cstheme="minorHAnsi"/>
          <w:sz w:val="24"/>
          <w:szCs w:val="24"/>
        </w:rPr>
        <w:t xml:space="preserve"> MV</w:t>
      </w:r>
      <w:r w:rsidRPr="002C310E">
        <w:rPr>
          <w:rFonts w:cstheme="minorHAnsi"/>
          <w:sz w:val="24"/>
          <w:szCs w:val="24"/>
        </w:rPr>
        <w:t xml:space="preserve"> za roky 2017 a 2018 obsahovaly pouze popis realizace programu. Závěrečná zpráva za rok 2019 obsahovala </w:t>
      </w:r>
      <w:r w:rsidR="004C07E7" w:rsidRPr="002C310E">
        <w:rPr>
          <w:rFonts w:cstheme="minorHAnsi"/>
          <w:sz w:val="24"/>
          <w:szCs w:val="24"/>
        </w:rPr>
        <w:t xml:space="preserve">zmínku o zpětné vazbě </w:t>
      </w:r>
      <w:r w:rsidRPr="002C310E">
        <w:rPr>
          <w:rFonts w:cstheme="minorHAnsi"/>
          <w:sz w:val="24"/>
          <w:szCs w:val="24"/>
        </w:rPr>
        <w:t xml:space="preserve">a o průběhu evaluace SIP, nebyly </w:t>
      </w:r>
      <w:r w:rsidR="000F2737" w:rsidRPr="002C310E">
        <w:rPr>
          <w:rFonts w:cstheme="minorHAnsi"/>
          <w:sz w:val="24"/>
          <w:szCs w:val="24"/>
        </w:rPr>
        <w:t xml:space="preserve">však </w:t>
      </w:r>
      <w:r w:rsidRPr="002C310E">
        <w:rPr>
          <w:rFonts w:cstheme="minorHAnsi"/>
          <w:sz w:val="24"/>
          <w:szCs w:val="24"/>
        </w:rPr>
        <w:t xml:space="preserve">uvedeny </w:t>
      </w:r>
      <w:r w:rsidR="004C07E7" w:rsidRPr="002C310E">
        <w:rPr>
          <w:rFonts w:cstheme="minorHAnsi"/>
          <w:sz w:val="24"/>
          <w:szCs w:val="24"/>
        </w:rPr>
        <w:t>konkrétní výsledky</w:t>
      </w:r>
      <w:r w:rsidRPr="002C310E">
        <w:rPr>
          <w:rFonts w:cstheme="minorHAnsi"/>
          <w:sz w:val="24"/>
          <w:szCs w:val="24"/>
        </w:rPr>
        <w:t xml:space="preserve">. </w:t>
      </w:r>
      <w:r w:rsidR="004C07E7" w:rsidRPr="002C310E">
        <w:rPr>
          <w:rFonts w:cstheme="minorHAnsi"/>
          <w:sz w:val="24"/>
          <w:szCs w:val="24"/>
        </w:rPr>
        <w:t xml:space="preserve">Vyplynulo z ní, </w:t>
      </w:r>
      <w:r w:rsidR="000F2737" w:rsidRPr="002C310E">
        <w:rPr>
          <w:rFonts w:cstheme="minorHAnsi"/>
          <w:sz w:val="24"/>
          <w:szCs w:val="24"/>
        </w:rPr>
        <w:t xml:space="preserve">že </w:t>
      </w:r>
      <w:r w:rsidRPr="002C310E">
        <w:rPr>
          <w:rFonts w:cstheme="minorHAnsi"/>
          <w:sz w:val="24"/>
          <w:szCs w:val="24"/>
        </w:rPr>
        <w:t xml:space="preserve">evaluace </w:t>
      </w:r>
      <w:r w:rsidR="000F2737" w:rsidRPr="002C310E">
        <w:rPr>
          <w:rFonts w:cstheme="minorHAnsi"/>
          <w:sz w:val="24"/>
          <w:szCs w:val="24"/>
        </w:rPr>
        <w:t>SIP by měla být zpracovávána v budoucnu.</w:t>
      </w:r>
      <w:r w:rsidR="00203451" w:rsidRPr="002C310E">
        <w:rPr>
          <w:rFonts w:cstheme="minorHAnsi"/>
          <w:sz w:val="24"/>
          <w:szCs w:val="24"/>
        </w:rPr>
        <w:t xml:space="preserve"> NKÚ tento posun k hodnocení účelnosti SIP doporučuje. Upozorňuje</w:t>
      </w:r>
      <w:r w:rsidR="000F2737" w:rsidRPr="002C310E">
        <w:rPr>
          <w:rFonts w:cstheme="minorHAnsi"/>
          <w:sz w:val="24"/>
          <w:szCs w:val="24"/>
        </w:rPr>
        <w:t xml:space="preserve"> </w:t>
      </w:r>
      <w:r w:rsidR="00203451" w:rsidRPr="002C310E">
        <w:rPr>
          <w:rFonts w:cstheme="minorHAnsi"/>
          <w:sz w:val="24"/>
          <w:szCs w:val="24"/>
        </w:rPr>
        <w:t xml:space="preserve">zároveň, že přesvědčivé a průkazné vyhodnocení účelnosti SIP nebude možné bez vyhodnocení účelnosti jednotlivých </w:t>
      </w:r>
      <w:r w:rsidR="00FE08F4" w:rsidRPr="002C310E">
        <w:rPr>
          <w:rFonts w:cstheme="minorHAnsi"/>
          <w:sz w:val="24"/>
          <w:szCs w:val="24"/>
        </w:rPr>
        <w:t>integračních plánů</w:t>
      </w:r>
      <w:r w:rsidR="00203451" w:rsidRPr="002C310E">
        <w:rPr>
          <w:rFonts w:cstheme="minorHAnsi"/>
          <w:sz w:val="24"/>
          <w:szCs w:val="24"/>
        </w:rPr>
        <w:t xml:space="preserve">, tedy zda a jak přispěly k integraci klientů do společnosti, </w:t>
      </w:r>
      <w:r w:rsidR="00892E51">
        <w:rPr>
          <w:rFonts w:cstheme="minorHAnsi"/>
          <w:sz w:val="24"/>
          <w:szCs w:val="24"/>
        </w:rPr>
        <w:t>a </w:t>
      </w:r>
      <w:r w:rsidR="00203451" w:rsidRPr="002C310E">
        <w:rPr>
          <w:rFonts w:cstheme="minorHAnsi"/>
          <w:sz w:val="24"/>
          <w:szCs w:val="24"/>
        </w:rPr>
        <w:t xml:space="preserve">tedy zejména </w:t>
      </w:r>
      <w:r w:rsidR="00892E51">
        <w:rPr>
          <w:rFonts w:cstheme="minorHAnsi"/>
          <w:sz w:val="24"/>
          <w:szCs w:val="24"/>
        </w:rPr>
        <w:t xml:space="preserve">doporučuje </w:t>
      </w:r>
      <w:r w:rsidR="00203451" w:rsidRPr="002C310E">
        <w:rPr>
          <w:rFonts w:cstheme="minorHAnsi"/>
          <w:sz w:val="24"/>
          <w:szCs w:val="24"/>
        </w:rPr>
        <w:t>ods</w:t>
      </w:r>
      <w:r w:rsidR="005B3F9D" w:rsidRPr="002C310E">
        <w:rPr>
          <w:rFonts w:cstheme="minorHAnsi"/>
          <w:sz w:val="24"/>
          <w:szCs w:val="24"/>
        </w:rPr>
        <w:t>t</w:t>
      </w:r>
      <w:r w:rsidR="00203451" w:rsidRPr="002C310E">
        <w:rPr>
          <w:rFonts w:cstheme="minorHAnsi"/>
          <w:sz w:val="24"/>
          <w:szCs w:val="24"/>
        </w:rPr>
        <w:t xml:space="preserve">ranění nedostatků uvedených v odst. </w:t>
      </w:r>
      <w:r w:rsidR="00A86109" w:rsidRPr="002C310E">
        <w:rPr>
          <w:rFonts w:cstheme="minorHAnsi"/>
          <w:sz w:val="24"/>
          <w:szCs w:val="24"/>
        </w:rPr>
        <w:t>4.</w:t>
      </w:r>
      <w:r w:rsidR="00AF3D34">
        <w:rPr>
          <w:rFonts w:cstheme="minorHAnsi"/>
          <w:sz w:val="24"/>
          <w:szCs w:val="24"/>
        </w:rPr>
        <w:t>38</w:t>
      </w:r>
      <w:r w:rsidR="00A86109" w:rsidRPr="002C310E">
        <w:rPr>
          <w:rFonts w:cstheme="minorHAnsi"/>
          <w:sz w:val="24"/>
          <w:szCs w:val="24"/>
        </w:rPr>
        <w:t xml:space="preserve"> </w:t>
      </w:r>
      <w:r w:rsidR="00203451" w:rsidRPr="002C310E">
        <w:rPr>
          <w:rFonts w:cstheme="minorHAnsi"/>
          <w:sz w:val="24"/>
          <w:szCs w:val="24"/>
        </w:rPr>
        <w:t xml:space="preserve">až </w:t>
      </w:r>
      <w:r w:rsidR="00A86109" w:rsidRPr="002C310E">
        <w:rPr>
          <w:rFonts w:cstheme="minorHAnsi"/>
          <w:sz w:val="24"/>
          <w:szCs w:val="24"/>
        </w:rPr>
        <w:t>4.4</w:t>
      </w:r>
      <w:r w:rsidR="00AF3D34">
        <w:rPr>
          <w:rFonts w:cstheme="minorHAnsi"/>
          <w:sz w:val="24"/>
          <w:szCs w:val="24"/>
        </w:rPr>
        <w:t>0</w:t>
      </w:r>
      <w:r w:rsidR="00A86109" w:rsidRPr="002C310E">
        <w:rPr>
          <w:rFonts w:cstheme="minorHAnsi"/>
          <w:sz w:val="24"/>
          <w:szCs w:val="24"/>
        </w:rPr>
        <w:t>.</w:t>
      </w:r>
    </w:p>
    <w:p w14:paraId="65CA1755" w14:textId="161116EA" w:rsidR="00B959DF" w:rsidRPr="002C310E" w:rsidRDefault="00F04DCF" w:rsidP="005B3F9D">
      <w:pPr>
        <w:spacing w:after="120" w:line="240" w:lineRule="auto"/>
        <w:jc w:val="both"/>
        <w:rPr>
          <w:rFonts w:cstheme="minorHAnsi"/>
          <w:sz w:val="24"/>
          <w:szCs w:val="24"/>
        </w:rPr>
      </w:pPr>
      <w:r w:rsidRPr="00AA65DD">
        <w:rPr>
          <w:rFonts w:cstheme="minorHAnsi"/>
          <w:b/>
          <w:sz w:val="24"/>
          <w:szCs w:val="24"/>
        </w:rPr>
        <w:t>4.</w:t>
      </w:r>
      <w:r w:rsidR="005B3F9D" w:rsidRPr="00AA65DD">
        <w:rPr>
          <w:rFonts w:cstheme="minorHAnsi"/>
          <w:b/>
          <w:sz w:val="24"/>
          <w:szCs w:val="24"/>
        </w:rPr>
        <w:t>4</w:t>
      </w:r>
      <w:r w:rsidR="000B1625" w:rsidRPr="00AA65DD">
        <w:rPr>
          <w:rFonts w:cstheme="minorHAnsi"/>
          <w:b/>
          <w:sz w:val="24"/>
          <w:szCs w:val="24"/>
        </w:rPr>
        <w:t>2</w:t>
      </w:r>
      <w:r w:rsidRPr="002C310E">
        <w:rPr>
          <w:rFonts w:cstheme="minorHAnsi"/>
          <w:sz w:val="24"/>
          <w:szCs w:val="24"/>
        </w:rPr>
        <w:t xml:space="preserve"> </w:t>
      </w:r>
      <w:r w:rsidR="006E6C37" w:rsidRPr="002C310E">
        <w:rPr>
          <w:rFonts w:cstheme="minorHAnsi"/>
          <w:sz w:val="24"/>
          <w:szCs w:val="24"/>
        </w:rPr>
        <w:t xml:space="preserve">NKÚ </w:t>
      </w:r>
      <w:r w:rsidR="00FE08F4" w:rsidRPr="002C310E">
        <w:rPr>
          <w:rFonts w:cstheme="minorHAnsi"/>
          <w:sz w:val="24"/>
          <w:szCs w:val="24"/>
        </w:rPr>
        <w:t>zjistil, že</w:t>
      </w:r>
      <w:r w:rsidR="006E6C37" w:rsidRPr="002C310E">
        <w:rPr>
          <w:rFonts w:cstheme="minorHAnsi"/>
          <w:sz w:val="24"/>
          <w:szCs w:val="24"/>
        </w:rPr>
        <w:t xml:space="preserve"> p</w:t>
      </w:r>
      <w:r w:rsidR="00460E7C" w:rsidRPr="002C310E">
        <w:rPr>
          <w:rFonts w:cstheme="minorHAnsi"/>
          <w:sz w:val="24"/>
          <w:szCs w:val="24"/>
        </w:rPr>
        <w:t xml:space="preserve">ůvodní </w:t>
      </w:r>
      <w:r w:rsidR="000F2737" w:rsidRPr="002C310E">
        <w:rPr>
          <w:rFonts w:cstheme="minorHAnsi"/>
          <w:sz w:val="24"/>
          <w:szCs w:val="24"/>
        </w:rPr>
        <w:t xml:space="preserve">plánovaná alokace </w:t>
      </w:r>
      <w:r w:rsidR="004C07E7" w:rsidRPr="002C310E">
        <w:rPr>
          <w:rFonts w:cstheme="minorHAnsi"/>
          <w:sz w:val="24"/>
          <w:szCs w:val="24"/>
        </w:rPr>
        <w:t xml:space="preserve">SIP </w:t>
      </w:r>
      <w:r w:rsidR="00460E7C" w:rsidRPr="002C310E">
        <w:rPr>
          <w:rFonts w:cstheme="minorHAnsi"/>
          <w:sz w:val="24"/>
          <w:szCs w:val="24"/>
        </w:rPr>
        <w:t>v </w:t>
      </w:r>
      <w:r w:rsidR="00064D33" w:rsidRPr="002C310E">
        <w:rPr>
          <w:rFonts w:cstheme="minorHAnsi"/>
          <w:sz w:val="24"/>
          <w:szCs w:val="24"/>
        </w:rPr>
        <w:t>období 2017</w:t>
      </w:r>
      <w:r w:rsidR="00460E7C" w:rsidRPr="002C310E">
        <w:rPr>
          <w:rFonts w:cstheme="minorHAnsi"/>
          <w:sz w:val="24"/>
          <w:szCs w:val="24"/>
        </w:rPr>
        <w:t xml:space="preserve"> až 2</w:t>
      </w:r>
      <w:r w:rsidR="00064D33" w:rsidRPr="002C310E">
        <w:rPr>
          <w:rFonts w:cstheme="minorHAnsi"/>
          <w:sz w:val="24"/>
          <w:szCs w:val="24"/>
        </w:rPr>
        <w:t xml:space="preserve">019 </w:t>
      </w:r>
      <w:r w:rsidR="00460E7C" w:rsidRPr="002C310E">
        <w:rPr>
          <w:rFonts w:cstheme="minorHAnsi"/>
          <w:sz w:val="24"/>
          <w:szCs w:val="24"/>
        </w:rPr>
        <w:t>činila</w:t>
      </w:r>
      <w:r w:rsidR="000F2737" w:rsidRPr="002C310E">
        <w:rPr>
          <w:rFonts w:cstheme="minorHAnsi"/>
          <w:sz w:val="24"/>
          <w:szCs w:val="24"/>
        </w:rPr>
        <w:t xml:space="preserve"> </w:t>
      </w:r>
      <w:r w:rsidR="00064D33" w:rsidRPr="002C310E">
        <w:rPr>
          <w:rFonts w:cstheme="minorHAnsi"/>
          <w:sz w:val="24"/>
          <w:szCs w:val="24"/>
        </w:rPr>
        <w:t>520,5 mil. Kč</w:t>
      </w:r>
      <w:r w:rsidR="00460E7C" w:rsidRPr="002C310E">
        <w:rPr>
          <w:rFonts w:cstheme="minorHAnsi"/>
          <w:sz w:val="24"/>
          <w:szCs w:val="24"/>
        </w:rPr>
        <w:t xml:space="preserve">. Skutečně bylo čerpáno pouze </w:t>
      </w:r>
      <w:r w:rsidR="00064D33" w:rsidRPr="002C310E">
        <w:rPr>
          <w:rFonts w:cstheme="minorHAnsi"/>
          <w:sz w:val="24"/>
          <w:szCs w:val="24"/>
        </w:rPr>
        <w:t>29</w:t>
      </w:r>
      <w:r w:rsidR="00460E7C" w:rsidRPr="002C310E">
        <w:rPr>
          <w:rFonts w:cstheme="minorHAnsi"/>
          <w:sz w:val="24"/>
          <w:szCs w:val="24"/>
        </w:rPr>
        <w:t xml:space="preserve">,8 mil. Kč (tj. </w:t>
      </w:r>
      <w:r w:rsidR="00064D33" w:rsidRPr="002C310E">
        <w:rPr>
          <w:rFonts w:cstheme="minorHAnsi"/>
          <w:sz w:val="24"/>
          <w:szCs w:val="24"/>
        </w:rPr>
        <w:t>5,7 %</w:t>
      </w:r>
      <w:r w:rsidR="00460E7C" w:rsidRPr="002C310E">
        <w:rPr>
          <w:rFonts w:cstheme="minorHAnsi"/>
          <w:sz w:val="24"/>
          <w:szCs w:val="24"/>
        </w:rPr>
        <w:t xml:space="preserve">). </w:t>
      </w:r>
      <w:r w:rsidR="004C07E7" w:rsidRPr="002C310E">
        <w:rPr>
          <w:rFonts w:cstheme="minorHAnsi"/>
          <w:sz w:val="24"/>
          <w:szCs w:val="24"/>
        </w:rPr>
        <w:t>Plán totiž počítal s 2 000 klienty</w:t>
      </w:r>
      <w:r w:rsidR="00051331">
        <w:rPr>
          <w:rFonts w:cstheme="minorHAnsi"/>
          <w:sz w:val="24"/>
          <w:szCs w:val="24"/>
        </w:rPr>
        <w:t xml:space="preserve"> ročně</w:t>
      </w:r>
      <w:r w:rsidR="004C07E7" w:rsidRPr="002C310E">
        <w:rPr>
          <w:rFonts w:cstheme="minorHAnsi"/>
          <w:sz w:val="24"/>
          <w:szCs w:val="24"/>
        </w:rPr>
        <w:t xml:space="preserve">, skutečnost však byla průměrně jen 110 klientů ročně (tj. 5,5 %). </w:t>
      </w:r>
      <w:r w:rsidR="00460E7C" w:rsidRPr="002C310E">
        <w:rPr>
          <w:rFonts w:cstheme="minorHAnsi"/>
          <w:sz w:val="24"/>
          <w:szCs w:val="24"/>
        </w:rPr>
        <w:t xml:space="preserve">MV </w:t>
      </w:r>
      <w:r w:rsidR="00612102" w:rsidRPr="002C310E">
        <w:rPr>
          <w:rFonts w:cstheme="minorHAnsi"/>
          <w:sz w:val="24"/>
          <w:szCs w:val="24"/>
        </w:rPr>
        <w:t xml:space="preserve">v rozpočtu </w:t>
      </w:r>
      <w:r w:rsidR="00460E7C" w:rsidRPr="002C310E">
        <w:rPr>
          <w:rFonts w:cstheme="minorHAnsi"/>
          <w:sz w:val="24"/>
          <w:szCs w:val="24"/>
        </w:rPr>
        <w:t xml:space="preserve">vyčlenilo </w:t>
      </w:r>
      <w:r w:rsidR="00612102" w:rsidRPr="002C310E">
        <w:rPr>
          <w:rFonts w:cstheme="minorHAnsi"/>
          <w:sz w:val="24"/>
          <w:szCs w:val="24"/>
        </w:rPr>
        <w:t>na SIP v </w:t>
      </w:r>
      <w:r w:rsidR="00064D33" w:rsidRPr="002C310E">
        <w:rPr>
          <w:rFonts w:cstheme="minorHAnsi"/>
          <w:sz w:val="24"/>
          <w:szCs w:val="24"/>
        </w:rPr>
        <w:t>období 2017</w:t>
      </w:r>
      <w:r w:rsidR="00460E7C" w:rsidRPr="002C310E">
        <w:rPr>
          <w:rFonts w:cstheme="minorHAnsi"/>
          <w:sz w:val="24"/>
          <w:szCs w:val="24"/>
        </w:rPr>
        <w:t xml:space="preserve"> až </w:t>
      </w:r>
      <w:r w:rsidR="00064D33" w:rsidRPr="002C310E">
        <w:rPr>
          <w:rFonts w:cstheme="minorHAnsi"/>
          <w:sz w:val="24"/>
          <w:szCs w:val="24"/>
        </w:rPr>
        <w:t xml:space="preserve">2019 celkem 93 mil. Kč, což bylo o 63,2 mil. Kč více, než bylo skutečně čerpáno. </w:t>
      </w:r>
      <w:r w:rsidR="00460E7C" w:rsidRPr="002C310E">
        <w:rPr>
          <w:rFonts w:cstheme="minorHAnsi"/>
          <w:sz w:val="24"/>
          <w:szCs w:val="24"/>
        </w:rPr>
        <w:t xml:space="preserve">MV </w:t>
      </w:r>
      <w:r w:rsidR="004C07E7" w:rsidRPr="002C310E">
        <w:rPr>
          <w:rFonts w:cstheme="minorHAnsi"/>
          <w:sz w:val="24"/>
          <w:szCs w:val="24"/>
        </w:rPr>
        <w:t xml:space="preserve">tak </w:t>
      </w:r>
      <w:r w:rsidR="00460E7C" w:rsidRPr="002C310E">
        <w:rPr>
          <w:rFonts w:cstheme="minorHAnsi"/>
          <w:sz w:val="24"/>
          <w:szCs w:val="24"/>
        </w:rPr>
        <w:t>r</w:t>
      </w:r>
      <w:r w:rsidR="00064D33" w:rsidRPr="002C310E">
        <w:rPr>
          <w:rFonts w:cstheme="minorHAnsi"/>
          <w:sz w:val="24"/>
          <w:szCs w:val="24"/>
        </w:rPr>
        <w:t xml:space="preserve">ozpočet </w:t>
      </w:r>
      <w:r w:rsidR="004C07E7" w:rsidRPr="002C310E">
        <w:rPr>
          <w:rFonts w:cstheme="minorHAnsi"/>
          <w:sz w:val="24"/>
          <w:szCs w:val="24"/>
        </w:rPr>
        <w:t>výrazně nadhodnotilo</w:t>
      </w:r>
      <w:r w:rsidR="00D74C76">
        <w:rPr>
          <w:rFonts w:cstheme="minorHAnsi"/>
          <w:sz w:val="24"/>
          <w:szCs w:val="24"/>
        </w:rPr>
        <w:t>.</w:t>
      </w:r>
      <w:r w:rsidR="00064D33" w:rsidRPr="002C310E">
        <w:rPr>
          <w:rFonts w:cstheme="minorHAnsi"/>
          <w:sz w:val="24"/>
          <w:szCs w:val="24"/>
        </w:rPr>
        <w:t xml:space="preserve"> </w:t>
      </w:r>
    </w:p>
    <w:p w14:paraId="14EDF997" w14:textId="77777777" w:rsidR="00A077A1" w:rsidRPr="00DF79B9" w:rsidRDefault="006A1715" w:rsidP="005B3F9D">
      <w:pPr>
        <w:spacing w:after="120" w:line="240" w:lineRule="auto"/>
        <w:jc w:val="both"/>
        <w:rPr>
          <w:rFonts w:cstheme="minorHAnsi"/>
          <w:b/>
          <w:i/>
          <w:color w:val="1F4E79" w:themeColor="accent1" w:themeShade="80"/>
          <w:sz w:val="24"/>
          <w:szCs w:val="24"/>
        </w:rPr>
      </w:pPr>
      <w:r w:rsidRPr="00DF79B9">
        <w:rPr>
          <w:rFonts w:cstheme="minorHAnsi"/>
          <w:b/>
          <w:i/>
          <w:color w:val="1F4E79" w:themeColor="accent1" w:themeShade="80"/>
          <w:sz w:val="24"/>
          <w:szCs w:val="24"/>
        </w:rPr>
        <w:t>Jsou peněžní prostředky</w:t>
      </w:r>
      <w:r w:rsidR="00F04DCF" w:rsidRPr="00DF79B9">
        <w:rPr>
          <w:rFonts w:cstheme="minorHAnsi"/>
          <w:b/>
          <w:i/>
          <w:color w:val="1F4E79" w:themeColor="accent1" w:themeShade="80"/>
          <w:sz w:val="24"/>
          <w:szCs w:val="24"/>
        </w:rPr>
        <w:t xml:space="preserve"> na integrační plány SIP vynakládány e</w:t>
      </w:r>
      <w:r w:rsidR="005E4FFE" w:rsidRPr="00DF79B9">
        <w:rPr>
          <w:rFonts w:cstheme="minorHAnsi"/>
          <w:b/>
          <w:i/>
          <w:color w:val="1F4E79" w:themeColor="accent1" w:themeShade="80"/>
          <w:sz w:val="24"/>
          <w:szCs w:val="24"/>
        </w:rPr>
        <w:t>fektivn</w:t>
      </w:r>
      <w:r w:rsidR="00F04DCF" w:rsidRPr="00DF79B9">
        <w:rPr>
          <w:rFonts w:cstheme="minorHAnsi"/>
          <w:b/>
          <w:i/>
          <w:color w:val="1F4E79" w:themeColor="accent1" w:themeShade="80"/>
          <w:sz w:val="24"/>
          <w:szCs w:val="24"/>
        </w:rPr>
        <w:t>ě?</w:t>
      </w:r>
    </w:p>
    <w:p w14:paraId="088CC3F1" w14:textId="28A8C7A8" w:rsidR="000C0035" w:rsidRPr="002C310E" w:rsidRDefault="00F04DCF" w:rsidP="005B3F9D">
      <w:pPr>
        <w:spacing w:after="120" w:line="240" w:lineRule="auto"/>
        <w:jc w:val="both"/>
        <w:rPr>
          <w:rFonts w:cstheme="minorHAnsi"/>
          <w:sz w:val="24"/>
          <w:szCs w:val="24"/>
        </w:rPr>
      </w:pPr>
      <w:r w:rsidRPr="00AA65DD">
        <w:rPr>
          <w:rFonts w:cstheme="minorHAnsi"/>
          <w:b/>
          <w:sz w:val="24"/>
          <w:szCs w:val="24"/>
        </w:rPr>
        <w:t>4.</w:t>
      </w:r>
      <w:r w:rsidR="00C96DBD" w:rsidRPr="00AA65DD">
        <w:rPr>
          <w:rFonts w:cstheme="minorHAnsi"/>
          <w:b/>
          <w:sz w:val="24"/>
          <w:szCs w:val="24"/>
        </w:rPr>
        <w:t>4</w:t>
      </w:r>
      <w:r w:rsidR="000B1625" w:rsidRPr="00AA65DD">
        <w:rPr>
          <w:rFonts w:cstheme="minorHAnsi"/>
          <w:b/>
          <w:sz w:val="24"/>
          <w:szCs w:val="24"/>
        </w:rPr>
        <w:t>3</w:t>
      </w:r>
      <w:r w:rsidRPr="002C310E">
        <w:rPr>
          <w:rFonts w:cstheme="minorHAnsi"/>
          <w:sz w:val="24"/>
          <w:szCs w:val="24"/>
        </w:rPr>
        <w:t xml:space="preserve"> </w:t>
      </w:r>
      <w:r w:rsidR="003A7099" w:rsidRPr="002C310E">
        <w:rPr>
          <w:rFonts w:eastAsia="Calibri" w:cstheme="minorHAnsi"/>
          <w:sz w:val="24"/>
          <w:szCs w:val="24"/>
        </w:rPr>
        <w:t xml:space="preserve">Maximální limit peněžních prostředků na jeden integrační plán je stanoven usnesením vlády č. 36/2017. MV vydalo </w:t>
      </w:r>
      <w:r w:rsidR="00892E51">
        <w:rPr>
          <w:rFonts w:eastAsia="Calibri" w:cstheme="minorHAnsi"/>
          <w:i/>
          <w:sz w:val="24"/>
          <w:szCs w:val="24"/>
        </w:rPr>
        <w:t>p</w:t>
      </w:r>
      <w:r w:rsidR="003A7099" w:rsidRPr="002C310E">
        <w:rPr>
          <w:rFonts w:eastAsia="Calibri" w:cstheme="minorHAnsi"/>
          <w:i/>
          <w:sz w:val="24"/>
          <w:szCs w:val="24"/>
        </w:rPr>
        <w:t xml:space="preserve">řehled oprávněných výdajů SIP, </w:t>
      </w:r>
      <w:r w:rsidR="003A7099" w:rsidRPr="002C310E">
        <w:rPr>
          <w:rFonts w:eastAsia="Calibri" w:cstheme="minorHAnsi"/>
          <w:sz w:val="24"/>
          <w:szCs w:val="24"/>
        </w:rPr>
        <w:t>kterým nastavilo druhy položek a finanční rámec pro jejich pořízení. Současně stanovilo výjimky, které umožňují, za předpokladu doložení potřebnosti, překročit nastavené finanční rámce.</w:t>
      </w:r>
      <w:r w:rsidR="003A7099" w:rsidRPr="002C310E">
        <w:rPr>
          <w:rFonts w:cstheme="minorHAnsi"/>
          <w:sz w:val="24"/>
          <w:szCs w:val="24"/>
        </w:rPr>
        <w:t xml:space="preserve"> </w:t>
      </w:r>
      <w:r w:rsidR="00433A15" w:rsidRPr="002C310E">
        <w:rPr>
          <w:rFonts w:eastAsia="Calibri" w:cstheme="minorHAnsi"/>
          <w:sz w:val="24"/>
          <w:szCs w:val="24"/>
        </w:rPr>
        <w:t xml:space="preserve">Každý </w:t>
      </w:r>
      <w:r w:rsidR="001F6A37" w:rsidRPr="002C310E">
        <w:rPr>
          <w:rFonts w:eastAsia="Calibri" w:cstheme="minorHAnsi"/>
          <w:sz w:val="24"/>
          <w:szCs w:val="24"/>
        </w:rPr>
        <w:t xml:space="preserve">integrační plán </w:t>
      </w:r>
      <w:r w:rsidR="00433A15" w:rsidRPr="002C310E">
        <w:rPr>
          <w:rFonts w:eastAsia="Calibri" w:cstheme="minorHAnsi"/>
          <w:sz w:val="24"/>
          <w:szCs w:val="24"/>
        </w:rPr>
        <w:t xml:space="preserve">obsahuje </w:t>
      </w:r>
      <w:r w:rsidR="00520B75" w:rsidRPr="002C310E">
        <w:rPr>
          <w:rFonts w:eastAsia="Calibri" w:cstheme="minorHAnsi"/>
          <w:sz w:val="24"/>
          <w:szCs w:val="24"/>
        </w:rPr>
        <w:t xml:space="preserve">s ohledem na rozdílnost klientů </w:t>
      </w:r>
      <w:r w:rsidR="00433A15" w:rsidRPr="002C310E">
        <w:rPr>
          <w:rFonts w:eastAsia="Calibri" w:cstheme="minorHAnsi"/>
          <w:sz w:val="24"/>
          <w:szCs w:val="24"/>
        </w:rPr>
        <w:t xml:space="preserve">různé výdajové položky. MV </w:t>
      </w:r>
      <w:r w:rsidR="00A077A1" w:rsidRPr="002C310E">
        <w:rPr>
          <w:rFonts w:eastAsia="Calibri" w:cstheme="minorHAnsi"/>
          <w:sz w:val="24"/>
          <w:szCs w:val="24"/>
        </w:rPr>
        <w:t>schval</w:t>
      </w:r>
      <w:r w:rsidR="00520B75" w:rsidRPr="002C310E">
        <w:rPr>
          <w:rFonts w:eastAsia="Calibri" w:cstheme="minorHAnsi"/>
          <w:sz w:val="24"/>
          <w:szCs w:val="24"/>
        </w:rPr>
        <w:t>uje všechny integrační plány včetně ak</w:t>
      </w:r>
      <w:r w:rsidR="00433A15" w:rsidRPr="002C310E">
        <w:rPr>
          <w:rFonts w:eastAsia="Calibri" w:cstheme="minorHAnsi"/>
          <w:sz w:val="24"/>
          <w:szCs w:val="24"/>
        </w:rPr>
        <w:t xml:space="preserve">tualizací. </w:t>
      </w:r>
      <w:r w:rsidR="00E8048E">
        <w:rPr>
          <w:rFonts w:eastAsia="Calibri" w:cstheme="minorHAnsi"/>
          <w:sz w:val="24"/>
          <w:szCs w:val="24"/>
        </w:rPr>
        <w:t>NKÚ n</w:t>
      </w:r>
      <w:r w:rsidRPr="002C310E">
        <w:rPr>
          <w:rFonts w:eastAsia="Calibri" w:cstheme="minorHAnsi"/>
          <w:bCs/>
          <w:iCs/>
          <w:spacing w:val="-1"/>
          <w:sz w:val="24"/>
          <w:szCs w:val="24"/>
          <w:lang w:eastAsia="cs-CZ"/>
        </w:rPr>
        <w:t xml:space="preserve">a </w:t>
      </w:r>
      <w:r w:rsidR="00A077A1" w:rsidRPr="002C310E">
        <w:rPr>
          <w:rFonts w:eastAsia="Calibri" w:cstheme="minorHAnsi"/>
          <w:bCs/>
          <w:iCs/>
          <w:spacing w:val="-1"/>
          <w:sz w:val="24"/>
          <w:szCs w:val="24"/>
          <w:lang w:eastAsia="cs-CZ"/>
        </w:rPr>
        <w:t xml:space="preserve">vybraném vzorku integračních plánů </w:t>
      </w:r>
      <w:r w:rsidR="005746AD" w:rsidRPr="002C310E">
        <w:rPr>
          <w:rFonts w:eastAsia="Calibri" w:cstheme="minorHAnsi"/>
          <w:bCs/>
          <w:iCs/>
          <w:spacing w:val="-1"/>
          <w:sz w:val="24"/>
          <w:szCs w:val="24"/>
          <w:lang w:eastAsia="cs-CZ"/>
        </w:rPr>
        <w:t>posuzoval, zda prostředky byly poskytovány v souladu s </w:t>
      </w:r>
      <w:r w:rsidR="00892E51">
        <w:rPr>
          <w:rFonts w:eastAsia="Calibri" w:cstheme="minorHAnsi"/>
          <w:bCs/>
          <w:i/>
          <w:iCs/>
          <w:spacing w:val="-1"/>
          <w:sz w:val="24"/>
          <w:szCs w:val="24"/>
          <w:lang w:eastAsia="cs-CZ"/>
        </w:rPr>
        <w:t>p</w:t>
      </w:r>
      <w:r w:rsidR="005746AD" w:rsidRPr="002C310E">
        <w:rPr>
          <w:rFonts w:eastAsia="Calibri" w:cstheme="minorHAnsi"/>
          <w:bCs/>
          <w:i/>
          <w:iCs/>
          <w:spacing w:val="-1"/>
          <w:sz w:val="24"/>
          <w:szCs w:val="24"/>
          <w:lang w:eastAsia="cs-CZ"/>
        </w:rPr>
        <w:t xml:space="preserve">řehledem oprávněných výdajů SIP, </w:t>
      </w:r>
      <w:r w:rsidR="005746AD" w:rsidRPr="002C310E">
        <w:rPr>
          <w:rFonts w:eastAsia="Calibri" w:cstheme="minorHAnsi"/>
          <w:bCs/>
          <w:spacing w:val="-1"/>
          <w:sz w:val="24"/>
          <w:szCs w:val="24"/>
          <w:lang w:eastAsia="cs-CZ"/>
        </w:rPr>
        <w:t xml:space="preserve">příp. zda výjimky oproti tomuto přehledu </w:t>
      </w:r>
      <w:r w:rsidR="00E6789D" w:rsidRPr="002C310E">
        <w:rPr>
          <w:rFonts w:eastAsia="Calibri" w:cstheme="minorHAnsi"/>
          <w:bCs/>
          <w:spacing w:val="-1"/>
          <w:sz w:val="24"/>
          <w:szCs w:val="24"/>
          <w:lang w:eastAsia="cs-CZ"/>
        </w:rPr>
        <w:t>byly</w:t>
      </w:r>
      <w:r w:rsidR="005746AD" w:rsidRPr="002C310E">
        <w:rPr>
          <w:rFonts w:eastAsia="Calibri" w:cstheme="minorHAnsi"/>
          <w:bCs/>
          <w:spacing w:val="-1"/>
          <w:sz w:val="24"/>
          <w:szCs w:val="24"/>
          <w:lang w:eastAsia="cs-CZ"/>
        </w:rPr>
        <w:t xml:space="preserve"> řádně zdůvodněny.</w:t>
      </w:r>
      <w:r w:rsidR="005746AD" w:rsidRPr="002C310E">
        <w:rPr>
          <w:rFonts w:eastAsia="Calibri" w:cstheme="minorHAnsi"/>
          <w:bCs/>
          <w:i/>
          <w:iCs/>
          <w:spacing w:val="-1"/>
          <w:sz w:val="24"/>
          <w:szCs w:val="24"/>
          <w:lang w:eastAsia="cs-CZ"/>
        </w:rPr>
        <w:t xml:space="preserve"> </w:t>
      </w:r>
    </w:p>
    <w:p w14:paraId="1B459CDD" w14:textId="77777777" w:rsidR="00E6789D" w:rsidRPr="002C310E" w:rsidRDefault="00F04DCF" w:rsidP="00E6789D">
      <w:pPr>
        <w:spacing w:after="120" w:line="240" w:lineRule="auto"/>
        <w:jc w:val="both"/>
        <w:rPr>
          <w:rFonts w:cstheme="minorHAnsi"/>
          <w:b/>
          <w:color w:val="C00000"/>
          <w:sz w:val="24"/>
          <w:szCs w:val="24"/>
        </w:rPr>
      </w:pPr>
      <w:r w:rsidRPr="002C310E">
        <w:rPr>
          <w:rFonts w:cstheme="minorHAnsi"/>
          <w:b/>
          <w:color w:val="C00000"/>
          <w:sz w:val="24"/>
          <w:szCs w:val="24"/>
        </w:rPr>
        <w:t xml:space="preserve">→ </w:t>
      </w:r>
      <w:r w:rsidR="0032273B">
        <w:rPr>
          <w:rFonts w:cstheme="minorHAnsi"/>
          <w:b/>
          <w:color w:val="C00000"/>
          <w:sz w:val="24"/>
          <w:szCs w:val="24"/>
        </w:rPr>
        <w:t>Vynaložení peněžních prostředků na</w:t>
      </w:r>
      <w:r w:rsidR="00CD4C90">
        <w:rPr>
          <w:rFonts w:cstheme="minorHAnsi"/>
          <w:b/>
          <w:color w:val="C00000"/>
          <w:sz w:val="24"/>
          <w:szCs w:val="24"/>
        </w:rPr>
        <w:t xml:space="preserve"> </w:t>
      </w:r>
      <w:r w:rsidR="005746AD" w:rsidRPr="002C310E">
        <w:rPr>
          <w:rFonts w:cstheme="minorHAnsi"/>
          <w:b/>
          <w:color w:val="C00000"/>
          <w:sz w:val="24"/>
          <w:szCs w:val="24"/>
        </w:rPr>
        <w:t>30</w:t>
      </w:r>
      <w:r w:rsidR="004754BE" w:rsidRPr="002C310E">
        <w:rPr>
          <w:rFonts w:cstheme="minorHAnsi"/>
          <w:b/>
          <w:color w:val="C00000"/>
          <w:sz w:val="24"/>
          <w:szCs w:val="24"/>
        </w:rPr>
        <w:t xml:space="preserve"> </w:t>
      </w:r>
      <w:r w:rsidR="00026B6C" w:rsidRPr="002C310E">
        <w:rPr>
          <w:rFonts w:cstheme="minorHAnsi"/>
          <w:b/>
          <w:color w:val="C00000"/>
          <w:sz w:val="24"/>
          <w:szCs w:val="24"/>
        </w:rPr>
        <w:t>z</w:t>
      </w:r>
      <w:r w:rsidR="00D62E59" w:rsidRPr="002C310E">
        <w:rPr>
          <w:rFonts w:cstheme="minorHAnsi"/>
          <w:b/>
          <w:color w:val="C00000"/>
          <w:sz w:val="24"/>
          <w:szCs w:val="24"/>
        </w:rPr>
        <w:t xml:space="preserve"> 39 </w:t>
      </w:r>
      <w:r w:rsidR="004754BE" w:rsidRPr="002C310E">
        <w:rPr>
          <w:rFonts w:cstheme="minorHAnsi"/>
          <w:b/>
          <w:color w:val="C00000"/>
          <w:sz w:val="24"/>
          <w:szCs w:val="24"/>
        </w:rPr>
        <w:t>vybraných</w:t>
      </w:r>
      <w:r w:rsidRPr="002C310E">
        <w:rPr>
          <w:rFonts w:cstheme="minorHAnsi"/>
          <w:b/>
          <w:color w:val="C00000"/>
          <w:sz w:val="24"/>
          <w:szCs w:val="24"/>
        </w:rPr>
        <w:t xml:space="preserve"> integračních plánů </w:t>
      </w:r>
      <w:r w:rsidR="00D62E59" w:rsidRPr="002C310E">
        <w:rPr>
          <w:rFonts w:cstheme="minorHAnsi"/>
          <w:b/>
          <w:color w:val="C00000"/>
          <w:sz w:val="24"/>
          <w:szCs w:val="24"/>
        </w:rPr>
        <w:t xml:space="preserve">SIP </w:t>
      </w:r>
      <w:r w:rsidR="0032273B">
        <w:rPr>
          <w:rFonts w:cstheme="minorHAnsi"/>
          <w:b/>
          <w:color w:val="C00000"/>
          <w:sz w:val="24"/>
          <w:szCs w:val="24"/>
        </w:rPr>
        <w:t>posoudil</w:t>
      </w:r>
      <w:r w:rsidR="007A725B" w:rsidRPr="002C310E">
        <w:rPr>
          <w:rFonts w:cstheme="minorHAnsi"/>
          <w:b/>
          <w:color w:val="C00000"/>
          <w:sz w:val="24"/>
          <w:szCs w:val="24"/>
        </w:rPr>
        <w:t xml:space="preserve"> NKÚ </w:t>
      </w:r>
      <w:r w:rsidR="0032273B">
        <w:rPr>
          <w:rFonts w:cstheme="minorHAnsi"/>
          <w:b/>
          <w:color w:val="C00000"/>
          <w:sz w:val="24"/>
          <w:szCs w:val="24"/>
        </w:rPr>
        <w:t>jako efektivní</w:t>
      </w:r>
      <w:r w:rsidR="007A725B" w:rsidRPr="002C310E">
        <w:rPr>
          <w:rFonts w:cstheme="minorHAnsi"/>
          <w:b/>
          <w:color w:val="C00000"/>
          <w:sz w:val="24"/>
          <w:szCs w:val="24"/>
        </w:rPr>
        <w:t xml:space="preserve">, </w:t>
      </w:r>
      <w:r w:rsidR="0032273B">
        <w:rPr>
          <w:rFonts w:cstheme="minorHAnsi"/>
          <w:b/>
          <w:color w:val="C00000"/>
          <w:sz w:val="24"/>
          <w:szCs w:val="24"/>
        </w:rPr>
        <w:t xml:space="preserve">u </w:t>
      </w:r>
      <w:r w:rsidRPr="002C310E">
        <w:rPr>
          <w:rFonts w:cstheme="minorHAnsi"/>
          <w:b/>
          <w:color w:val="C00000"/>
          <w:sz w:val="24"/>
          <w:szCs w:val="24"/>
        </w:rPr>
        <w:t>jed</w:t>
      </w:r>
      <w:r w:rsidR="0032273B">
        <w:rPr>
          <w:rFonts w:cstheme="minorHAnsi"/>
          <w:b/>
          <w:color w:val="C00000"/>
          <w:sz w:val="24"/>
          <w:szCs w:val="24"/>
        </w:rPr>
        <w:t>noho</w:t>
      </w:r>
      <w:r w:rsidRPr="002C310E">
        <w:rPr>
          <w:rFonts w:cstheme="minorHAnsi"/>
          <w:b/>
          <w:color w:val="C00000"/>
          <w:sz w:val="24"/>
          <w:szCs w:val="24"/>
        </w:rPr>
        <w:t xml:space="preserve"> projekt</w:t>
      </w:r>
      <w:r w:rsidR="0032273B">
        <w:rPr>
          <w:rFonts w:cstheme="minorHAnsi"/>
          <w:b/>
          <w:color w:val="C00000"/>
          <w:sz w:val="24"/>
          <w:szCs w:val="24"/>
        </w:rPr>
        <w:t>u</w:t>
      </w:r>
      <w:r w:rsidRPr="002C310E">
        <w:rPr>
          <w:rFonts w:cstheme="minorHAnsi"/>
          <w:b/>
          <w:color w:val="C00000"/>
          <w:sz w:val="24"/>
          <w:szCs w:val="24"/>
        </w:rPr>
        <w:t xml:space="preserve"> jako efektivní </w:t>
      </w:r>
      <w:r w:rsidR="00026B6C" w:rsidRPr="002C310E">
        <w:rPr>
          <w:rFonts w:cstheme="minorHAnsi"/>
          <w:b/>
          <w:bCs/>
          <w:color w:val="C00000"/>
          <w:sz w:val="24"/>
          <w:szCs w:val="24"/>
        </w:rPr>
        <w:t xml:space="preserve">s mírnými nedostatky, </w:t>
      </w:r>
      <w:r w:rsidR="0032273B">
        <w:rPr>
          <w:rFonts w:cstheme="minorHAnsi"/>
          <w:b/>
          <w:bCs/>
          <w:color w:val="C00000"/>
          <w:sz w:val="24"/>
          <w:szCs w:val="24"/>
        </w:rPr>
        <w:t xml:space="preserve">u jednoho </w:t>
      </w:r>
      <w:r w:rsidR="0032273B">
        <w:rPr>
          <w:rFonts w:cstheme="minorHAnsi"/>
          <w:b/>
          <w:bCs/>
          <w:color w:val="C00000"/>
          <w:sz w:val="24"/>
          <w:szCs w:val="24"/>
        </w:rPr>
        <w:lastRenderedPageBreak/>
        <w:t>projektu</w:t>
      </w:r>
      <w:r w:rsidRPr="002C310E">
        <w:rPr>
          <w:rFonts w:cstheme="minorHAnsi"/>
          <w:b/>
          <w:bCs/>
          <w:color w:val="C00000"/>
          <w:sz w:val="24"/>
          <w:szCs w:val="24"/>
        </w:rPr>
        <w:t xml:space="preserve"> jako omezeně efektivní, </w:t>
      </w:r>
      <w:r w:rsidR="0032273B">
        <w:rPr>
          <w:rFonts w:cstheme="minorHAnsi"/>
          <w:b/>
          <w:bCs/>
          <w:color w:val="C00000"/>
          <w:sz w:val="24"/>
          <w:szCs w:val="24"/>
        </w:rPr>
        <w:t>u jednoho projektu</w:t>
      </w:r>
      <w:r w:rsidRPr="002C310E">
        <w:rPr>
          <w:rFonts w:cstheme="minorHAnsi"/>
          <w:b/>
          <w:bCs/>
          <w:color w:val="C00000"/>
          <w:sz w:val="24"/>
          <w:szCs w:val="24"/>
        </w:rPr>
        <w:t xml:space="preserve"> jako neefektivní </w:t>
      </w:r>
      <w:r w:rsidRPr="002C310E">
        <w:rPr>
          <w:rFonts w:cstheme="minorHAnsi"/>
          <w:b/>
          <w:color w:val="C00000"/>
          <w:sz w:val="24"/>
          <w:szCs w:val="24"/>
        </w:rPr>
        <w:t>a u šesti projektů efektivnost ne</w:t>
      </w:r>
      <w:r w:rsidR="0032273B">
        <w:rPr>
          <w:rFonts w:cstheme="minorHAnsi"/>
          <w:b/>
          <w:color w:val="C00000"/>
          <w:sz w:val="24"/>
          <w:szCs w:val="24"/>
        </w:rPr>
        <w:t>posuzoval</w:t>
      </w:r>
      <w:r w:rsidRPr="002C310E">
        <w:rPr>
          <w:rFonts w:cstheme="minorHAnsi"/>
          <w:b/>
          <w:color w:val="C00000"/>
          <w:sz w:val="24"/>
          <w:szCs w:val="24"/>
        </w:rPr>
        <w:t xml:space="preserve"> z důvodu neznámého výsledku nebo neukončeného integračního plánu.</w:t>
      </w:r>
    </w:p>
    <w:p w14:paraId="589F997C" w14:textId="36AFB5AE" w:rsidR="00604518" w:rsidRPr="002C310E" w:rsidRDefault="00F04DCF" w:rsidP="005B3F9D">
      <w:pPr>
        <w:spacing w:after="120" w:line="240" w:lineRule="auto"/>
        <w:jc w:val="both"/>
        <w:rPr>
          <w:rFonts w:cstheme="minorHAnsi"/>
          <w:noProof/>
          <w:sz w:val="24"/>
          <w:szCs w:val="24"/>
        </w:rPr>
      </w:pPr>
      <w:r w:rsidRPr="00AA65DD">
        <w:rPr>
          <w:rFonts w:cstheme="minorHAnsi"/>
          <w:b/>
          <w:noProof/>
          <w:sz w:val="24"/>
          <w:szCs w:val="24"/>
        </w:rPr>
        <w:t>4.</w:t>
      </w:r>
      <w:r w:rsidR="00C96DBD" w:rsidRPr="00AA65DD">
        <w:rPr>
          <w:rFonts w:cstheme="minorHAnsi"/>
          <w:b/>
          <w:noProof/>
          <w:sz w:val="24"/>
          <w:szCs w:val="24"/>
        </w:rPr>
        <w:t>4</w:t>
      </w:r>
      <w:r w:rsidR="000B1625" w:rsidRPr="00AA65DD">
        <w:rPr>
          <w:rFonts w:cstheme="minorHAnsi"/>
          <w:b/>
          <w:noProof/>
          <w:sz w:val="24"/>
          <w:szCs w:val="24"/>
        </w:rPr>
        <w:t>4</w:t>
      </w:r>
      <w:r w:rsidRPr="002C310E">
        <w:rPr>
          <w:rFonts w:cstheme="minorHAnsi"/>
          <w:noProof/>
          <w:sz w:val="24"/>
          <w:szCs w:val="24"/>
        </w:rPr>
        <w:t xml:space="preserve"> </w:t>
      </w:r>
      <w:r w:rsidR="00167583" w:rsidRPr="002C310E">
        <w:rPr>
          <w:rFonts w:cstheme="minorHAnsi"/>
          <w:noProof/>
          <w:sz w:val="24"/>
          <w:szCs w:val="24"/>
        </w:rPr>
        <w:t xml:space="preserve">NKÚ provedl posouzení efektivnosti 39 vybraných integračních plánů SIP. K vyhodnocení byla využita čtyřstupňová škála (integrační plán je efektivní / je efektivní s mírnými </w:t>
      </w:r>
      <w:r w:rsidR="00D530EF">
        <w:rPr>
          <w:rFonts w:cstheme="minorHAnsi"/>
          <w:noProof/>
          <w:sz w:val="24"/>
          <w:szCs w:val="24"/>
        </w:rPr>
        <w:br/>
      </w:r>
      <w:r w:rsidR="00167583" w:rsidRPr="002C310E">
        <w:rPr>
          <w:rFonts w:cstheme="minorHAnsi"/>
          <w:noProof/>
          <w:sz w:val="24"/>
          <w:szCs w:val="24"/>
        </w:rPr>
        <w:t>nedostatky / je efektivní pouze omezeně / není efektivní) podle kritéria uvedeného v odst. 4.4</w:t>
      </w:r>
      <w:r w:rsidR="00AF3D34">
        <w:rPr>
          <w:rFonts w:cstheme="minorHAnsi"/>
          <w:noProof/>
          <w:sz w:val="24"/>
          <w:szCs w:val="24"/>
        </w:rPr>
        <w:t>3</w:t>
      </w:r>
      <w:r w:rsidR="00167583" w:rsidRPr="002C310E">
        <w:rPr>
          <w:rFonts w:cstheme="minorHAnsi"/>
          <w:noProof/>
          <w:sz w:val="24"/>
          <w:szCs w:val="24"/>
        </w:rPr>
        <w:t>.</w:t>
      </w:r>
    </w:p>
    <w:p w14:paraId="7DD003A8" w14:textId="4E4DC4FB" w:rsidR="00604518" w:rsidRPr="00AA65DD" w:rsidRDefault="00F04DCF" w:rsidP="003F0188">
      <w:pPr>
        <w:spacing w:after="120" w:line="240" w:lineRule="auto"/>
        <w:jc w:val="both"/>
        <w:rPr>
          <w:rFonts w:cstheme="minorHAnsi"/>
          <w:sz w:val="24"/>
          <w:szCs w:val="24"/>
        </w:rPr>
      </w:pPr>
      <w:r w:rsidRPr="00AA65DD">
        <w:rPr>
          <w:rFonts w:cstheme="minorHAnsi"/>
          <w:b/>
          <w:noProof/>
          <w:sz w:val="24"/>
          <w:szCs w:val="24"/>
        </w:rPr>
        <w:t>4.</w:t>
      </w:r>
      <w:r w:rsidR="00C96DBD" w:rsidRPr="00AA65DD">
        <w:rPr>
          <w:rFonts w:cstheme="minorHAnsi"/>
          <w:b/>
          <w:noProof/>
          <w:sz w:val="24"/>
          <w:szCs w:val="24"/>
        </w:rPr>
        <w:t>4</w:t>
      </w:r>
      <w:r w:rsidR="000B1625" w:rsidRPr="00AA65DD">
        <w:rPr>
          <w:rFonts w:cstheme="minorHAnsi"/>
          <w:b/>
          <w:noProof/>
          <w:sz w:val="24"/>
          <w:szCs w:val="24"/>
        </w:rPr>
        <w:t>5</w:t>
      </w:r>
      <w:r w:rsidRPr="002C310E">
        <w:rPr>
          <w:rFonts w:cstheme="minorHAnsi"/>
          <w:noProof/>
          <w:sz w:val="24"/>
          <w:szCs w:val="24"/>
        </w:rPr>
        <w:t xml:space="preserve"> </w:t>
      </w:r>
      <w:r w:rsidR="00E6789D" w:rsidRPr="002C310E">
        <w:rPr>
          <w:rFonts w:cstheme="minorHAnsi"/>
          <w:noProof/>
          <w:sz w:val="24"/>
          <w:szCs w:val="24"/>
        </w:rPr>
        <w:t>T</w:t>
      </w:r>
      <w:r w:rsidR="00C12CC4" w:rsidRPr="002C310E">
        <w:rPr>
          <w:rFonts w:cstheme="minorHAnsi"/>
          <w:noProof/>
          <w:sz w:val="24"/>
          <w:szCs w:val="24"/>
        </w:rPr>
        <w:t xml:space="preserve">řicet </w:t>
      </w:r>
      <w:r w:rsidR="005746AD" w:rsidRPr="002C310E">
        <w:rPr>
          <w:rFonts w:cstheme="minorHAnsi"/>
          <w:noProof/>
          <w:sz w:val="24"/>
          <w:szCs w:val="24"/>
        </w:rPr>
        <w:t>z </w:t>
      </w:r>
      <w:r w:rsidR="00C12CC4" w:rsidRPr="002C310E">
        <w:rPr>
          <w:rFonts w:cstheme="minorHAnsi"/>
          <w:noProof/>
          <w:sz w:val="24"/>
          <w:szCs w:val="24"/>
        </w:rPr>
        <w:t>vybraných</w:t>
      </w:r>
      <w:r w:rsidR="005746AD" w:rsidRPr="002C310E">
        <w:rPr>
          <w:rFonts w:cstheme="minorHAnsi"/>
          <w:noProof/>
          <w:sz w:val="24"/>
          <w:szCs w:val="24"/>
        </w:rPr>
        <w:t xml:space="preserve"> </w:t>
      </w:r>
      <w:r w:rsidR="005B3F9D" w:rsidRPr="002C310E">
        <w:rPr>
          <w:rFonts w:cstheme="minorHAnsi"/>
          <w:noProof/>
          <w:sz w:val="24"/>
          <w:szCs w:val="24"/>
        </w:rPr>
        <w:t>integračních plánů</w:t>
      </w:r>
      <w:r w:rsidR="005746AD" w:rsidRPr="002C310E">
        <w:rPr>
          <w:rFonts w:cstheme="minorHAnsi"/>
          <w:noProof/>
          <w:sz w:val="24"/>
          <w:szCs w:val="24"/>
        </w:rPr>
        <w:t xml:space="preserve"> </w:t>
      </w:r>
      <w:r w:rsidR="00C12CC4" w:rsidRPr="002C310E">
        <w:rPr>
          <w:rFonts w:cstheme="minorHAnsi"/>
          <w:noProof/>
          <w:sz w:val="24"/>
          <w:szCs w:val="24"/>
        </w:rPr>
        <w:t xml:space="preserve">vyhodnotil NKÚ </w:t>
      </w:r>
      <w:r w:rsidR="005746AD" w:rsidRPr="002C310E">
        <w:rPr>
          <w:rFonts w:cstheme="minorHAnsi"/>
          <w:noProof/>
          <w:sz w:val="24"/>
          <w:szCs w:val="24"/>
        </w:rPr>
        <w:t>jako efektivní</w:t>
      </w:r>
      <w:r w:rsidRPr="002C310E">
        <w:rPr>
          <w:rFonts w:cstheme="minorHAnsi"/>
          <w:color w:val="000000"/>
          <w:sz w:val="24"/>
          <w:szCs w:val="24"/>
        </w:rPr>
        <w:t xml:space="preserve">, jeden </w:t>
      </w:r>
      <w:r w:rsidRPr="002C310E">
        <w:rPr>
          <w:rFonts w:cstheme="minorHAnsi"/>
          <w:sz w:val="24"/>
          <w:szCs w:val="24"/>
        </w:rPr>
        <w:t>jako efektivní s mírnými nedostatky</w:t>
      </w:r>
      <w:r w:rsidR="00294249" w:rsidRPr="002C310E">
        <w:rPr>
          <w:rFonts w:cstheme="minorHAnsi"/>
          <w:sz w:val="24"/>
          <w:szCs w:val="24"/>
        </w:rPr>
        <w:t xml:space="preserve">. </w:t>
      </w:r>
      <w:r w:rsidR="006B089D" w:rsidRPr="002C310E">
        <w:rPr>
          <w:rFonts w:cstheme="minorHAnsi"/>
          <w:sz w:val="24"/>
          <w:szCs w:val="24"/>
        </w:rPr>
        <w:t>Jako n</w:t>
      </w:r>
      <w:r w:rsidR="00294249" w:rsidRPr="002C310E">
        <w:rPr>
          <w:rFonts w:cstheme="minorHAnsi"/>
          <w:sz w:val="24"/>
          <w:szCs w:val="24"/>
        </w:rPr>
        <w:t>edostatek k</w:t>
      </w:r>
      <w:r w:rsidR="005746AD" w:rsidRPr="002C310E">
        <w:rPr>
          <w:rFonts w:cstheme="minorHAnsi"/>
          <w:sz w:val="24"/>
          <w:szCs w:val="24"/>
        </w:rPr>
        <w:t xml:space="preserve"> tíži SUZ MV nelze přičíst </w:t>
      </w:r>
      <w:r w:rsidR="00294249" w:rsidRPr="002C310E">
        <w:rPr>
          <w:rFonts w:cstheme="minorHAnsi"/>
          <w:sz w:val="24"/>
          <w:szCs w:val="24"/>
        </w:rPr>
        <w:t xml:space="preserve">případ šesti </w:t>
      </w:r>
      <w:r w:rsidR="00C96DBD" w:rsidRPr="002C310E">
        <w:rPr>
          <w:rFonts w:cstheme="minorHAnsi"/>
          <w:noProof/>
          <w:sz w:val="24"/>
          <w:szCs w:val="24"/>
        </w:rPr>
        <w:t>integračních plánů</w:t>
      </w:r>
      <w:r w:rsidR="00294249" w:rsidRPr="002C310E">
        <w:rPr>
          <w:rFonts w:cstheme="minorHAnsi"/>
          <w:sz w:val="24"/>
          <w:szCs w:val="24"/>
        </w:rPr>
        <w:t>, kdy nebylo možné vyhodnotit efektivnost</w:t>
      </w:r>
      <w:r w:rsidR="00167583" w:rsidRPr="002C310E">
        <w:rPr>
          <w:rFonts w:cstheme="minorHAnsi"/>
          <w:sz w:val="24"/>
          <w:szCs w:val="24"/>
        </w:rPr>
        <w:t>. U</w:t>
      </w:r>
      <w:r w:rsidR="00026B6C" w:rsidRPr="002C310E">
        <w:rPr>
          <w:rFonts w:cstheme="minorHAnsi"/>
          <w:sz w:val="24"/>
          <w:szCs w:val="24"/>
        </w:rPr>
        <w:t xml:space="preserve"> čtyř </w:t>
      </w:r>
      <w:r w:rsidR="00A46035" w:rsidRPr="002C310E">
        <w:rPr>
          <w:rFonts w:cstheme="minorHAnsi"/>
          <w:sz w:val="24"/>
          <w:szCs w:val="24"/>
        </w:rPr>
        <w:t>z nich</w:t>
      </w:r>
      <w:r w:rsidR="00026B6C" w:rsidRPr="002C310E">
        <w:rPr>
          <w:rFonts w:cstheme="minorHAnsi"/>
          <w:sz w:val="24"/>
          <w:szCs w:val="24"/>
        </w:rPr>
        <w:t xml:space="preserve"> </w:t>
      </w:r>
      <w:r w:rsidR="002268F0" w:rsidRPr="002C310E">
        <w:rPr>
          <w:rFonts w:cstheme="minorHAnsi"/>
          <w:sz w:val="24"/>
          <w:szCs w:val="24"/>
        </w:rPr>
        <w:t xml:space="preserve">nebyla efektivnost hodnocena </w:t>
      </w:r>
      <w:r w:rsidR="00026B6C" w:rsidRPr="002C310E">
        <w:rPr>
          <w:rFonts w:cstheme="minorHAnsi"/>
          <w:sz w:val="24"/>
          <w:szCs w:val="24"/>
        </w:rPr>
        <w:t xml:space="preserve">z důvodu neznámého výsledku </w:t>
      </w:r>
      <w:r w:rsidR="00BC3B5D" w:rsidRPr="002C310E">
        <w:rPr>
          <w:rFonts w:cstheme="minorHAnsi"/>
          <w:sz w:val="24"/>
          <w:szCs w:val="24"/>
        </w:rPr>
        <w:t xml:space="preserve">(klient ukončil </w:t>
      </w:r>
      <w:r w:rsidR="00A46035" w:rsidRPr="002C310E">
        <w:rPr>
          <w:rFonts w:cstheme="minorHAnsi"/>
          <w:sz w:val="24"/>
          <w:szCs w:val="24"/>
        </w:rPr>
        <w:t xml:space="preserve">integrační </w:t>
      </w:r>
      <w:r w:rsidR="00BC3B5D" w:rsidRPr="002C310E">
        <w:rPr>
          <w:rFonts w:cstheme="minorHAnsi"/>
          <w:sz w:val="24"/>
          <w:szCs w:val="24"/>
        </w:rPr>
        <w:t xml:space="preserve">plán v jednom případě bez uvedení důvodů, v ostatních případech klienti před ukončení integračního plánu přestali komunikovat a SUZ MV se nepodařilo je kontaktovat) </w:t>
      </w:r>
      <w:r w:rsidR="00026B6C" w:rsidRPr="002C310E">
        <w:rPr>
          <w:rFonts w:cstheme="minorHAnsi"/>
          <w:sz w:val="24"/>
          <w:szCs w:val="24"/>
        </w:rPr>
        <w:t xml:space="preserve">a u dvou z důvodu </w:t>
      </w:r>
      <w:r w:rsidR="00A46035" w:rsidRPr="002C310E">
        <w:rPr>
          <w:rFonts w:cstheme="minorHAnsi"/>
          <w:sz w:val="24"/>
          <w:szCs w:val="24"/>
        </w:rPr>
        <w:t xml:space="preserve">jejich </w:t>
      </w:r>
      <w:r w:rsidRPr="002C310E">
        <w:rPr>
          <w:rFonts w:cstheme="minorHAnsi"/>
          <w:color w:val="000000"/>
          <w:sz w:val="24"/>
          <w:szCs w:val="24"/>
        </w:rPr>
        <w:t>neukončené realizac</w:t>
      </w:r>
      <w:r w:rsidR="00026B6C" w:rsidRPr="002C310E">
        <w:rPr>
          <w:rFonts w:cstheme="minorHAnsi"/>
          <w:color w:val="000000"/>
          <w:sz w:val="24"/>
          <w:szCs w:val="24"/>
        </w:rPr>
        <w:t>e</w:t>
      </w:r>
      <w:r w:rsidR="00BC3B5D" w:rsidRPr="002C310E">
        <w:rPr>
          <w:rFonts w:cstheme="minorHAnsi"/>
          <w:color w:val="000000"/>
          <w:sz w:val="24"/>
          <w:szCs w:val="24"/>
        </w:rPr>
        <w:t>.</w:t>
      </w:r>
      <w:r w:rsidR="00A46035" w:rsidRPr="002C310E">
        <w:rPr>
          <w:rFonts w:cstheme="minorHAnsi"/>
          <w:color w:val="000000"/>
          <w:sz w:val="24"/>
          <w:szCs w:val="24"/>
        </w:rPr>
        <w:t xml:space="preserve"> </w:t>
      </w:r>
      <w:r w:rsidR="002268F0" w:rsidRPr="002C310E">
        <w:rPr>
          <w:rFonts w:cstheme="minorHAnsi"/>
          <w:color w:val="000000"/>
          <w:sz w:val="24"/>
          <w:szCs w:val="24"/>
        </w:rPr>
        <w:t>Dále j</w:t>
      </w:r>
      <w:r w:rsidR="0083793D" w:rsidRPr="002C310E">
        <w:rPr>
          <w:rFonts w:cstheme="minorHAnsi"/>
          <w:color w:val="000000"/>
          <w:sz w:val="24"/>
          <w:szCs w:val="24"/>
        </w:rPr>
        <w:t xml:space="preserve">eden integrační plán byl vyhodnocen jako neefektivní, avšak jednalo </w:t>
      </w:r>
      <w:r w:rsidR="002268F0" w:rsidRPr="002C310E">
        <w:rPr>
          <w:rFonts w:cstheme="minorHAnsi"/>
          <w:color w:val="000000"/>
          <w:sz w:val="24"/>
          <w:szCs w:val="24"/>
        </w:rPr>
        <w:t>se o </w:t>
      </w:r>
      <w:r w:rsidR="0083793D" w:rsidRPr="002C310E">
        <w:rPr>
          <w:rFonts w:cstheme="minorHAnsi"/>
          <w:color w:val="000000"/>
          <w:sz w:val="24"/>
          <w:szCs w:val="24"/>
        </w:rPr>
        <w:t>případ</w:t>
      </w:r>
      <w:r w:rsidR="0083793D" w:rsidRPr="002C310E">
        <w:rPr>
          <w:rFonts w:cstheme="minorHAnsi"/>
          <w:sz w:val="24"/>
          <w:szCs w:val="24"/>
        </w:rPr>
        <w:t xml:space="preserve">, kdy se </w:t>
      </w:r>
      <w:r w:rsidR="003766A5" w:rsidRPr="002C310E">
        <w:rPr>
          <w:rFonts w:cstheme="minorHAnsi"/>
          <w:sz w:val="24"/>
          <w:szCs w:val="24"/>
        </w:rPr>
        <w:t>klienti</w:t>
      </w:r>
      <w:r w:rsidR="0083793D" w:rsidRPr="002C310E">
        <w:rPr>
          <w:rFonts w:cstheme="minorHAnsi"/>
          <w:sz w:val="24"/>
          <w:szCs w:val="24"/>
        </w:rPr>
        <w:t xml:space="preserve"> rozhodl</w:t>
      </w:r>
      <w:r w:rsidR="003766A5" w:rsidRPr="002C310E">
        <w:rPr>
          <w:rFonts w:cstheme="minorHAnsi"/>
          <w:sz w:val="24"/>
          <w:szCs w:val="24"/>
        </w:rPr>
        <w:t>i</w:t>
      </w:r>
      <w:r w:rsidR="0083793D" w:rsidRPr="002C310E">
        <w:rPr>
          <w:rFonts w:cstheme="minorHAnsi"/>
          <w:sz w:val="24"/>
          <w:szCs w:val="24"/>
        </w:rPr>
        <w:t xml:space="preserve"> opustit území ČR</w:t>
      </w:r>
      <w:r w:rsidR="00D530EF">
        <w:rPr>
          <w:rFonts w:cstheme="minorHAnsi"/>
          <w:sz w:val="24"/>
          <w:szCs w:val="24"/>
        </w:rPr>
        <w:t>,</w:t>
      </w:r>
      <w:r w:rsidR="0083793D" w:rsidRPr="002C310E">
        <w:rPr>
          <w:rFonts w:cstheme="minorHAnsi"/>
          <w:sz w:val="24"/>
          <w:szCs w:val="24"/>
        </w:rPr>
        <w:t xml:space="preserve"> a nedokončil</w:t>
      </w:r>
      <w:r w:rsidR="003766A5" w:rsidRPr="002C310E">
        <w:rPr>
          <w:rFonts w:cstheme="minorHAnsi"/>
          <w:sz w:val="24"/>
          <w:szCs w:val="24"/>
        </w:rPr>
        <w:t>i</w:t>
      </w:r>
      <w:r w:rsidR="0083793D" w:rsidRPr="002C310E">
        <w:rPr>
          <w:rFonts w:cstheme="minorHAnsi"/>
          <w:sz w:val="24"/>
          <w:szCs w:val="24"/>
        </w:rPr>
        <w:t xml:space="preserve"> </w:t>
      </w:r>
      <w:r w:rsidR="003766A5" w:rsidRPr="002C310E">
        <w:rPr>
          <w:rFonts w:cstheme="minorHAnsi"/>
          <w:sz w:val="24"/>
          <w:szCs w:val="24"/>
        </w:rPr>
        <w:t xml:space="preserve">tak </w:t>
      </w:r>
      <w:r w:rsidR="0083793D" w:rsidRPr="002C310E">
        <w:rPr>
          <w:rFonts w:cstheme="minorHAnsi"/>
          <w:sz w:val="24"/>
          <w:szCs w:val="24"/>
        </w:rPr>
        <w:t xml:space="preserve">integrační proces. </w:t>
      </w:r>
      <w:r w:rsidR="00294249" w:rsidRPr="002C310E">
        <w:rPr>
          <w:rFonts w:cstheme="minorHAnsi"/>
          <w:sz w:val="24"/>
          <w:szCs w:val="24"/>
        </w:rPr>
        <w:t xml:space="preserve">Ani v tomto případě </w:t>
      </w:r>
      <w:r w:rsidR="006B089D" w:rsidRPr="002C310E">
        <w:rPr>
          <w:rFonts w:cstheme="minorHAnsi"/>
          <w:sz w:val="24"/>
          <w:szCs w:val="24"/>
        </w:rPr>
        <w:t xml:space="preserve">proto </w:t>
      </w:r>
      <w:r w:rsidR="00294249" w:rsidRPr="002C310E">
        <w:rPr>
          <w:rFonts w:cstheme="minorHAnsi"/>
          <w:sz w:val="24"/>
          <w:szCs w:val="24"/>
        </w:rPr>
        <w:t>n</w:t>
      </w:r>
      <w:r w:rsidR="0083793D" w:rsidRPr="002C310E">
        <w:rPr>
          <w:rFonts w:cstheme="minorHAnsi"/>
          <w:sz w:val="24"/>
          <w:szCs w:val="24"/>
        </w:rPr>
        <w:t>eefektivnost</w:t>
      </w:r>
      <w:r w:rsidR="00294249" w:rsidRPr="002C310E">
        <w:rPr>
          <w:rFonts w:cstheme="minorHAnsi"/>
          <w:sz w:val="24"/>
          <w:szCs w:val="24"/>
        </w:rPr>
        <w:t xml:space="preserve"> vynaložených prostředků (nevedly k integraci klient</w:t>
      </w:r>
      <w:r w:rsidR="00051331">
        <w:rPr>
          <w:rFonts w:cstheme="minorHAnsi"/>
          <w:sz w:val="24"/>
          <w:szCs w:val="24"/>
        </w:rPr>
        <w:t>ů</w:t>
      </w:r>
      <w:r w:rsidR="00294249" w:rsidRPr="002C310E">
        <w:rPr>
          <w:rFonts w:cstheme="minorHAnsi"/>
          <w:sz w:val="24"/>
          <w:szCs w:val="24"/>
        </w:rPr>
        <w:t xml:space="preserve"> do společnosti v ČR)</w:t>
      </w:r>
      <w:r w:rsidR="003766A5" w:rsidRPr="002C310E">
        <w:rPr>
          <w:rFonts w:cstheme="minorHAnsi"/>
          <w:sz w:val="24"/>
          <w:szCs w:val="24"/>
        </w:rPr>
        <w:t xml:space="preserve"> </w:t>
      </w:r>
      <w:r w:rsidR="00E702DD" w:rsidRPr="002C310E">
        <w:rPr>
          <w:rFonts w:cstheme="minorHAnsi"/>
          <w:sz w:val="24"/>
          <w:szCs w:val="24"/>
        </w:rPr>
        <w:t xml:space="preserve">NKÚ nepovažuje za nedostatek </w:t>
      </w:r>
      <w:r w:rsidR="006B089D" w:rsidRPr="002C310E">
        <w:rPr>
          <w:rFonts w:cstheme="minorHAnsi"/>
          <w:sz w:val="24"/>
          <w:szCs w:val="24"/>
        </w:rPr>
        <w:t xml:space="preserve">na straně </w:t>
      </w:r>
      <w:r w:rsidR="0083793D" w:rsidRPr="002C310E">
        <w:rPr>
          <w:rFonts w:cstheme="minorHAnsi"/>
          <w:sz w:val="24"/>
          <w:szCs w:val="24"/>
        </w:rPr>
        <w:t>SUZ MV.</w:t>
      </w:r>
      <w:r w:rsidR="0083793D" w:rsidRPr="002C310E">
        <w:rPr>
          <w:rFonts w:cstheme="minorHAnsi"/>
          <w:noProof/>
          <w:sz w:val="24"/>
          <w:szCs w:val="24"/>
        </w:rPr>
        <w:t xml:space="preserve"> </w:t>
      </w:r>
      <w:r w:rsidR="00294249" w:rsidRPr="002C310E">
        <w:rPr>
          <w:rFonts w:cstheme="minorHAnsi"/>
          <w:noProof/>
          <w:sz w:val="24"/>
          <w:szCs w:val="24"/>
        </w:rPr>
        <w:t xml:space="preserve">Pouze jeden z vybraných projektů vyhodnotil NKÚ jako omezeně efektivní. </w:t>
      </w:r>
      <w:r w:rsidRPr="002C310E">
        <w:rPr>
          <w:rFonts w:cstheme="minorHAnsi"/>
          <w:noProof/>
          <w:sz w:val="24"/>
          <w:szCs w:val="24"/>
        </w:rPr>
        <w:t xml:space="preserve">Výsledek </w:t>
      </w:r>
      <w:r w:rsidR="00294249" w:rsidRPr="002C310E">
        <w:rPr>
          <w:rFonts w:cstheme="minorHAnsi"/>
          <w:noProof/>
          <w:sz w:val="24"/>
          <w:szCs w:val="24"/>
        </w:rPr>
        <w:t xml:space="preserve">hodnocení efektivnosti vzorku </w:t>
      </w:r>
      <w:r w:rsidR="003766A5" w:rsidRPr="002C310E">
        <w:rPr>
          <w:rFonts w:cstheme="minorHAnsi"/>
          <w:noProof/>
          <w:sz w:val="24"/>
          <w:szCs w:val="24"/>
        </w:rPr>
        <w:t>integračních plánů</w:t>
      </w:r>
      <w:r w:rsidR="00294249" w:rsidRPr="002C310E">
        <w:rPr>
          <w:rFonts w:cstheme="minorHAnsi"/>
          <w:noProof/>
          <w:sz w:val="24"/>
          <w:szCs w:val="24"/>
        </w:rPr>
        <w:t xml:space="preserve"> </w:t>
      </w:r>
      <w:r w:rsidRPr="002C310E">
        <w:rPr>
          <w:rFonts w:cstheme="minorHAnsi"/>
          <w:noProof/>
          <w:sz w:val="24"/>
          <w:szCs w:val="24"/>
        </w:rPr>
        <w:t xml:space="preserve">shrnuje graf č. </w:t>
      </w:r>
      <w:r w:rsidR="00C96DBD" w:rsidRPr="002C310E">
        <w:rPr>
          <w:rFonts w:cstheme="minorHAnsi"/>
          <w:noProof/>
          <w:sz w:val="24"/>
          <w:szCs w:val="24"/>
        </w:rPr>
        <w:t>5</w:t>
      </w:r>
      <w:r w:rsidRPr="002C310E">
        <w:rPr>
          <w:rFonts w:cstheme="minorHAnsi"/>
          <w:noProof/>
          <w:sz w:val="24"/>
          <w:szCs w:val="24"/>
        </w:rPr>
        <w:t>.</w:t>
      </w:r>
    </w:p>
    <w:p w14:paraId="30294D87" w14:textId="77777777" w:rsidR="002155B1" w:rsidRPr="002C310E" w:rsidRDefault="00F04DCF" w:rsidP="00573E7F">
      <w:pPr>
        <w:keepNext/>
        <w:spacing w:after="0" w:line="240" w:lineRule="auto"/>
        <w:jc w:val="both"/>
        <w:rPr>
          <w:rFonts w:cstheme="minorHAnsi"/>
          <w:b/>
          <w:sz w:val="24"/>
          <w:szCs w:val="24"/>
        </w:rPr>
      </w:pPr>
      <w:r w:rsidRPr="002C310E">
        <w:rPr>
          <w:rFonts w:cstheme="minorHAnsi"/>
          <w:b/>
          <w:sz w:val="24"/>
          <w:szCs w:val="24"/>
        </w:rPr>
        <w:t xml:space="preserve">Graf č. </w:t>
      </w:r>
      <w:r w:rsidR="00C96DBD" w:rsidRPr="002C310E">
        <w:rPr>
          <w:rFonts w:cstheme="minorHAnsi"/>
          <w:b/>
          <w:sz w:val="24"/>
          <w:szCs w:val="24"/>
        </w:rPr>
        <w:t>5</w:t>
      </w:r>
      <w:r w:rsidRPr="002C310E">
        <w:rPr>
          <w:rFonts w:cstheme="minorHAnsi"/>
          <w:b/>
          <w:sz w:val="24"/>
          <w:szCs w:val="24"/>
        </w:rPr>
        <w:t>: Výsledek hodnocení efektivnosti 39 vybraných integračních plánů SIP</w:t>
      </w:r>
    </w:p>
    <w:p w14:paraId="3B8FF382" w14:textId="77777777" w:rsidR="002155B1" w:rsidRPr="002C310E" w:rsidRDefault="00F04DCF" w:rsidP="00573E7F">
      <w:pPr>
        <w:keepNext/>
        <w:spacing w:after="0" w:line="240" w:lineRule="auto"/>
        <w:jc w:val="center"/>
        <w:rPr>
          <w:rFonts w:cstheme="minorHAnsi"/>
          <w:sz w:val="24"/>
          <w:szCs w:val="24"/>
        </w:rPr>
      </w:pPr>
      <w:r w:rsidRPr="002C310E">
        <w:rPr>
          <w:rFonts w:cstheme="minorHAnsi"/>
          <w:noProof/>
          <w:sz w:val="24"/>
          <w:szCs w:val="24"/>
          <w:lang w:eastAsia="cs-CZ"/>
        </w:rPr>
        <w:drawing>
          <wp:inline distT="0" distB="0" distL="0" distR="0" wp14:anchorId="4C611AB7" wp14:editId="7BB22765">
            <wp:extent cx="5209953" cy="2913321"/>
            <wp:effectExtent l="0" t="0" r="0" b="190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7D964C" w14:textId="5CB17FF5" w:rsidR="002155B1" w:rsidRPr="00491FCA" w:rsidRDefault="00F04DCF" w:rsidP="00C96DBD">
      <w:pPr>
        <w:spacing w:after="120" w:line="240" w:lineRule="auto"/>
        <w:rPr>
          <w:rFonts w:cstheme="minorHAnsi"/>
          <w:noProof/>
          <w:sz w:val="20"/>
          <w:szCs w:val="20"/>
          <w:lang w:eastAsia="cs-CZ"/>
        </w:rPr>
      </w:pPr>
      <w:r w:rsidRPr="00491FCA">
        <w:rPr>
          <w:rFonts w:cstheme="minorHAnsi"/>
          <w:b/>
          <w:sz w:val="20"/>
          <w:szCs w:val="20"/>
        </w:rPr>
        <w:t>Zdroj:</w:t>
      </w:r>
      <w:r w:rsidRPr="00491FCA">
        <w:rPr>
          <w:rFonts w:cstheme="minorHAnsi"/>
          <w:sz w:val="20"/>
          <w:szCs w:val="20"/>
        </w:rPr>
        <w:t xml:space="preserve"> </w:t>
      </w:r>
      <w:r w:rsidR="002D2790">
        <w:rPr>
          <w:rFonts w:cstheme="minorHAnsi"/>
          <w:sz w:val="20"/>
          <w:szCs w:val="20"/>
        </w:rPr>
        <w:t xml:space="preserve">vypracoval </w:t>
      </w:r>
      <w:r w:rsidRPr="00491FCA">
        <w:rPr>
          <w:rFonts w:cstheme="minorHAnsi"/>
          <w:noProof/>
          <w:sz w:val="20"/>
          <w:szCs w:val="20"/>
          <w:lang w:eastAsia="cs-CZ"/>
        </w:rPr>
        <w:t>NKÚ.</w:t>
      </w:r>
    </w:p>
    <w:p w14:paraId="18FBB3CF" w14:textId="3DCB12B1" w:rsidR="0083793D" w:rsidRPr="002C310E" w:rsidRDefault="00F04DCF" w:rsidP="00C96DBD">
      <w:pPr>
        <w:autoSpaceDE w:val="0"/>
        <w:autoSpaceDN w:val="0"/>
        <w:adjustRightInd w:val="0"/>
        <w:spacing w:after="120" w:line="240" w:lineRule="auto"/>
        <w:jc w:val="both"/>
        <w:rPr>
          <w:rFonts w:cstheme="minorHAnsi"/>
          <w:b/>
          <w:color w:val="000000"/>
          <w:sz w:val="24"/>
          <w:szCs w:val="24"/>
        </w:rPr>
      </w:pPr>
      <w:r w:rsidRPr="00573E7F">
        <w:rPr>
          <w:rFonts w:cstheme="minorHAnsi"/>
          <w:b/>
          <w:noProof/>
          <w:sz w:val="24"/>
          <w:szCs w:val="24"/>
        </w:rPr>
        <w:t>4.</w:t>
      </w:r>
      <w:r w:rsidR="0063115A" w:rsidRPr="00573E7F">
        <w:rPr>
          <w:rFonts w:cstheme="minorHAnsi"/>
          <w:b/>
          <w:noProof/>
          <w:sz w:val="24"/>
          <w:szCs w:val="24"/>
        </w:rPr>
        <w:t>4</w:t>
      </w:r>
      <w:r w:rsidR="000B1625" w:rsidRPr="00573E7F">
        <w:rPr>
          <w:rFonts w:cstheme="minorHAnsi"/>
          <w:b/>
          <w:noProof/>
          <w:sz w:val="24"/>
          <w:szCs w:val="24"/>
        </w:rPr>
        <w:t>6</w:t>
      </w:r>
      <w:r w:rsidRPr="002C310E">
        <w:rPr>
          <w:rFonts w:cstheme="minorHAnsi"/>
          <w:noProof/>
          <w:sz w:val="24"/>
          <w:szCs w:val="24"/>
        </w:rPr>
        <w:t xml:space="preserve"> </w:t>
      </w:r>
      <w:r w:rsidR="005D7966" w:rsidRPr="002C310E">
        <w:rPr>
          <w:rFonts w:cstheme="minorHAnsi"/>
          <w:noProof/>
          <w:sz w:val="24"/>
          <w:szCs w:val="24"/>
        </w:rPr>
        <w:t>Příklad</w:t>
      </w:r>
      <w:r w:rsidRPr="002C310E">
        <w:rPr>
          <w:rFonts w:cstheme="minorHAnsi"/>
          <w:noProof/>
          <w:sz w:val="24"/>
          <w:szCs w:val="24"/>
        </w:rPr>
        <w:t xml:space="preserve"> č. </w:t>
      </w:r>
      <w:r w:rsidR="00C96DBD" w:rsidRPr="002C310E">
        <w:rPr>
          <w:rFonts w:cstheme="minorHAnsi"/>
          <w:noProof/>
          <w:sz w:val="24"/>
          <w:szCs w:val="24"/>
        </w:rPr>
        <w:t>7</w:t>
      </w:r>
      <w:r w:rsidR="005D7966" w:rsidRPr="002C310E">
        <w:rPr>
          <w:rFonts w:cstheme="minorHAnsi"/>
          <w:noProof/>
          <w:sz w:val="24"/>
          <w:szCs w:val="24"/>
        </w:rPr>
        <w:t xml:space="preserve"> uvádí</w:t>
      </w:r>
      <w:r w:rsidRPr="002C310E">
        <w:rPr>
          <w:rFonts w:cstheme="minorHAnsi"/>
          <w:noProof/>
          <w:sz w:val="24"/>
          <w:szCs w:val="24"/>
        </w:rPr>
        <w:t>, proč NKÚ hodnotil integrační plán jako omezeně efektivní.</w:t>
      </w:r>
    </w:p>
    <w:p w14:paraId="0B2DC9A5" w14:textId="12616CF1" w:rsidR="003B381F" w:rsidRPr="002C310E" w:rsidRDefault="00F04DCF" w:rsidP="00573E7F">
      <w:pPr>
        <w:autoSpaceDE w:val="0"/>
        <w:autoSpaceDN w:val="0"/>
        <w:adjustRightInd w:val="0"/>
        <w:spacing w:line="240" w:lineRule="auto"/>
        <w:rPr>
          <w:rFonts w:cstheme="minorHAnsi"/>
          <w:b/>
          <w:color w:val="000000"/>
          <w:sz w:val="24"/>
          <w:szCs w:val="24"/>
        </w:rPr>
      </w:pPr>
      <w:r w:rsidRPr="002C310E">
        <w:rPr>
          <w:rFonts w:cstheme="minorHAnsi"/>
          <w:b/>
          <w:color w:val="000000"/>
          <w:sz w:val="24"/>
          <w:szCs w:val="24"/>
        </w:rPr>
        <w:t xml:space="preserve">Příklad č. </w:t>
      </w:r>
      <w:r w:rsidR="00C96DBD" w:rsidRPr="002C310E">
        <w:rPr>
          <w:rFonts w:cstheme="minorHAnsi"/>
          <w:b/>
          <w:color w:val="000000"/>
          <w:sz w:val="24"/>
          <w:szCs w:val="24"/>
        </w:rPr>
        <w:t>7</w:t>
      </w:r>
      <w:r w:rsidRPr="002C310E">
        <w:rPr>
          <w:rFonts w:cstheme="minorHAnsi"/>
          <w:b/>
          <w:color w:val="000000"/>
          <w:sz w:val="24"/>
          <w:szCs w:val="24"/>
        </w:rPr>
        <w:t xml:space="preserve">: </w:t>
      </w:r>
      <w:r w:rsidR="002268F0" w:rsidRPr="002C310E">
        <w:rPr>
          <w:rFonts w:cstheme="minorHAnsi"/>
          <w:b/>
          <w:color w:val="000000"/>
          <w:sz w:val="24"/>
          <w:szCs w:val="24"/>
        </w:rPr>
        <w:t>In</w:t>
      </w:r>
      <w:r w:rsidRPr="002C310E">
        <w:rPr>
          <w:rFonts w:cstheme="minorHAnsi"/>
          <w:b/>
          <w:color w:val="000000"/>
          <w:sz w:val="24"/>
          <w:szCs w:val="24"/>
        </w:rPr>
        <w:t>tegrační plán</w:t>
      </w:r>
      <w:r w:rsidR="002463B9" w:rsidRPr="002C310E">
        <w:rPr>
          <w:rFonts w:cstheme="minorHAnsi"/>
          <w:b/>
          <w:color w:val="000000"/>
          <w:sz w:val="24"/>
          <w:szCs w:val="24"/>
        </w:rPr>
        <w:t xml:space="preserve"> SIP</w:t>
      </w:r>
      <w:r w:rsidR="002268F0" w:rsidRPr="002C310E">
        <w:rPr>
          <w:rFonts w:cstheme="minorHAnsi"/>
          <w:b/>
          <w:color w:val="000000"/>
          <w:sz w:val="24"/>
          <w:szCs w:val="24"/>
        </w:rPr>
        <w:t>,</w:t>
      </w:r>
      <w:r w:rsidR="002463B9" w:rsidRPr="002C310E">
        <w:rPr>
          <w:rFonts w:cstheme="minorHAnsi"/>
          <w:b/>
          <w:color w:val="000000"/>
          <w:sz w:val="24"/>
          <w:szCs w:val="24"/>
        </w:rPr>
        <w:t xml:space="preserve"> </w:t>
      </w:r>
      <w:r w:rsidR="002268F0" w:rsidRPr="002C310E">
        <w:rPr>
          <w:rFonts w:cstheme="minorHAnsi"/>
          <w:b/>
          <w:color w:val="000000"/>
          <w:sz w:val="24"/>
          <w:szCs w:val="24"/>
        </w:rPr>
        <w:t>u kterého byla</w:t>
      </w:r>
      <w:r w:rsidRPr="002C310E">
        <w:rPr>
          <w:rFonts w:cstheme="minorHAnsi"/>
          <w:b/>
          <w:color w:val="000000"/>
          <w:sz w:val="24"/>
          <w:szCs w:val="24"/>
        </w:rPr>
        <w:t xml:space="preserve"> část výdajů vynaložena neefektivně a</w:t>
      </w:r>
      <w:r w:rsidR="003C288A">
        <w:rPr>
          <w:rFonts w:cstheme="minorHAnsi"/>
          <w:b/>
          <w:color w:val="000000"/>
          <w:sz w:val="24"/>
          <w:szCs w:val="24"/>
        </w:rPr>
        <w:t> </w:t>
      </w:r>
      <w:r w:rsidRPr="002C310E">
        <w:rPr>
          <w:rFonts w:cstheme="minorHAnsi"/>
          <w:b/>
          <w:color w:val="000000"/>
          <w:sz w:val="24"/>
          <w:szCs w:val="24"/>
        </w:rPr>
        <w:t>v rozporu s nastavenými pravidly</w:t>
      </w:r>
    </w:p>
    <w:p w14:paraId="769D7051" w14:textId="3E9D1E7C" w:rsidR="003B381F" w:rsidRPr="002C310E" w:rsidRDefault="00F04DCF" w:rsidP="00733FC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r w:rsidRPr="002C310E">
        <w:rPr>
          <w:rFonts w:asciiTheme="minorHAnsi" w:hAnsiTheme="minorHAnsi" w:cstheme="minorHAnsi"/>
          <w:i/>
        </w:rPr>
        <w:t xml:space="preserve">V rámci realizace integračního plánu </w:t>
      </w:r>
      <w:r w:rsidR="002463B9" w:rsidRPr="002C310E">
        <w:rPr>
          <w:rFonts w:asciiTheme="minorHAnsi" w:hAnsiTheme="minorHAnsi" w:cstheme="minorHAnsi"/>
          <w:i/>
        </w:rPr>
        <w:t xml:space="preserve">SIP </w:t>
      </w:r>
      <w:r w:rsidRPr="002C310E">
        <w:rPr>
          <w:rFonts w:asciiTheme="minorHAnsi" w:hAnsiTheme="minorHAnsi" w:cstheme="minorHAnsi"/>
          <w:i/>
        </w:rPr>
        <w:t>č. 13/2019</w:t>
      </w:r>
      <w:r w:rsidRPr="0066166F">
        <w:rPr>
          <w:rFonts w:asciiTheme="minorHAnsi" w:hAnsiTheme="minorHAnsi" w:cstheme="minorHAnsi"/>
        </w:rPr>
        <w:t xml:space="preserve"> </w:t>
      </w:r>
      <w:r w:rsidRPr="002C310E">
        <w:rPr>
          <w:rFonts w:asciiTheme="minorHAnsi" w:hAnsiTheme="minorHAnsi" w:cstheme="minorHAnsi"/>
          <w:i/>
        </w:rPr>
        <w:t xml:space="preserve">byla </w:t>
      </w:r>
      <w:r w:rsidR="00115329" w:rsidRPr="002C310E">
        <w:rPr>
          <w:rFonts w:asciiTheme="minorHAnsi" w:hAnsiTheme="minorHAnsi" w:cstheme="minorHAnsi"/>
          <w:i/>
        </w:rPr>
        <w:t xml:space="preserve">klientovi </w:t>
      </w:r>
      <w:r w:rsidRPr="002C310E">
        <w:rPr>
          <w:rFonts w:asciiTheme="minorHAnsi" w:hAnsiTheme="minorHAnsi" w:cstheme="minorHAnsi"/>
          <w:i/>
        </w:rPr>
        <w:t xml:space="preserve">poskytnuta pomoc s nalezením </w:t>
      </w:r>
      <w:r w:rsidR="002268F0" w:rsidRPr="002C310E">
        <w:rPr>
          <w:rFonts w:asciiTheme="minorHAnsi" w:hAnsiTheme="minorHAnsi" w:cstheme="minorHAnsi"/>
          <w:i/>
        </w:rPr>
        <w:t>bytu, zajištěno vybavení domácnosti a zakoupen</w:t>
      </w:r>
      <w:r w:rsidR="00115329" w:rsidRPr="002C310E">
        <w:rPr>
          <w:rFonts w:asciiTheme="minorHAnsi" w:hAnsiTheme="minorHAnsi" w:cstheme="minorHAnsi"/>
          <w:i/>
        </w:rPr>
        <w:t>o</w:t>
      </w:r>
      <w:r w:rsidR="00E702DD" w:rsidRPr="002C310E">
        <w:rPr>
          <w:rFonts w:asciiTheme="minorHAnsi" w:hAnsiTheme="minorHAnsi" w:cstheme="minorHAnsi"/>
          <w:i/>
        </w:rPr>
        <w:t xml:space="preserve"> počítačové </w:t>
      </w:r>
      <w:r w:rsidR="00115329" w:rsidRPr="002C310E">
        <w:rPr>
          <w:rFonts w:asciiTheme="minorHAnsi" w:hAnsiTheme="minorHAnsi" w:cstheme="minorHAnsi"/>
          <w:i/>
        </w:rPr>
        <w:t>vybavení</w:t>
      </w:r>
      <w:r w:rsidR="00E702DD" w:rsidRPr="002C310E">
        <w:rPr>
          <w:rFonts w:asciiTheme="minorHAnsi" w:hAnsiTheme="minorHAnsi" w:cstheme="minorHAnsi"/>
          <w:i/>
        </w:rPr>
        <w:t xml:space="preserve"> </w:t>
      </w:r>
      <w:r w:rsidRPr="002C310E">
        <w:rPr>
          <w:rFonts w:asciiTheme="minorHAnsi" w:hAnsiTheme="minorHAnsi" w:cstheme="minorHAnsi"/>
          <w:i/>
        </w:rPr>
        <w:t xml:space="preserve">pro výkon živnostenského podnikání. </w:t>
      </w:r>
      <w:r w:rsidR="002268F0" w:rsidRPr="002C310E">
        <w:rPr>
          <w:rFonts w:asciiTheme="minorHAnsi" w:hAnsiTheme="minorHAnsi" w:cstheme="minorHAnsi"/>
          <w:i/>
        </w:rPr>
        <w:t xml:space="preserve">Cena </w:t>
      </w:r>
      <w:r w:rsidR="009E2F82">
        <w:rPr>
          <w:rFonts w:asciiTheme="minorHAnsi" w:hAnsiTheme="minorHAnsi" w:cstheme="minorHAnsi"/>
          <w:i/>
        </w:rPr>
        <w:t>počítačového</w:t>
      </w:r>
      <w:r w:rsidR="007656C3" w:rsidRPr="002C310E">
        <w:rPr>
          <w:rFonts w:asciiTheme="minorHAnsi" w:hAnsiTheme="minorHAnsi" w:cstheme="minorHAnsi"/>
          <w:i/>
        </w:rPr>
        <w:t xml:space="preserve"> </w:t>
      </w:r>
      <w:r w:rsidR="002268F0" w:rsidRPr="002C310E">
        <w:rPr>
          <w:rFonts w:asciiTheme="minorHAnsi" w:hAnsiTheme="minorHAnsi" w:cstheme="minorHAnsi"/>
          <w:i/>
        </w:rPr>
        <w:t>vybavení však několikanásobně p</w:t>
      </w:r>
      <w:r w:rsidRPr="002C310E">
        <w:rPr>
          <w:rFonts w:asciiTheme="minorHAnsi" w:hAnsiTheme="minorHAnsi" w:cstheme="minorHAnsi"/>
          <w:i/>
        </w:rPr>
        <w:t>ře</w:t>
      </w:r>
      <w:r w:rsidR="002268F0" w:rsidRPr="002C310E">
        <w:rPr>
          <w:rFonts w:asciiTheme="minorHAnsi" w:hAnsiTheme="minorHAnsi" w:cstheme="minorHAnsi"/>
          <w:i/>
        </w:rPr>
        <w:t xml:space="preserve">vyšovala </w:t>
      </w:r>
      <w:r w:rsidRPr="002C310E">
        <w:rPr>
          <w:rFonts w:asciiTheme="minorHAnsi" w:hAnsiTheme="minorHAnsi" w:cstheme="minorHAnsi"/>
          <w:i/>
        </w:rPr>
        <w:t>finanční limity uvedené v </w:t>
      </w:r>
      <w:r w:rsidR="008062F0">
        <w:rPr>
          <w:rFonts w:asciiTheme="minorHAnsi" w:hAnsiTheme="minorHAnsi" w:cstheme="minorHAnsi"/>
          <w:i/>
        </w:rPr>
        <w:t>p</w:t>
      </w:r>
      <w:r w:rsidRPr="002C310E">
        <w:rPr>
          <w:rFonts w:asciiTheme="minorHAnsi" w:hAnsiTheme="minorHAnsi" w:cstheme="minorHAnsi"/>
          <w:i/>
        </w:rPr>
        <w:t>řehledu oprávněných výdajů SIP</w:t>
      </w:r>
      <w:r w:rsidR="007656C3" w:rsidRPr="002C310E">
        <w:rPr>
          <w:rFonts w:asciiTheme="minorHAnsi" w:hAnsiTheme="minorHAnsi" w:cstheme="minorHAnsi"/>
          <w:i/>
        </w:rPr>
        <w:t>, aniž by bylo jeho</w:t>
      </w:r>
      <w:r w:rsidRPr="002C310E">
        <w:rPr>
          <w:rFonts w:asciiTheme="minorHAnsi" w:hAnsiTheme="minorHAnsi" w:cstheme="minorHAnsi"/>
          <w:i/>
        </w:rPr>
        <w:t xml:space="preserve"> pořízení dostatečně zdůvodněno. </w:t>
      </w:r>
      <w:r w:rsidR="002268F0" w:rsidRPr="002C310E">
        <w:rPr>
          <w:rFonts w:asciiTheme="minorHAnsi" w:hAnsiTheme="minorHAnsi" w:cstheme="minorHAnsi"/>
          <w:i/>
        </w:rPr>
        <w:t xml:space="preserve">Klient </w:t>
      </w:r>
      <w:r w:rsidRPr="002C310E">
        <w:rPr>
          <w:rFonts w:asciiTheme="minorHAnsi" w:hAnsiTheme="minorHAnsi" w:cstheme="minorHAnsi"/>
          <w:i/>
        </w:rPr>
        <w:t xml:space="preserve">v průběhu realizace integračního plánu neprokázal, že by </w:t>
      </w:r>
      <w:r w:rsidR="002268F0" w:rsidRPr="002C310E">
        <w:rPr>
          <w:rFonts w:asciiTheme="minorHAnsi" w:hAnsiTheme="minorHAnsi" w:cstheme="minorHAnsi"/>
          <w:i/>
        </w:rPr>
        <w:lastRenderedPageBreak/>
        <w:t>požádal</w:t>
      </w:r>
      <w:r w:rsidRPr="002C310E">
        <w:rPr>
          <w:rFonts w:asciiTheme="minorHAnsi" w:hAnsiTheme="minorHAnsi" w:cstheme="minorHAnsi"/>
          <w:i/>
        </w:rPr>
        <w:t xml:space="preserve"> o vydání živnostenského oprávnění nebo že by byl jeho držitelem. SUZ MV dále </w:t>
      </w:r>
      <w:r w:rsidR="002268F0" w:rsidRPr="002C310E">
        <w:rPr>
          <w:rFonts w:asciiTheme="minorHAnsi" w:hAnsiTheme="minorHAnsi" w:cstheme="minorHAnsi"/>
          <w:i/>
        </w:rPr>
        <w:t>klientovi za</w:t>
      </w:r>
      <w:r w:rsidRPr="002C310E">
        <w:rPr>
          <w:rFonts w:asciiTheme="minorHAnsi" w:hAnsiTheme="minorHAnsi" w:cstheme="minorHAnsi"/>
          <w:i/>
        </w:rPr>
        <w:t>koupila horské kolo, které bylo zařazeno do zdravotní oblasti integrace jako terapeutická pomůcka. Potřebu pořízení horského kola</w:t>
      </w:r>
      <w:r w:rsidR="006B089D" w:rsidRPr="002C310E">
        <w:rPr>
          <w:rFonts w:asciiTheme="minorHAnsi" w:hAnsiTheme="minorHAnsi" w:cstheme="minorHAnsi"/>
          <w:i/>
        </w:rPr>
        <w:t>, např. doporučením lékaře,</w:t>
      </w:r>
      <w:r w:rsidRPr="002C310E">
        <w:rPr>
          <w:rFonts w:asciiTheme="minorHAnsi" w:hAnsiTheme="minorHAnsi" w:cstheme="minorHAnsi"/>
          <w:i/>
        </w:rPr>
        <w:t xml:space="preserve"> SUZ MV ani </w:t>
      </w:r>
      <w:r w:rsidR="00643A79" w:rsidRPr="002C310E">
        <w:rPr>
          <w:rFonts w:asciiTheme="minorHAnsi" w:hAnsiTheme="minorHAnsi" w:cstheme="minorHAnsi"/>
          <w:i/>
        </w:rPr>
        <w:t xml:space="preserve">klient </w:t>
      </w:r>
      <w:r w:rsidRPr="002C310E">
        <w:rPr>
          <w:rFonts w:asciiTheme="minorHAnsi" w:hAnsiTheme="minorHAnsi" w:cstheme="minorHAnsi"/>
          <w:i/>
        </w:rPr>
        <w:t>nedoložil</w:t>
      </w:r>
      <w:r w:rsidR="00643A79" w:rsidRPr="002C310E">
        <w:rPr>
          <w:rFonts w:asciiTheme="minorHAnsi" w:hAnsiTheme="minorHAnsi" w:cstheme="minorHAnsi"/>
          <w:i/>
        </w:rPr>
        <w:t>i</w:t>
      </w:r>
      <w:r w:rsidRPr="002C310E">
        <w:rPr>
          <w:rFonts w:asciiTheme="minorHAnsi" w:hAnsiTheme="minorHAnsi" w:cstheme="minorHAnsi"/>
          <w:i/>
        </w:rPr>
        <w:t xml:space="preserve">. Závěrečná zpráva o realizaci integračního plánu neobsahovala vyjádření </w:t>
      </w:r>
      <w:r w:rsidR="00643A79" w:rsidRPr="002C310E">
        <w:rPr>
          <w:rFonts w:asciiTheme="minorHAnsi" w:hAnsiTheme="minorHAnsi" w:cstheme="minorHAnsi"/>
          <w:i/>
        </w:rPr>
        <w:t>ani podpis klienta</w:t>
      </w:r>
      <w:r w:rsidRPr="002C310E">
        <w:rPr>
          <w:rFonts w:asciiTheme="minorHAnsi" w:hAnsiTheme="minorHAnsi" w:cstheme="minorHAnsi"/>
          <w:i/>
        </w:rPr>
        <w:t xml:space="preserve">. </w:t>
      </w:r>
    </w:p>
    <w:p w14:paraId="10EAC82B" w14:textId="73096ECC" w:rsidR="003B381F" w:rsidRPr="002C310E" w:rsidRDefault="00F04DCF" w:rsidP="00733FC4">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2C310E">
        <w:rPr>
          <w:rFonts w:cstheme="minorHAnsi"/>
          <w:i/>
          <w:sz w:val="24"/>
          <w:szCs w:val="24"/>
        </w:rPr>
        <w:t>NKÚ proto vyhodnotil, že peněžní prostředky ve výši 57 803 Kč z celkových 108 471 Kč (tj. 53 %) byly vynaloženy neefektivně a v rozporu s </w:t>
      </w:r>
      <w:r w:rsidR="008062F0">
        <w:rPr>
          <w:rFonts w:cstheme="minorHAnsi"/>
          <w:i/>
          <w:sz w:val="24"/>
          <w:szCs w:val="24"/>
        </w:rPr>
        <w:t>p</w:t>
      </w:r>
      <w:r w:rsidRPr="002C310E">
        <w:rPr>
          <w:rFonts w:cstheme="minorHAnsi"/>
          <w:i/>
          <w:sz w:val="24"/>
          <w:szCs w:val="24"/>
        </w:rPr>
        <w:t xml:space="preserve">řehledem oprávněných výdajů SIP. </w:t>
      </w:r>
      <w:r w:rsidR="00643A79" w:rsidRPr="002C310E">
        <w:rPr>
          <w:rFonts w:cstheme="minorHAnsi"/>
          <w:i/>
          <w:sz w:val="24"/>
          <w:szCs w:val="24"/>
        </w:rPr>
        <w:t>I</w:t>
      </w:r>
      <w:r w:rsidRPr="002C310E">
        <w:rPr>
          <w:rFonts w:cstheme="minorHAnsi"/>
          <w:i/>
          <w:sz w:val="24"/>
          <w:szCs w:val="24"/>
        </w:rPr>
        <w:t>ntegrační plán byl</w:t>
      </w:r>
      <w:r w:rsidR="00643A79" w:rsidRPr="002C310E">
        <w:rPr>
          <w:rFonts w:cstheme="minorHAnsi"/>
          <w:i/>
          <w:sz w:val="24"/>
          <w:szCs w:val="24"/>
        </w:rPr>
        <w:t xml:space="preserve"> NKÚ</w:t>
      </w:r>
      <w:r w:rsidRPr="002C310E">
        <w:rPr>
          <w:rFonts w:cstheme="minorHAnsi"/>
          <w:i/>
          <w:sz w:val="24"/>
          <w:szCs w:val="24"/>
        </w:rPr>
        <w:t xml:space="preserve"> hodnocen jako omezeně efektivní. MV postup </w:t>
      </w:r>
      <w:r w:rsidR="002463B9" w:rsidRPr="002C310E">
        <w:rPr>
          <w:rFonts w:cstheme="minorHAnsi"/>
          <w:i/>
          <w:sz w:val="24"/>
          <w:szCs w:val="24"/>
        </w:rPr>
        <w:t xml:space="preserve">SUZ MV při schvalování </w:t>
      </w:r>
      <w:r w:rsidRPr="002C310E">
        <w:rPr>
          <w:rFonts w:cstheme="minorHAnsi"/>
          <w:i/>
          <w:sz w:val="24"/>
          <w:szCs w:val="24"/>
        </w:rPr>
        <w:t>nerozporovalo.</w:t>
      </w:r>
    </w:p>
    <w:p w14:paraId="1A0DCD19" w14:textId="7948DC7E" w:rsidR="00E702DD" w:rsidRPr="0066166F" w:rsidRDefault="00F04DCF" w:rsidP="00C96DBD">
      <w:pPr>
        <w:spacing w:before="120" w:after="120" w:line="240" w:lineRule="auto"/>
        <w:jc w:val="both"/>
        <w:rPr>
          <w:rFonts w:cstheme="minorHAnsi"/>
          <w:color w:val="000000" w:themeColor="text1"/>
          <w:sz w:val="24"/>
          <w:szCs w:val="24"/>
        </w:rPr>
      </w:pPr>
      <w:r w:rsidRPr="00573E7F">
        <w:rPr>
          <w:rFonts w:eastAsia="Calibri" w:cstheme="minorHAnsi"/>
          <w:b/>
          <w:bCs/>
          <w:iCs/>
          <w:spacing w:val="-1"/>
          <w:sz w:val="24"/>
          <w:szCs w:val="24"/>
          <w:lang w:eastAsia="cs-CZ"/>
        </w:rPr>
        <w:t>4.</w:t>
      </w:r>
      <w:r w:rsidR="0063115A" w:rsidRPr="00573E7F">
        <w:rPr>
          <w:rFonts w:eastAsia="Calibri" w:cstheme="minorHAnsi"/>
          <w:b/>
          <w:bCs/>
          <w:iCs/>
          <w:spacing w:val="-1"/>
          <w:sz w:val="24"/>
          <w:szCs w:val="24"/>
          <w:lang w:eastAsia="cs-CZ"/>
        </w:rPr>
        <w:t>4</w:t>
      </w:r>
      <w:r w:rsidR="000B1625" w:rsidRPr="00573E7F">
        <w:rPr>
          <w:rFonts w:eastAsia="Calibri" w:cstheme="minorHAnsi"/>
          <w:b/>
          <w:bCs/>
          <w:iCs/>
          <w:spacing w:val="-1"/>
          <w:sz w:val="24"/>
          <w:szCs w:val="24"/>
          <w:lang w:eastAsia="cs-CZ"/>
        </w:rPr>
        <w:t>7</w:t>
      </w:r>
      <w:r w:rsidRPr="002C310E">
        <w:rPr>
          <w:rFonts w:eastAsia="Calibri" w:cstheme="minorHAnsi"/>
          <w:bCs/>
          <w:iCs/>
          <w:spacing w:val="-1"/>
          <w:sz w:val="24"/>
          <w:szCs w:val="24"/>
          <w:lang w:eastAsia="cs-CZ"/>
        </w:rPr>
        <w:t xml:space="preserve"> NKÚ posuzoval výši výdajů na realizaci integračních plánů podle platného </w:t>
      </w:r>
      <w:r w:rsidR="008062F0">
        <w:rPr>
          <w:rFonts w:eastAsia="Calibri" w:cstheme="minorHAnsi"/>
          <w:bCs/>
          <w:i/>
          <w:iCs/>
          <w:spacing w:val="-1"/>
          <w:sz w:val="24"/>
          <w:szCs w:val="24"/>
          <w:lang w:eastAsia="cs-CZ"/>
        </w:rPr>
        <w:t>p</w:t>
      </w:r>
      <w:r w:rsidRPr="002C310E">
        <w:rPr>
          <w:rFonts w:eastAsia="Calibri" w:cstheme="minorHAnsi"/>
          <w:bCs/>
          <w:i/>
          <w:iCs/>
          <w:spacing w:val="-1"/>
          <w:sz w:val="24"/>
          <w:szCs w:val="24"/>
          <w:lang w:eastAsia="cs-CZ"/>
        </w:rPr>
        <w:t>řehledu oprávněných výdajů SIP</w:t>
      </w:r>
      <w:r w:rsidRPr="002C310E">
        <w:rPr>
          <w:rFonts w:eastAsia="Calibri" w:cstheme="minorHAnsi"/>
          <w:bCs/>
          <w:iCs/>
          <w:spacing w:val="-1"/>
          <w:sz w:val="24"/>
          <w:szCs w:val="24"/>
          <w:lang w:eastAsia="cs-CZ"/>
        </w:rPr>
        <w:t xml:space="preserve">. Potřebnost věcí a služeb pořizovaných v rámci integračních plánů ověřoval na základě dostatečného zdůvodnění a </w:t>
      </w:r>
      <w:r w:rsidR="00C71DDD">
        <w:rPr>
          <w:rFonts w:eastAsia="Calibri" w:cstheme="minorHAnsi"/>
          <w:bCs/>
          <w:iCs/>
          <w:spacing w:val="-1"/>
          <w:sz w:val="24"/>
          <w:szCs w:val="24"/>
          <w:lang w:eastAsia="cs-CZ"/>
        </w:rPr>
        <w:t>prokázání doklady.</w:t>
      </w:r>
      <w:r w:rsidRPr="002C310E">
        <w:rPr>
          <w:rFonts w:eastAsia="Calibri" w:cstheme="minorHAnsi"/>
          <w:bCs/>
          <w:iCs/>
          <w:spacing w:val="-1"/>
          <w:sz w:val="24"/>
          <w:szCs w:val="24"/>
          <w:lang w:eastAsia="cs-CZ"/>
        </w:rPr>
        <w:t xml:space="preserve"> NKÚ zjistil, že SUZ MV neprováděla šetření v místě bydliště klienta</w:t>
      </w:r>
      <w:r w:rsidR="00B75B4F">
        <w:rPr>
          <w:rFonts w:eastAsia="Calibri" w:cstheme="minorHAnsi"/>
          <w:bCs/>
          <w:iCs/>
          <w:spacing w:val="-1"/>
          <w:sz w:val="24"/>
          <w:szCs w:val="24"/>
          <w:lang w:eastAsia="cs-CZ"/>
        </w:rPr>
        <w:t>,</w:t>
      </w:r>
      <w:r w:rsidRPr="002C310E">
        <w:rPr>
          <w:rFonts w:eastAsia="Calibri" w:cstheme="minorHAnsi"/>
          <w:bCs/>
          <w:iCs/>
          <w:spacing w:val="-1"/>
          <w:sz w:val="24"/>
          <w:szCs w:val="24"/>
          <w:lang w:eastAsia="cs-CZ"/>
        </w:rPr>
        <w:t xml:space="preserve"> a nemohla tak ověřit např. oprávněnost požadavků na vybavení domácnosti klienta.</w:t>
      </w:r>
    </w:p>
    <w:p w14:paraId="1E8209C2" w14:textId="7B3FC595" w:rsidR="007656C3" w:rsidRPr="002C310E" w:rsidRDefault="00F04DCF" w:rsidP="0019109F">
      <w:pPr>
        <w:spacing w:after="120" w:line="240" w:lineRule="auto"/>
        <w:jc w:val="both"/>
        <w:rPr>
          <w:rFonts w:cstheme="minorHAnsi"/>
          <w:sz w:val="24"/>
          <w:szCs w:val="24"/>
        </w:rPr>
      </w:pPr>
      <w:r w:rsidRPr="00573E7F">
        <w:rPr>
          <w:rFonts w:cstheme="minorHAnsi"/>
          <w:b/>
          <w:sz w:val="24"/>
          <w:szCs w:val="24"/>
        </w:rPr>
        <w:t>4.</w:t>
      </w:r>
      <w:r w:rsidR="000B1625" w:rsidRPr="00573E7F">
        <w:rPr>
          <w:rFonts w:cstheme="minorHAnsi"/>
          <w:b/>
          <w:sz w:val="24"/>
          <w:szCs w:val="24"/>
        </w:rPr>
        <w:t>48</w:t>
      </w:r>
      <w:r w:rsidRPr="002C310E">
        <w:rPr>
          <w:rFonts w:cstheme="minorHAnsi"/>
          <w:sz w:val="24"/>
          <w:szCs w:val="24"/>
        </w:rPr>
        <w:t xml:space="preserve"> </w:t>
      </w:r>
      <w:r w:rsidR="0083793D" w:rsidRPr="002C310E">
        <w:rPr>
          <w:rFonts w:cstheme="minorHAnsi"/>
          <w:sz w:val="24"/>
          <w:szCs w:val="24"/>
        </w:rPr>
        <w:t xml:space="preserve">NKÚ </w:t>
      </w:r>
      <w:r w:rsidR="00433A15" w:rsidRPr="002C310E">
        <w:rPr>
          <w:rFonts w:cstheme="minorHAnsi"/>
          <w:sz w:val="24"/>
          <w:szCs w:val="24"/>
        </w:rPr>
        <w:t>ověř</w:t>
      </w:r>
      <w:r w:rsidR="0083793D" w:rsidRPr="002C310E">
        <w:rPr>
          <w:rFonts w:cstheme="minorHAnsi"/>
          <w:sz w:val="24"/>
          <w:szCs w:val="24"/>
        </w:rPr>
        <w:t>il</w:t>
      </w:r>
      <w:r w:rsidR="00433A15" w:rsidRPr="002C310E">
        <w:rPr>
          <w:rFonts w:cstheme="minorHAnsi"/>
          <w:sz w:val="24"/>
          <w:szCs w:val="24"/>
        </w:rPr>
        <w:t xml:space="preserve">, že MV provádí monitoring formou </w:t>
      </w:r>
      <w:r w:rsidR="00542C46" w:rsidRPr="002C310E">
        <w:rPr>
          <w:rFonts w:cstheme="minorHAnsi"/>
          <w:sz w:val="24"/>
          <w:szCs w:val="24"/>
        </w:rPr>
        <w:t>schvalování</w:t>
      </w:r>
      <w:r w:rsidR="00D405A9" w:rsidRPr="002C310E">
        <w:rPr>
          <w:rFonts w:cstheme="minorHAnsi"/>
          <w:sz w:val="24"/>
          <w:szCs w:val="24"/>
        </w:rPr>
        <w:t xml:space="preserve"> </w:t>
      </w:r>
      <w:r w:rsidR="00542C46" w:rsidRPr="002C310E">
        <w:rPr>
          <w:rFonts w:cstheme="minorHAnsi"/>
          <w:sz w:val="24"/>
          <w:szCs w:val="24"/>
        </w:rPr>
        <w:t>integračních plánů</w:t>
      </w:r>
      <w:r w:rsidRPr="002C310E">
        <w:rPr>
          <w:rFonts w:cstheme="minorHAnsi"/>
          <w:sz w:val="24"/>
          <w:szCs w:val="24"/>
        </w:rPr>
        <w:t>,</w:t>
      </w:r>
      <w:r w:rsidR="00433A15" w:rsidRPr="002C310E">
        <w:rPr>
          <w:rFonts w:cstheme="minorHAnsi"/>
          <w:sz w:val="24"/>
          <w:szCs w:val="24"/>
        </w:rPr>
        <w:t xml:space="preserve"> včetně aktuali</w:t>
      </w:r>
      <w:r w:rsidRPr="002C310E">
        <w:rPr>
          <w:rFonts w:cstheme="minorHAnsi"/>
          <w:sz w:val="24"/>
          <w:szCs w:val="24"/>
        </w:rPr>
        <w:t>zací a závěrečn</w:t>
      </w:r>
      <w:r w:rsidR="00D405A9" w:rsidRPr="002C310E">
        <w:rPr>
          <w:rFonts w:cstheme="minorHAnsi"/>
          <w:sz w:val="24"/>
          <w:szCs w:val="24"/>
        </w:rPr>
        <w:t xml:space="preserve">ých </w:t>
      </w:r>
      <w:r w:rsidRPr="002C310E">
        <w:rPr>
          <w:rFonts w:cstheme="minorHAnsi"/>
          <w:sz w:val="24"/>
          <w:szCs w:val="24"/>
        </w:rPr>
        <w:t>zpráv. Nedostatky v případě integračního plánu č. 13/2019 však nezjistilo.</w:t>
      </w:r>
    </w:p>
    <w:tbl>
      <w:tblPr>
        <w:tblStyle w:val="Mkatabulky"/>
        <w:tblW w:w="0" w:type="auto"/>
        <w:tblLook w:val="04A0" w:firstRow="1" w:lastRow="0" w:firstColumn="1" w:lastColumn="0" w:noHBand="0" w:noVBand="1"/>
      </w:tblPr>
      <w:tblGrid>
        <w:gridCol w:w="9062"/>
      </w:tblGrid>
      <w:tr w:rsidR="00C72C9E" w14:paraId="5848C516" w14:textId="77777777" w:rsidTr="00BD4518">
        <w:trPr>
          <w:trHeight w:val="389"/>
        </w:trPr>
        <w:tc>
          <w:tcPr>
            <w:tcW w:w="9062" w:type="dxa"/>
            <w:shd w:val="clear" w:color="auto" w:fill="E5F1FF"/>
            <w:vAlign w:val="center"/>
          </w:tcPr>
          <w:p w14:paraId="7DBD0A80" w14:textId="53BB8ECF" w:rsidR="0091544F" w:rsidRPr="002C310E" w:rsidRDefault="00294249" w:rsidP="008062F0">
            <w:pPr>
              <w:pStyle w:val="Nadpis2"/>
              <w:outlineLvl w:val="1"/>
              <w:rPr>
                <w:rFonts w:asciiTheme="minorHAnsi" w:hAnsiTheme="minorHAnsi" w:cstheme="minorHAnsi"/>
                <w:b/>
                <w:color w:val="1F4E79" w:themeColor="accent1" w:themeShade="80"/>
                <w:sz w:val="24"/>
                <w:szCs w:val="24"/>
              </w:rPr>
            </w:pPr>
            <w:r w:rsidRPr="002C310E">
              <w:rPr>
                <w:rFonts w:asciiTheme="minorHAnsi" w:hAnsiTheme="minorHAnsi" w:cstheme="minorHAnsi"/>
                <w:b/>
                <w:color w:val="1F4E79" w:themeColor="accent1" w:themeShade="80"/>
                <w:sz w:val="24"/>
                <w:szCs w:val="24"/>
              </w:rPr>
              <w:t>B.4</w:t>
            </w:r>
            <w:r w:rsidR="00F04DCF" w:rsidRPr="002C310E">
              <w:rPr>
                <w:rFonts w:asciiTheme="minorHAnsi" w:hAnsiTheme="minorHAnsi" w:cstheme="minorHAnsi"/>
                <w:b/>
                <w:color w:val="1F4E79" w:themeColor="accent1" w:themeShade="80"/>
                <w:sz w:val="24"/>
                <w:szCs w:val="24"/>
              </w:rPr>
              <w:t xml:space="preserve"> Program </w:t>
            </w:r>
            <w:r w:rsidR="00F04DCF" w:rsidRPr="00222605">
              <w:rPr>
                <w:rFonts w:asciiTheme="minorHAnsi" w:hAnsiTheme="minorHAnsi" w:cstheme="minorHAnsi"/>
                <w:b/>
                <w:color w:val="1F4E79" w:themeColor="accent1" w:themeShade="80"/>
                <w:sz w:val="24"/>
                <w:szCs w:val="24"/>
              </w:rPr>
              <w:t>Pomoc na místě</w:t>
            </w:r>
          </w:p>
        </w:tc>
      </w:tr>
    </w:tbl>
    <w:p w14:paraId="7ABDCF1B" w14:textId="667AC5DA" w:rsidR="005873B0" w:rsidRPr="002C310E" w:rsidRDefault="00F04DCF" w:rsidP="00C96DBD">
      <w:pPr>
        <w:spacing w:before="120" w:after="0" w:line="240" w:lineRule="auto"/>
        <w:jc w:val="both"/>
        <w:rPr>
          <w:rFonts w:cstheme="minorHAnsi"/>
          <w:sz w:val="24"/>
          <w:szCs w:val="24"/>
        </w:rPr>
      </w:pPr>
      <w:r w:rsidRPr="00E310A1">
        <w:rPr>
          <w:rFonts w:cstheme="minorHAnsi"/>
          <w:b/>
          <w:sz w:val="24"/>
          <w:szCs w:val="24"/>
        </w:rPr>
        <w:t>4.</w:t>
      </w:r>
      <w:r w:rsidR="000B1625" w:rsidRPr="00E310A1">
        <w:rPr>
          <w:rFonts w:cstheme="minorHAnsi"/>
          <w:b/>
          <w:sz w:val="24"/>
          <w:szCs w:val="24"/>
        </w:rPr>
        <w:t>49</w:t>
      </w:r>
      <w:r w:rsidRPr="002C310E">
        <w:rPr>
          <w:rFonts w:cstheme="minorHAnsi"/>
          <w:sz w:val="24"/>
          <w:szCs w:val="24"/>
        </w:rPr>
        <w:t xml:space="preserve"> </w:t>
      </w:r>
      <w:r w:rsidR="001914C4" w:rsidRPr="002C310E">
        <w:rPr>
          <w:rFonts w:cstheme="minorHAnsi"/>
          <w:sz w:val="24"/>
          <w:szCs w:val="24"/>
        </w:rPr>
        <w:t>N</w:t>
      </w:r>
      <w:r w:rsidRPr="002C310E">
        <w:rPr>
          <w:rFonts w:cstheme="minorHAnsi"/>
          <w:sz w:val="24"/>
          <w:szCs w:val="24"/>
        </w:rPr>
        <w:t>KÚ ověřil</w:t>
      </w:r>
      <w:r w:rsidR="003175CE">
        <w:rPr>
          <w:rFonts w:cstheme="minorHAnsi"/>
          <w:sz w:val="24"/>
          <w:szCs w:val="24"/>
        </w:rPr>
        <w:t xml:space="preserve"> a potvrdil</w:t>
      </w:r>
      <w:r w:rsidRPr="002C310E">
        <w:rPr>
          <w:rFonts w:cstheme="minorHAnsi"/>
          <w:sz w:val="24"/>
          <w:szCs w:val="24"/>
        </w:rPr>
        <w:t xml:space="preserve">, že realizace programu </w:t>
      </w:r>
      <w:r w:rsidRPr="00222605">
        <w:rPr>
          <w:rFonts w:cstheme="minorHAnsi"/>
          <w:sz w:val="24"/>
          <w:szCs w:val="24"/>
        </w:rPr>
        <w:t>Pomoc na místě</w:t>
      </w:r>
      <w:r w:rsidRPr="002C310E">
        <w:rPr>
          <w:rFonts w:cstheme="minorHAnsi"/>
          <w:sz w:val="24"/>
          <w:szCs w:val="24"/>
        </w:rPr>
        <w:t xml:space="preserve"> </w:t>
      </w:r>
      <w:r w:rsidR="007656C3" w:rsidRPr="002C310E">
        <w:rPr>
          <w:rFonts w:cstheme="minorHAnsi"/>
          <w:sz w:val="24"/>
          <w:szCs w:val="24"/>
        </w:rPr>
        <w:t xml:space="preserve">v kontrolovaném období </w:t>
      </w:r>
      <w:r w:rsidR="005F2A68" w:rsidRPr="002C310E">
        <w:rPr>
          <w:rFonts w:cstheme="minorHAnsi"/>
          <w:sz w:val="24"/>
          <w:szCs w:val="24"/>
        </w:rPr>
        <w:t>probíhala</w:t>
      </w:r>
      <w:r w:rsidRPr="002C310E">
        <w:rPr>
          <w:rFonts w:cstheme="minorHAnsi"/>
          <w:sz w:val="24"/>
          <w:szCs w:val="24"/>
        </w:rPr>
        <w:t xml:space="preserve"> </w:t>
      </w:r>
      <w:r w:rsidR="007656C3" w:rsidRPr="002C310E">
        <w:rPr>
          <w:rFonts w:cstheme="minorHAnsi"/>
          <w:sz w:val="24"/>
          <w:szCs w:val="24"/>
        </w:rPr>
        <w:t>n</w:t>
      </w:r>
      <w:r w:rsidR="005F2A68" w:rsidRPr="002C310E">
        <w:rPr>
          <w:rFonts w:cstheme="minorHAnsi"/>
          <w:sz w:val="24"/>
          <w:szCs w:val="24"/>
        </w:rPr>
        <w:t>a základě</w:t>
      </w:r>
      <w:r w:rsidR="0095014D" w:rsidRPr="002C310E">
        <w:rPr>
          <w:rFonts w:cstheme="minorHAnsi"/>
          <w:sz w:val="24"/>
          <w:szCs w:val="24"/>
        </w:rPr>
        <w:t xml:space="preserve"> </w:t>
      </w:r>
      <w:r w:rsidR="005F2A68" w:rsidRPr="002C310E">
        <w:rPr>
          <w:rFonts w:cstheme="minorHAnsi"/>
          <w:sz w:val="24"/>
          <w:szCs w:val="24"/>
        </w:rPr>
        <w:t>Koncepce</w:t>
      </w:r>
      <w:r w:rsidRPr="002C310E">
        <w:rPr>
          <w:rFonts w:cstheme="minorHAnsi"/>
          <w:sz w:val="24"/>
          <w:szCs w:val="24"/>
        </w:rPr>
        <w:t xml:space="preserve">, která obsahuje obecné cíle a priority v oblasti vnější migrace. </w:t>
      </w:r>
      <w:r w:rsidR="00620FCD">
        <w:rPr>
          <w:rFonts w:eastAsia="Calibri" w:cstheme="minorHAnsi"/>
          <w:sz w:val="24"/>
          <w:szCs w:val="24"/>
        </w:rPr>
        <w:t>V</w:t>
      </w:r>
      <w:r w:rsidR="00620FCD" w:rsidRPr="002C310E">
        <w:rPr>
          <w:rFonts w:eastAsia="Calibri" w:cstheme="minorHAnsi"/>
          <w:sz w:val="24"/>
          <w:szCs w:val="24"/>
        </w:rPr>
        <w:t xml:space="preserve"> průběhu kontrolovaného období </w:t>
      </w:r>
      <w:r w:rsidR="00620FCD">
        <w:rPr>
          <w:rFonts w:eastAsia="Calibri" w:cstheme="minorHAnsi"/>
          <w:sz w:val="24"/>
          <w:szCs w:val="24"/>
        </w:rPr>
        <w:t xml:space="preserve">nedocházelo </w:t>
      </w:r>
      <w:r w:rsidR="00620FCD" w:rsidRPr="002C310E">
        <w:rPr>
          <w:rFonts w:eastAsia="Calibri" w:cstheme="minorHAnsi"/>
          <w:sz w:val="24"/>
          <w:szCs w:val="24"/>
        </w:rPr>
        <w:t xml:space="preserve">ke změnám potřeb v této oblasti, </w:t>
      </w:r>
      <w:r w:rsidR="00620FCD">
        <w:rPr>
          <w:rFonts w:eastAsia="Calibri" w:cstheme="minorHAnsi"/>
          <w:sz w:val="24"/>
          <w:szCs w:val="24"/>
        </w:rPr>
        <w:t xml:space="preserve">na </w:t>
      </w:r>
      <w:r w:rsidR="008062F0">
        <w:rPr>
          <w:rFonts w:eastAsia="Calibri" w:cstheme="minorHAnsi"/>
          <w:sz w:val="24"/>
          <w:szCs w:val="24"/>
        </w:rPr>
        <w:t xml:space="preserve">jejichž </w:t>
      </w:r>
      <w:r w:rsidR="00620FCD">
        <w:rPr>
          <w:rFonts w:eastAsia="Calibri" w:cstheme="minorHAnsi"/>
          <w:sz w:val="24"/>
          <w:szCs w:val="24"/>
        </w:rPr>
        <w:t>základě by bylo nutné změnit nastavené cíle programu.</w:t>
      </w:r>
    </w:p>
    <w:p w14:paraId="5EBF3126" w14:textId="12709581" w:rsidR="005F2A68" w:rsidRPr="002C310E" w:rsidRDefault="00F04DCF" w:rsidP="00C96DBD">
      <w:pPr>
        <w:spacing w:before="120" w:after="120" w:line="240" w:lineRule="auto"/>
        <w:jc w:val="both"/>
        <w:rPr>
          <w:rFonts w:cstheme="minorHAnsi"/>
          <w:b/>
          <w:color w:val="C00000"/>
          <w:sz w:val="24"/>
          <w:szCs w:val="24"/>
        </w:rPr>
      </w:pPr>
      <w:r w:rsidRPr="002C310E">
        <w:rPr>
          <w:rFonts w:cstheme="minorHAnsi"/>
          <w:b/>
          <w:color w:val="C00000"/>
          <w:sz w:val="24"/>
          <w:szCs w:val="24"/>
        </w:rPr>
        <w:t xml:space="preserve">→ MV nenastavilo </w:t>
      </w:r>
      <w:r w:rsidR="00265FF1" w:rsidRPr="002C310E">
        <w:rPr>
          <w:rFonts w:cstheme="minorHAnsi"/>
          <w:b/>
          <w:color w:val="C00000"/>
          <w:sz w:val="24"/>
          <w:szCs w:val="24"/>
        </w:rPr>
        <w:t xml:space="preserve">pravidla </w:t>
      </w:r>
      <w:r w:rsidRPr="002C310E">
        <w:rPr>
          <w:rFonts w:cstheme="minorHAnsi"/>
          <w:b/>
          <w:color w:val="C00000"/>
          <w:sz w:val="24"/>
          <w:szCs w:val="24"/>
        </w:rPr>
        <w:t xml:space="preserve">pro </w:t>
      </w:r>
      <w:r w:rsidR="00AF58C2" w:rsidRPr="002C310E">
        <w:rPr>
          <w:rFonts w:cstheme="minorHAnsi"/>
          <w:b/>
          <w:color w:val="C00000"/>
          <w:sz w:val="24"/>
          <w:szCs w:val="24"/>
        </w:rPr>
        <w:t>vynakládání peněžních prostředků</w:t>
      </w:r>
      <w:r w:rsidR="00265FF1" w:rsidRPr="002C310E">
        <w:rPr>
          <w:rFonts w:cstheme="minorHAnsi"/>
          <w:b/>
          <w:color w:val="C00000"/>
          <w:sz w:val="24"/>
          <w:szCs w:val="24"/>
        </w:rPr>
        <w:t xml:space="preserve"> </w:t>
      </w:r>
      <w:r w:rsidR="00EB527A" w:rsidRPr="002C310E">
        <w:rPr>
          <w:rFonts w:cstheme="minorHAnsi"/>
          <w:b/>
          <w:color w:val="C00000"/>
          <w:sz w:val="24"/>
          <w:szCs w:val="24"/>
        </w:rPr>
        <w:t xml:space="preserve">státu </w:t>
      </w:r>
      <w:r w:rsidR="00721666">
        <w:rPr>
          <w:rFonts w:cstheme="minorHAnsi"/>
          <w:b/>
          <w:color w:val="C00000"/>
          <w:sz w:val="24"/>
          <w:szCs w:val="24"/>
        </w:rPr>
        <w:t xml:space="preserve">na </w:t>
      </w:r>
      <w:r w:rsidR="00265FF1" w:rsidRPr="002C310E">
        <w:rPr>
          <w:rFonts w:cstheme="minorHAnsi"/>
          <w:b/>
          <w:color w:val="C00000"/>
          <w:sz w:val="24"/>
          <w:szCs w:val="24"/>
        </w:rPr>
        <w:t xml:space="preserve">program </w:t>
      </w:r>
      <w:r w:rsidR="00265FF1" w:rsidRPr="00222605">
        <w:rPr>
          <w:rFonts w:cstheme="minorHAnsi"/>
          <w:b/>
          <w:color w:val="C00000"/>
          <w:sz w:val="24"/>
          <w:szCs w:val="24"/>
        </w:rPr>
        <w:t>Pomoc na místě</w:t>
      </w:r>
      <w:r w:rsidR="00AF58C2" w:rsidRPr="002C310E">
        <w:rPr>
          <w:rFonts w:cstheme="minorHAnsi"/>
          <w:b/>
          <w:color w:val="C00000"/>
          <w:sz w:val="24"/>
          <w:szCs w:val="24"/>
        </w:rPr>
        <w:t xml:space="preserve"> zejména </w:t>
      </w:r>
      <w:r w:rsidR="00265FF1" w:rsidRPr="002C310E">
        <w:rPr>
          <w:rFonts w:cstheme="minorHAnsi"/>
          <w:b/>
          <w:color w:val="C00000"/>
          <w:sz w:val="24"/>
          <w:szCs w:val="24"/>
        </w:rPr>
        <w:t xml:space="preserve">v oblasti vyhodnocení cílů programu, </w:t>
      </w:r>
      <w:r w:rsidR="00AF58C2" w:rsidRPr="002C310E">
        <w:rPr>
          <w:rFonts w:cstheme="minorHAnsi"/>
          <w:b/>
          <w:color w:val="C00000"/>
          <w:sz w:val="24"/>
          <w:szCs w:val="24"/>
        </w:rPr>
        <w:t>stanovení parametrů projekt</w:t>
      </w:r>
      <w:r w:rsidR="00265FF1" w:rsidRPr="002C310E">
        <w:rPr>
          <w:rFonts w:cstheme="minorHAnsi"/>
          <w:b/>
          <w:color w:val="C00000"/>
          <w:sz w:val="24"/>
          <w:szCs w:val="24"/>
        </w:rPr>
        <w:t>ů</w:t>
      </w:r>
      <w:r w:rsidR="00AF58C2" w:rsidRPr="002C310E">
        <w:rPr>
          <w:rFonts w:cstheme="minorHAnsi"/>
          <w:b/>
          <w:color w:val="C00000"/>
          <w:sz w:val="24"/>
          <w:szCs w:val="24"/>
        </w:rPr>
        <w:t xml:space="preserve">, obsahu smluvních dokumentů </w:t>
      </w:r>
      <w:r w:rsidR="00265FF1" w:rsidRPr="002C310E">
        <w:rPr>
          <w:rFonts w:cstheme="minorHAnsi"/>
          <w:b/>
          <w:color w:val="C00000"/>
          <w:sz w:val="24"/>
          <w:szCs w:val="24"/>
        </w:rPr>
        <w:t>a</w:t>
      </w:r>
      <w:r w:rsidR="00AF58C2" w:rsidRPr="002C310E">
        <w:rPr>
          <w:rFonts w:cstheme="minorHAnsi"/>
          <w:b/>
          <w:color w:val="C00000"/>
          <w:sz w:val="24"/>
          <w:szCs w:val="24"/>
        </w:rPr>
        <w:t xml:space="preserve"> monitorování realizace projekt</w:t>
      </w:r>
      <w:r w:rsidR="00265FF1" w:rsidRPr="002C310E">
        <w:rPr>
          <w:rFonts w:cstheme="minorHAnsi"/>
          <w:b/>
          <w:color w:val="C00000"/>
          <w:sz w:val="24"/>
          <w:szCs w:val="24"/>
        </w:rPr>
        <w:t>ů</w:t>
      </w:r>
      <w:r w:rsidR="00620763" w:rsidRPr="002C310E">
        <w:rPr>
          <w:rFonts w:cstheme="minorHAnsi"/>
          <w:b/>
          <w:color w:val="C00000"/>
          <w:sz w:val="24"/>
          <w:szCs w:val="24"/>
        </w:rPr>
        <w:t>.</w:t>
      </w:r>
      <w:r w:rsidR="00AF58C2" w:rsidRPr="002C310E">
        <w:rPr>
          <w:rFonts w:cstheme="minorHAnsi"/>
          <w:b/>
          <w:color w:val="C00000"/>
          <w:sz w:val="24"/>
          <w:szCs w:val="24"/>
        </w:rPr>
        <w:t xml:space="preserve"> </w:t>
      </w:r>
    </w:p>
    <w:p w14:paraId="67CD5FD6" w14:textId="46A1F4C6" w:rsidR="00AF58C2" w:rsidRPr="002C310E" w:rsidRDefault="00F04DCF" w:rsidP="00C96DBD">
      <w:pPr>
        <w:spacing w:after="120" w:line="240" w:lineRule="auto"/>
        <w:jc w:val="both"/>
        <w:rPr>
          <w:rFonts w:eastAsia="Calibri" w:cstheme="minorHAnsi"/>
          <w:sz w:val="24"/>
          <w:szCs w:val="24"/>
        </w:rPr>
      </w:pPr>
      <w:r w:rsidRPr="00E310A1">
        <w:rPr>
          <w:rFonts w:cstheme="minorHAnsi"/>
          <w:b/>
          <w:sz w:val="24"/>
          <w:szCs w:val="24"/>
        </w:rPr>
        <w:t>4.</w:t>
      </w:r>
      <w:r w:rsidR="005873B0" w:rsidRPr="00E310A1">
        <w:rPr>
          <w:rFonts w:cstheme="minorHAnsi"/>
          <w:b/>
          <w:sz w:val="24"/>
          <w:szCs w:val="24"/>
        </w:rPr>
        <w:t>5</w:t>
      </w:r>
      <w:r w:rsidR="000B1625" w:rsidRPr="00E310A1">
        <w:rPr>
          <w:rFonts w:cstheme="minorHAnsi"/>
          <w:b/>
          <w:sz w:val="24"/>
          <w:szCs w:val="24"/>
        </w:rPr>
        <w:t>0</w:t>
      </w:r>
      <w:r w:rsidRPr="002C310E">
        <w:rPr>
          <w:rFonts w:cstheme="minorHAnsi"/>
          <w:sz w:val="24"/>
          <w:szCs w:val="24"/>
        </w:rPr>
        <w:t xml:space="preserve"> </w:t>
      </w:r>
      <w:r w:rsidR="005873B0" w:rsidRPr="002C310E">
        <w:rPr>
          <w:rFonts w:cstheme="minorHAnsi"/>
          <w:sz w:val="24"/>
          <w:szCs w:val="24"/>
        </w:rPr>
        <w:t>MV ne</w:t>
      </w:r>
      <w:r w:rsidRPr="002C310E">
        <w:rPr>
          <w:rFonts w:cstheme="minorHAnsi"/>
          <w:sz w:val="24"/>
          <w:szCs w:val="24"/>
        </w:rPr>
        <w:t xml:space="preserve">stanovilo </w:t>
      </w:r>
      <w:r w:rsidR="005873B0" w:rsidRPr="002C310E">
        <w:rPr>
          <w:rFonts w:cstheme="minorHAnsi"/>
          <w:sz w:val="24"/>
          <w:szCs w:val="24"/>
        </w:rPr>
        <w:t xml:space="preserve">měřitelné cíle ani způsob, jakým bude naplnění cílů </w:t>
      </w:r>
      <w:r w:rsidR="00265FF1" w:rsidRPr="002C310E">
        <w:rPr>
          <w:rFonts w:cstheme="minorHAnsi"/>
          <w:sz w:val="24"/>
          <w:szCs w:val="24"/>
        </w:rPr>
        <w:t xml:space="preserve">programu </w:t>
      </w:r>
      <w:r w:rsidR="00265FF1" w:rsidRPr="00222605">
        <w:rPr>
          <w:rFonts w:cstheme="minorHAnsi"/>
          <w:sz w:val="24"/>
          <w:szCs w:val="24"/>
        </w:rPr>
        <w:t>Pomoc na místě</w:t>
      </w:r>
      <w:r w:rsidR="00265FF1" w:rsidRPr="002C310E">
        <w:rPr>
          <w:rFonts w:cstheme="minorHAnsi"/>
          <w:sz w:val="24"/>
          <w:szCs w:val="24"/>
        </w:rPr>
        <w:t xml:space="preserve"> h</w:t>
      </w:r>
      <w:r w:rsidR="005873B0" w:rsidRPr="002C310E">
        <w:rPr>
          <w:rFonts w:cstheme="minorHAnsi"/>
          <w:sz w:val="24"/>
          <w:szCs w:val="24"/>
        </w:rPr>
        <w:t xml:space="preserve">odnotit. </w:t>
      </w:r>
      <w:r w:rsidR="008B263D" w:rsidRPr="002C310E">
        <w:rPr>
          <w:rFonts w:eastAsia="Calibri" w:cstheme="minorHAnsi"/>
          <w:sz w:val="24"/>
          <w:szCs w:val="24"/>
        </w:rPr>
        <w:t xml:space="preserve">MV </w:t>
      </w:r>
      <w:r w:rsidR="00265FF1" w:rsidRPr="002C310E">
        <w:rPr>
          <w:rFonts w:eastAsia="Calibri" w:cstheme="minorHAnsi"/>
          <w:sz w:val="24"/>
          <w:szCs w:val="24"/>
        </w:rPr>
        <w:t xml:space="preserve">také neurčilo </w:t>
      </w:r>
      <w:r w:rsidR="008B263D" w:rsidRPr="002C310E">
        <w:rPr>
          <w:rFonts w:eastAsia="Calibri" w:cstheme="minorHAnsi"/>
          <w:sz w:val="24"/>
          <w:szCs w:val="24"/>
        </w:rPr>
        <w:t>pravidla pro v</w:t>
      </w:r>
      <w:r w:rsidR="00365679" w:rsidRPr="002C310E">
        <w:rPr>
          <w:rFonts w:eastAsia="Calibri" w:cstheme="minorHAnsi"/>
          <w:sz w:val="24"/>
          <w:szCs w:val="24"/>
        </w:rPr>
        <w:t xml:space="preserve">ynakládání peněžních prostředků, </w:t>
      </w:r>
      <w:r w:rsidR="00115329" w:rsidRPr="002C310E">
        <w:rPr>
          <w:rFonts w:eastAsia="Calibri" w:cstheme="minorHAnsi"/>
          <w:sz w:val="24"/>
          <w:szCs w:val="24"/>
        </w:rPr>
        <w:t>jako např.</w:t>
      </w:r>
      <w:r w:rsidR="000471C5" w:rsidRPr="002C310E">
        <w:rPr>
          <w:rFonts w:eastAsia="Calibri" w:cstheme="minorHAnsi"/>
          <w:sz w:val="24"/>
          <w:szCs w:val="24"/>
        </w:rPr>
        <w:t xml:space="preserve"> </w:t>
      </w:r>
      <w:r w:rsidR="008B263D" w:rsidRPr="002C310E">
        <w:rPr>
          <w:rFonts w:eastAsia="Calibri" w:cstheme="minorHAnsi"/>
          <w:sz w:val="24"/>
          <w:szCs w:val="24"/>
        </w:rPr>
        <w:t>vymezení parametrů projektů</w:t>
      </w:r>
      <w:r w:rsidR="008E6445" w:rsidRPr="002C310E">
        <w:rPr>
          <w:rFonts w:eastAsia="Calibri" w:cstheme="minorHAnsi"/>
          <w:sz w:val="24"/>
          <w:szCs w:val="24"/>
        </w:rPr>
        <w:t xml:space="preserve"> (např. počet </w:t>
      </w:r>
      <w:r w:rsidR="000F02A2" w:rsidRPr="002C310E">
        <w:rPr>
          <w:rFonts w:eastAsia="Calibri" w:cstheme="minorHAnsi"/>
          <w:sz w:val="24"/>
          <w:szCs w:val="24"/>
        </w:rPr>
        <w:t xml:space="preserve">a technické parametry </w:t>
      </w:r>
      <w:r w:rsidR="008E6445" w:rsidRPr="002C310E">
        <w:rPr>
          <w:rFonts w:eastAsia="Calibri" w:cstheme="minorHAnsi"/>
          <w:sz w:val="24"/>
          <w:szCs w:val="24"/>
        </w:rPr>
        <w:t xml:space="preserve">pořizovaného majetku, cílová </w:t>
      </w:r>
      <w:r w:rsidR="00E46B4A" w:rsidRPr="002C310E">
        <w:rPr>
          <w:rFonts w:eastAsia="Calibri" w:cstheme="minorHAnsi"/>
          <w:sz w:val="24"/>
          <w:szCs w:val="24"/>
        </w:rPr>
        <w:t>skupina</w:t>
      </w:r>
      <w:r w:rsidR="00EB527A" w:rsidRPr="002C310E">
        <w:rPr>
          <w:rFonts w:eastAsia="Calibri" w:cstheme="minorHAnsi"/>
          <w:sz w:val="24"/>
          <w:szCs w:val="24"/>
        </w:rPr>
        <w:t xml:space="preserve"> apod.</w:t>
      </w:r>
      <w:r w:rsidR="008E6445" w:rsidRPr="002C310E">
        <w:rPr>
          <w:rFonts w:eastAsia="Calibri" w:cstheme="minorHAnsi"/>
          <w:sz w:val="24"/>
          <w:szCs w:val="24"/>
        </w:rPr>
        <w:t>),</w:t>
      </w:r>
      <w:r w:rsidR="008B263D" w:rsidRPr="002C310E">
        <w:rPr>
          <w:rFonts w:eastAsia="Calibri" w:cstheme="minorHAnsi"/>
          <w:sz w:val="24"/>
          <w:szCs w:val="24"/>
        </w:rPr>
        <w:t xml:space="preserve"> obsahu smluvních dokumentů nebo monitorování realizace projektů.</w:t>
      </w:r>
      <w:r w:rsidRPr="002C310E">
        <w:rPr>
          <w:rFonts w:eastAsia="Calibri" w:cstheme="minorHAnsi"/>
          <w:sz w:val="24"/>
          <w:szCs w:val="24"/>
        </w:rPr>
        <w:t xml:space="preserve"> </w:t>
      </w:r>
      <w:r w:rsidR="000F02A2" w:rsidRPr="002C310E">
        <w:rPr>
          <w:rFonts w:eastAsia="Calibri" w:cstheme="minorHAnsi"/>
          <w:sz w:val="24"/>
          <w:szCs w:val="24"/>
        </w:rPr>
        <w:t>P</w:t>
      </w:r>
      <w:r w:rsidRPr="002C310E">
        <w:rPr>
          <w:rFonts w:eastAsia="Calibri" w:cstheme="minorHAnsi"/>
          <w:sz w:val="24"/>
          <w:szCs w:val="24"/>
        </w:rPr>
        <w:t xml:space="preserve">ravidla nebyla stanovena ani </w:t>
      </w:r>
      <w:r w:rsidR="00F37500" w:rsidRPr="002C310E">
        <w:rPr>
          <w:rFonts w:eastAsia="Calibri" w:cstheme="minorHAnsi"/>
          <w:sz w:val="24"/>
          <w:szCs w:val="24"/>
        </w:rPr>
        <w:t xml:space="preserve">v </w:t>
      </w:r>
      <w:r w:rsidR="00F37500" w:rsidRPr="002C310E">
        <w:rPr>
          <w:rFonts w:eastAsia="Calibri" w:cstheme="minorHAnsi"/>
          <w:color w:val="202122"/>
          <w:sz w:val="24"/>
          <w:szCs w:val="24"/>
          <w:shd w:val="clear" w:color="auto" w:fill="FFFFFF"/>
        </w:rPr>
        <w:t xml:space="preserve">rámci usnesení vlády č. </w:t>
      </w:r>
      <w:r w:rsidR="00365679" w:rsidRPr="002C310E">
        <w:rPr>
          <w:rFonts w:eastAsia="Calibri" w:cstheme="minorHAnsi"/>
          <w:color w:val="202122"/>
          <w:sz w:val="24"/>
          <w:szCs w:val="24"/>
          <w:shd w:val="clear" w:color="auto" w:fill="FFFFFF"/>
        </w:rPr>
        <w:t>19/2015, kterým vláda program</w:t>
      </w:r>
      <w:r w:rsidR="00F37500" w:rsidRPr="002C310E">
        <w:rPr>
          <w:rFonts w:eastAsia="Calibri" w:cstheme="minorHAnsi"/>
          <w:color w:val="202122"/>
          <w:sz w:val="24"/>
          <w:szCs w:val="24"/>
          <w:shd w:val="clear" w:color="auto" w:fill="FFFFFF"/>
        </w:rPr>
        <w:t xml:space="preserve"> schválila.</w:t>
      </w:r>
      <w:r w:rsidR="00365679" w:rsidRPr="002C310E">
        <w:rPr>
          <w:rFonts w:eastAsia="Calibri" w:cstheme="minorHAnsi"/>
          <w:color w:val="202122"/>
          <w:sz w:val="24"/>
          <w:szCs w:val="24"/>
          <w:shd w:val="clear" w:color="auto" w:fill="FFFFFF"/>
        </w:rPr>
        <w:t xml:space="preserve"> </w:t>
      </w:r>
      <w:r w:rsidR="0062442B" w:rsidRPr="002C310E">
        <w:rPr>
          <w:rFonts w:eastAsia="Calibri" w:cstheme="minorHAnsi"/>
          <w:color w:val="202122"/>
          <w:sz w:val="24"/>
          <w:szCs w:val="24"/>
          <w:shd w:val="clear" w:color="auto" w:fill="FFFFFF"/>
        </w:rPr>
        <w:t>MV tak nemůže postupovat v souladu se záko</w:t>
      </w:r>
      <w:r w:rsidR="00C00274" w:rsidRPr="002C310E">
        <w:rPr>
          <w:rFonts w:eastAsia="Calibri" w:cstheme="minorHAnsi"/>
          <w:color w:val="202122"/>
          <w:sz w:val="24"/>
          <w:szCs w:val="24"/>
          <w:shd w:val="clear" w:color="auto" w:fill="FFFFFF"/>
        </w:rPr>
        <w:t>nem č. </w:t>
      </w:r>
      <w:r w:rsidR="0062442B" w:rsidRPr="002C310E">
        <w:rPr>
          <w:rFonts w:eastAsia="Calibri" w:cstheme="minorHAnsi"/>
          <w:color w:val="202122"/>
          <w:sz w:val="24"/>
          <w:szCs w:val="24"/>
          <w:shd w:val="clear" w:color="auto" w:fill="FFFFFF"/>
        </w:rPr>
        <w:t>218</w:t>
      </w:r>
      <w:r w:rsidR="00C00274" w:rsidRPr="002C310E">
        <w:rPr>
          <w:rFonts w:eastAsia="Calibri" w:cstheme="minorHAnsi"/>
          <w:color w:val="202122"/>
          <w:sz w:val="24"/>
          <w:szCs w:val="24"/>
          <w:shd w:val="clear" w:color="auto" w:fill="FFFFFF"/>
        </w:rPr>
        <w:t xml:space="preserve">/2000 Sb. (viz </w:t>
      </w:r>
      <w:r w:rsidR="00E46B4A" w:rsidRPr="002C310E">
        <w:rPr>
          <w:rFonts w:eastAsia="Calibri" w:cstheme="minorHAnsi"/>
          <w:color w:val="202122"/>
          <w:sz w:val="24"/>
          <w:szCs w:val="24"/>
          <w:shd w:val="clear" w:color="auto" w:fill="FFFFFF"/>
        </w:rPr>
        <w:t>odst.</w:t>
      </w:r>
      <w:r w:rsidR="00A86109" w:rsidRPr="002C310E">
        <w:rPr>
          <w:rFonts w:eastAsia="Calibri" w:cstheme="minorHAnsi"/>
          <w:color w:val="202122"/>
          <w:sz w:val="24"/>
          <w:szCs w:val="24"/>
          <w:shd w:val="clear" w:color="auto" w:fill="FFFFFF"/>
        </w:rPr>
        <w:t xml:space="preserve"> 4.</w:t>
      </w:r>
      <w:r w:rsidR="00AF3D34">
        <w:rPr>
          <w:rFonts w:eastAsia="Calibri" w:cstheme="minorHAnsi"/>
          <w:color w:val="202122"/>
          <w:sz w:val="24"/>
          <w:szCs w:val="24"/>
          <w:shd w:val="clear" w:color="auto" w:fill="FFFFFF"/>
        </w:rPr>
        <w:t>58</w:t>
      </w:r>
      <w:r w:rsidR="00A86109" w:rsidRPr="002C310E">
        <w:rPr>
          <w:rFonts w:eastAsia="Calibri" w:cstheme="minorHAnsi"/>
          <w:color w:val="202122"/>
          <w:sz w:val="24"/>
          <w:szCs w:val="24"/>
          <w:shd w:val="clear" w:color="auto" w:fill="FFFFFF"/>
        </w:rPr>
        <w:t>.)</w:t>
      </w:r>
    </w:p>
    <w:p w14:paraId="4CE27733" w14:textId="4E381803" w:rsidR="005F2A68" w:rsidRPr="002C310E" w:rsidRDefault="00F04DCF" w:rsidP="00C96DBD">
      <w:pPr>
        <w:spacing w:after="120" w:line="240" w:lineRule="auto"/>
        <w:jc w:val="both"/>
        <w:rPr>
          <w:rFonts w:eastAsia="Calibri" w:cstheme="minorHAnsi"/>
          <w:sz w:val="24"/>
          <w:szCs w:val="24"/>
        </w:rPr>
      </w:pPr>
      <w:r w:rsidRPr="00E310A1">
        <w:rPr>
          <w:rFonts w:cstheme="minorHAnsi"/>
          <w:b/>
          <w:sz w:val="24"/>
          <w:szCs w:val="24"/>
        </w:rPr>
        <w:t>4.</w:t>
      </w:r>
      <w:r w:rsidR="00D62E59" w:rsidRPr="00E310A1">
        <w:rPr>
          <w:rFonts w:cstheme="minorHAnsi"/>
          <w:b/>
          <w:sz w:val="24"/>
          <w:szCs w:val="24"/>
        </w:rPr>
        <w:t>5</w:t>
      </w:r>
      <w:r w:rsidR="000B1625" w:rsidRPr="00E310A1">
        <w:rPr>
          <w:rFonts w:cstheme="minorHAnsi"/>
          <w:b/>
          <w:sz w:val="24"/>
          <w:szCs w:val="24"/>
        </w:rPr>
        <w:t>1</w:t>
      </w:r>
      <w:r w:rsidRPr="002C310E">
        <w:rPr>
          <w:rFonts w:cstheme="minorHAnsi"/>
          <w:sz w:val="24"/>
          <w:szCs w:val="24"/>
        </w:rPr>
        <w:t xml:space="preserve"> </w:t>
      </w:r>
      <w:r w:rsidR="000079C2" w:rsidRPr="002C310E">
        <w:rPr>
          <w:rFonts w:eastAsia="Calibri" w:cstheme="minorHAnsi"/>
          <w:sz w:val="24"/>
          <w:szCs w:val="24"/>
        </w:rPr>
        <w:t xml:space="preserve">NKÚ </w:t>
      </w:r>
      <w:r w:rsidRPr="002C310E">
        <w:rPr>
          <w:rFonts w:eastAsia="Calibri" w:cstheme="minorHAnsi"/>
          <w:sz w:val="24"/>
          <w:szCs w:val="24"/>
        </w:rPr>
        <w:t>o</w:t>
      </w:r>
      <w:r w:rsidR="000079C2" w:rsidRPr="002C310E">
        <w:rPr>
          <w:rFonts w:eastAsia="Calibri" w:cstheme="minorHAnsi"/>
          <w:sz w:val="24"/>
          <w:szCs w:val="24"/>
        </w:rPr>
        <w:t>věřil</w:t>
      </w:r>
      <w:r w:rsidRPr="002C310E">
        <w:rPr>
          <w:rFonts w:eastAsia="Calibri" w:cstheme="minorHAnsi"/>
          <w:sz w:val="24"/>
          <w:szCs w:val="24"/>
        </w:rPr>
        <w:t xml:space="preserve">, že výběr prioritních regionů a cílových zemí pro realizaci projektů probíhal na základě analýzy migrační situace. MV </w:t>
      </w:r>
      <w:r w:rsidR="00697D16" w:rsidRPr="002C310E">
        <w:rPr>
          <w:rFonts w:eastAsia="Calibri" w:cstheme="minorHAnsi"/>
          <w:sz w:val="24"/>
          <w:szCs w:val="24"/>
        </w:rPr>
        <w:t xml:space="preserve">každoročně </w:t>
      </w:r>
      <w:r w:rsidRPr="002C310E">
        <w:rPr>
          <w:rFonts w:eastAsia="Calibri" w:cstheme="minorHAnsi"/>
          <w:sz w:val="24"/>
          <w:szCs w:val="24"/>
        </w:rPr>
        <w:t xml:space="preserve">určilo </w:t>
      </w:r>
      <w:r w:rsidR="00620763" w:rsidRPr="002C310E">
        <w:rPr>
          <w:rFonts w:eastAsia="Calibri" w:cstheme="minorHAnsi"/>
          <w:sz w:val="24"/>
          <w:szCs w:val="24"/>
        </w:rPr>
        <w:t xml:space="preserve">tři </w:t>
      </w:r>
      <w:r w:rsidRPr="002C310E">
        <w:rPr>
          <w:rFonts w:eastAsia="Calibri" w:cstheme="minorHAnsi"/>
          <w:sz w:val="24"/>
          <w:szCs w:val="24"/>
        </w:rPr>
        <w:t>prioritní regiony</w:t>
      </w:r>
      <w:r w:rsidR="00620763" w:rsidRPr="002C310E">
        <w:rPr>
          <w:rFonts w:eastAsia="Calibri" w:cstheme="minorHAnsi"/>
          <w:sz w:val="24"/>
          <w:szCs w:val="24"/>
        </w:rPr>
        <w:t xml:space="preserve"> </w:t>
      </w:r>
      <w:r w:rsidRPr="002C310E">
        <w:rPr>
          <w:rFonts w:eastAsia="Calibri" w:cstheme="minorHAnsi"/>
          <w:sz w:val="24"/>
          <w:szCs w:val="24"/>
        </w:rPr>
        <w:t xml:space="preserve">s dlouhodobě problematickou situací </w:t>
      </w:r>
      <w:r w:rsidR="000079C2" w:rsidRPr="002C310E">
        <w:rPr>
          <w:rFonts w:eastAsia="Calibri" w:cstheme="minorHAnsi"/>
          <w:sz w:val="24"/>
          <w:szCs w:val="24"/>
        </w:rPr>
        <w:t>v oblasti migrace</w:t>
      </w:r>
      <w:r w:rsidR="008E6445" w:rsidRPr="002C310E">
        <w:rPr>
          <w:rFonts w:eastAsia="Calibri" w:cstheme="minorHAnsi"/>
          <w:sz w:val="24"/>
          <w:szCs w:val="24"/>
        </w:rPr>
        <w:t xml:space="preserve"> </w:t>
      </w:r>
      <w:r w:rsidR="000079C2" w:rsidRPr="002C310E">
        <w:rPr>
          <w:rFonts w:eastAsia="Calibri" w:cstheme="minorHAnsi"/>
          <w:sz w:val="24"/>
          <w:szCs w:val="24"/>
        </w:rPr>
        <w:t xml:space="preserve">a uprchlictví. Rozdělení </w:t>
      </w:r>
      <w:r w:rsidRPr="002C310E">
        <w:rPr>
          <w:rFonts w:eastAsia="Calibri" w:cstheme="minorHAnsi"/>
          <w:sz w:val="24"/>
          <w:szCs w:val="24"/>
        </w:rPr>
        <w:t>peněžních prostředků na vybrané regiony a cílové země</w:t>
      </w:r>
      <w:r w:rsidR="000079C2" w:rsidRPr="002C310E">
        <w:rPr>
          <w:rFonts w:eastAsia="Calibri" w:cstheme="minorHAnsi"/>
          <w:sz w:val="24"/>
          <w:szCs w:val="24"/>
        </w:rPr>
        <w:t xml:space="preserve"> </w:t>
      </w:r>
      <w:r w:rsidR="00620763" w:rsidRPr="002C310E">
        <w:rPr>
          <w:rFonts w:eastAsia="Calibri" w:cstheme="minorHAnsi"/>
          <w:sz w:val="24"/>
          <w:szCs w:val="24"/>
        </w:rPr>
        <w:t xml:space="preserve">poté </w:t>
      </w:r>
      <w:r w:rsidR="000079C2" w:rsidRPr="002C310E">
        <w:rPr>
          <w:rFonts w:eastAsia="Calibri" w:cstheme="minorHAnsi"/>
          <w:sz w:val="24"/>
          <w:szCs w:val="24"/>
        </w:rPr>
        <w:t xml:space="preserve">doporučovala meziresortní pracovní skupina a schvalovala vláda. </w:t>
      </w:r>
      <w:r w:rsidRPr="002C310E">
        <w:rPr>
          <w:rFonts w:eastAsia="Calibri" w:cstheme="minorHAnsi"/>
          <w:sz w:val="24"/>
          <w:szCs w:val="24"/>
        </w:rPr>
        <w:t xml:space="preserve">Kritériem pro výběr projektu </w:t>
      </w:r>
      <w:r w:rsidR="00620763" w:rsidRPr="002C310E">
        <w:rPr>
          <w:rFonts w:eastAsia="Calibri" w:cstheme="minorHAnsi"/>
          <w:sz w:val="24"/>
          <w:szCs w:val="24"/>
        </w:rPr>
        <w:t>byla</w:t>
      </w:r>
      <w:r w:rsidRPr="002C310E">
        <w:rPr>
          <w:rFonts w:eastAsia="Calibri" w:cstheme="minorHAnsi"/>
          <w:sz w:val="24"/>
          <w:szCs w:val="24"/>
        </w:rPr>
        <w:t xml:space="preserve"> zejména jeho proveditelnost, neboť v</w:t>
      </w:r>
      <w:r w:rsidR="00697D16" w:rsidRPr="002C310E">
        <w:rPr>
          <w:rFonts w:eastAsia="Calibri" w:cstheme="minorHAnsi"/>
          <w:sz w:val="24"/>
          <w:szCs w:val="24"/>
        </w:rPr>
        <w:t xml:space="preserve"> </w:t>
      </w:r>
      <w:r w:rsidRPr="002C310E">
        <w:rPr>
          <w:rFonts w:eastAsia="Calibri" w:cstheme="minorHAnsi"/>
          <w:sz w:val="24"/>
          <w:szCs w:val="24"/>
        </w:rPr>
        <w:t xml:space="preserve">cílové zemi </w:t>
      </w:r>
      <w:r w:rsidR="00620763" w:rsidRPr="002C310E">
        <w:rPr>
          <w:rFonts w:eastAsia="Calibri" w:cstheme="minorHAnsi"/>
          <w:sz w:val="24"/>
          <w:szCs w:val="24"/>
        </w:rPr>
        <w:t>byl</w:t>
      </w:r>
      <w:r w:rsidR="00697D16" w:rsidRPr="002C310E">
        <w:rPr>
          <w:rFonts w:eastAsia="Calibri" w:cstheme="minorHAnsi"/>
          <w:sz w:val="24"/>
          <w:szCs w:val="24"/>
        </w:rPr>
        <w:t xml:space="preserve"> zpravidla omezen počet </w:t>
      </w:r>
      <w:r w:rsidR="002E4BED" w:rsidRPr="002C310E">
        <w:rPr>
          <w:rFonts w:eastAsia="Calibri" w:cstheme="minorHAnsi"/>
          <w:sz w:val="24"/>
          <w:szCs w:val="24"/>
        </w:rPr>
        <w:t>příjemců podpory</w:t>
      </w:r>
      <w:r w:rsidRPr="002C310E">
        <w:rPr>
          <w:rFonts w:eastAsia="Calibri" w:cstheme="minorHAnsi"/>
          <w:sz w:val="24"/>
          <w:szCs w:val="24"/>
        </w:rPr>
        <w:t>, kte</w:t>
      </w:r>
      <w:r w:rsidR="002E4BED" w:rsidRPr="002C310E">
        <w:rPr>
          <w:rFonts w:eastAsia="Calibri" w:cstheme="minorHAnsi"/>
          <w:sz w:val="24"/>
          <w:szCs w:val="24"/>
        </w:rPr>
        <w:t>ří</w:t>
      </w:r>
      <w:r w:rsidRPr="002C310E">
        <w:rPr>
          <w:rFonts w:eastAsia="Calibri" w:cstheme="minorHAnsi"/>
          <w:sz w:val="24"/>
          <w:szCs w:val="24"/>
        </w:rPr>
        <w:t xml:space="preserve"> </w:t>
      </w:r>
      <w:r w:rsidR="00620763" w:rsidRPr="002C310E">
        <w:rPr>
          <w:rFonts w:eastAsia="Calibri" w:cstheme="minorHAnsi"/>
          <w:sz w:val="24"/>
          <w:szCs w:val="24"/>
        </w:rPr>
        <w:t>byl</w:t>
      </w:r>
      <w:r w:rsidR="002E4BED" w:rsidRPr="002C310E">
        <w:rPr>
          <w:rFonts w:eastAsia="Calibri" w:cstheme="minorHAnsi"/>
          <w:sz w:val="24"/>
          <w:szCs w:val="24"/>
        </w:rPr>
        <w:t>i</w:t>
      </w:r>
      <w:r w:rsidRPr="002C310E">
        <w:rPr>
          <w:rFonts w:eastAsia="Calibri" w:cstheme="minorHAnsi"/>
          <w:sz w:val="24"/>
          <w:szCs w:val="24"/>
        </w:rPr>
        <w:t xml:space="preserve"> schopn</w:t>
      </w:r>
      <w:r w:rsidR="002E4BED" w:rsidRPr="002C310E">
        <w:rPr>
          <w:rFonts w:eastAsia="Calibri" w:cstheme="minorHAnsi"/>
          <w:sz w:val="24"/>
          <w:szCs w:val="24"/>
        </w:rPr>
        <w:t>i</w:t>
      </w:r>
      <w:r w:rsidRPr="002C310E">
        <w:rPr>
          <w:rFonts w:eastAsia="Calibri" w:cstheme="minorHAnsi"/>
          <w:sz w:val="24"/>
          <w:szCs w:val="24"/>
        </w:rPr>
        <w:t xml:space="preserve"> </w:t>
      </w:r>
      <w:r w:rsidR="00697D16" w:rsidRPr="002C310E">
        <w:rPr>
          <w:rFonts w:eastAsia="Calibri" w:cstheme="minorHAnsi"/>
          <w:sz w:val="24"/>
          <w:szCs w:val="24"/>
        </w:rPr>
        <w:t xml:space="preserve">projekt </w:t>
      </w:r>
      <w:r w:rsidR="00C37425" w:rsidRPr="002C310E">
        <w:rPr>
          <w:rFonts w:eastAsia="Calibri" w:cstheme="minorHAnsi"/>
          <w:sz w:val="24"/>
          <w:szCs w:val="24"/>
        </w:rPr>
        <w:t>realizovat</w:t>
      </w:r>
      <w:r w:rsidRPr="002C310E">
        <w:rPr>
          <w:rFonts w:eastAsia="Calibri" w:cstheme="minorHAnsi"/>
          <w:sz w:val="24"/>
          <w:szCs w:val="24"/>
        </w:rPr>
        <w:t>.</w:t>
      </w:r>
      <w:r w:rsidR="000471C5" w:rsidRPr="002C310E">
        <w:rPr>
          <w:rFonts w:eastAsia="Calibri" w:cstheme="minorHAnsi"/>
          <w:sz w:val="24"/>
          <w:szCs w:val="24"/>
        </w:rPr>
        <w:t xml:space="preserve"> Projekty tak MV ani meziresortní pracovní skupina </w:t>
      </w:r>
      <w:r w:rsidR="00EC5A62" w:rsidRPr="002C310E">
        <w:rPr>
          <w:rFonts w:eastAsia="Calibri" w:cstheme="minorHAnsi"/>
          <w:sz w:val="24"/>
          <w:szCs w:val="24"/>
        </w:rPr>
        <w:t xml:space="preserve">nehodnotily podle předem daných hodnoticích kritérií. Přehled projektů </w:t>
      </w:r>
      <w:r w:rsidR="008E6445" w:rsidRPr="002C310E">
        <w:rPr>
          <w:rFonts w:eastAsia="Calibri" w:cstheme="minorHAnsi"/>
          <w:sz w:val="24"/>
          <w:szCs w:val="24"/>
        </w:rPr>
        <w:t xml:space="preserve">s uvedením výše peněžních prostředků </w:t>
      </w:r>
      <w:r w:rsidR="00EC5A62" w:rsidRPr="002C310E">
        <w:rPr>
          <w:rFonts w:eastAsia="Calibri" w:cstheme="minorHAnsi"/>
          <w:sz w:val="24"/>
          <w:szCs w:val="24"/>
        </w:rPr>
        <w:t>pro příslušný rok byl předkládán k doporučení pracovní skupině a následnému schválení vládě.</w:t>
      </w:r>
    </w:p>
    <w:p w14:paraId="2703ACEE" w14:textId="77777777" w:rsidR="0094087D" w:rsidRPr="002C310E" w:rsidRDefault="00F04DCF" w:rsidP="00C96DBD">
      <w:pPr>
        <w:spacing w:after="120" w:line="240" w:lineRule="auto"/>
        <w:jc w:val="both"/>
        <w:rPr>
          <w:rFonts w:cstheme="minorHAnsi"/>
          <w:sz w:val="24"/>
          <w:szCs w:val="24"/>
        </w:rPr>
      </w:pPr>
      <w:r w:rsidRPr="002C310E">
        <w:rPr>
          <w:rFonts w:cstheme="minorHAnsi"/>
          <w:b/>
          <w:color w:val="C00000"/>
          <w:sz w:val="24"/>
          <w:szCs w:val="24"/>
        </w:rPr>
        <w:t xml:space="preserve">→ MV nedisponuje doklady, které by prokázaly, že peněžní prostředky </w:t>
      </w:r>
      <w:r w:rsidR="00F73FA3" w:rsidRPr="002C310E">
        <w:rPr>
          <w:rFonts w:cstheme="minorHAnsi"/>
          <w:b/>
          <w:color w:val="C00000"/>
          <w:sz w:val="24"/>
          <w:szCs w:val="24"/>
        </w:rPr>
        <w:t xml:space="preserve">státu </w:t>
      </w:r>
      <w:r w:rsidRPr="002C310E">
        <w:rPr>
          <w:rFonts w:cstheme="minorHAnsi"/>
          <w:b/>
          <w:color w:val="C00000"/>
          <w:sz w:val="24"/>
          <w:szCs w:val="24"/>
        </w:rPr>
        <w:t xml:space="preserve">na vybrané projekty programu </w:t>
      </w:r>
      <w:r w:rsidRPr="00222605">
        <w:rPr>
          <w:rFonts w:cstheme="minorHAnsi"/>
          <w:b/>
          <w:color w:val="C00000"/>
          <w:sz w:val="24"/>
          <w:szCs w:val="24"/>
        </w:rPr>
        <w:t>Pomoc na místě</w:t>
      </w:r>
      <w:r w:rsidRPr="002C310E">
        <w:rPr>
          <w:rFonts w:cstheme="minorHAnsi"/>
          <w:b/>
          <w:color w:val="C00000"/>
          <w:sz w:val="24"/>
          <w:szCs w:val="24"/>
        </w:rPr>
        <w:t xml:space="preserve"> byly vynaloženy účelně a efektivně</w:t>
      </w:r>
      <w:r w:rsidR="00CF5C3E">
        <w:rPr>
          <w:rFonts w:cstheme="minorHAnsi"/>
          <w:b/>
          <w:color w:val="C00000"/>
          <w:sz w:val="24"/>
          <w:szCs w:val="24"/>
        </w:rPr>
        <w:t>.</w:t>
      </w:r>
      <w:r w:rsidRPr="002C310E">
        <w:rPr>
          <w:rFonts w:cstheme="minorHAnsi"/>
          <w:b/>
          <w:color w:val="C00000"/>
          <w:sz w:val="24"/>
          <w:szCs w:val="24"/>
        </w:rPr>
        <w:t xml:space="preserve"> </w:t>
      </w:r>
    </w:p>
    <w:p w14:paraId="530DF24A" w14:textId="13FE4B1D" w:rsidR="00197B44" w:rsidRPr="002C310E" w:rsidRDefault="00F04DCF" w:rsidP="00C96DBD">
      <w:pPr>
        <w:spacing w:after="120" w:line="240" w:lineRule="auto"/>
        <w:jc w:val="both"/>
        <w:rPr>
          <w:rFonts w:eastAsia="Calibri" w:cstheme="minorHAnsi"/>
          <w:sz w:val="24"/>
          <w:szCs w:val="24"/>
        </w:rPr>
      </w:pPr>
      <w:r w:rsidRPr="00E310A1">
        <w:rPr>
          <w:rFonts w:cstheme="minorHAnsi"/>
          <w:b/>
          <w:sz w:val="24"/>
          <w:szCs w:val="24"/>
        </w:rPr>
        <w:t>4.</w:t>
      </w:r>
      <w:r w:rsidR="00C96DBD" w:rsidRPr="00E310A1">
        <w:rPr>
          <w:rFonts w:cstheme="minorHAnsi"/>
          <w:b/>
          <w:sz w:val="24"/>
          <w:szCs w:val="24"/>
        </w:rPr>
        <w:t>5</w:t>
      </w:r>
      <w:r w:rsidR="000B1625" w:rsidRPr="00E310A1">
        <w:rPr>
          <w:rFonts w:cstheme="minorHAnsi"/>
          <w:b/>
          <w:sz w:val="24"/>
          <w:szCs w:val="24"/>
        </w:rPr>
        <w:t>2</w:t>
      </w:r>
      <w:r w:rsidRPr="002C310E">
        <w:rPr>
          <w:rFonts w:cstheme="minorHAnsi"/>
          <w:sz w:val="24"/>
          <w:szCs w:val="24"/>
        </w:rPr>
        <w:t xml:space="preserve"> </w:t>
      </w:r>
      <w:r w:rsidR="00697D16" w:rsidRPr="002C310E">
        <w:rPr>
          <w:rFonts w:cstheme="minorHAnsi"/>
          <w:sz w:val="24"/>
          <w:szCs w:val="24"/>
        </w:rPr>
        <w:t>NKÚ vybral ke kontrole tři</w:t>
      </w:r>
      <w:r w:rsidR="008B263D" w:rsidRPr="002C310E">
        <w:rPr>
          <w:rFonts w:cstheme="minorHAnsi"/>
          <w:sz w:val="24"/>
          <w:szCs w:val="24"/>
        </w:rPr>
        <w:t xml:space="preserve"> </w:t>
      </w:r>
      <w:r w:rsidR="008B263D" w:rsidRPr="002C310E">
        <w:rPr>
          <w:rFonts w:eastAsia="Calibri" w:cstheme="minorHAnsi"/>
          <w:sz w:val="24"/>
          <w:szCs w:val="24"/>
        </w:rPr>
        <w:t xml:space="preserve">projekty </w:t>
      </w:r>
      <w:r w:rsidR="00697D16" w:rsidRPr="002C310E">
        <w:rPr>
          <w:rFonts w:eastAsia="Calibri" w:cstheme="minorHAnsi"/>
          <w:sz w:val="24"/>
          <w:szCs w:val="24"/>
        </w:rPr>
        <w:t>zaměřené</w:t>
      </w:r>
      <w:r w:rsidR="008B263D" w:rsidRPr="002C310E">
        <w:rPr>
          <w:rFonts w:eastAsia="Calibri" w:cstheme="minorHAnsi"/>
          <w:sz w:val="24"/>
          <w:szCs w:val="24"/>
        </w:rPr>
        <w:t xml:space="preserve"> na podporu boje proti nelegální migraci do EU a tři projekty </w:t>
      </w:r>
      <w:r w:rsidR="00697D16" w:rsidRPr="002C310E">
        <w:rPr>
          <w:rFonts w:eastAsia="Calibri" w:cstheme="minorHAnsi"/>
          <w:sz w:val="24"/>
          <w:szCs w:val="24"/>
        </w:rPr>
        <w:t xml:space="preserve">zaměřené </w:t>
      </w:r>
      <w:r w:rsidR="008B263D" w:rsidRPr="002C310E">
        <w:rPr>
          <w:rFonts w:cstheme="minorHAnsi"/>
          <w:sz w:val="24"/>
          <w:szCs w:val="24"/>
        </w:rPr>
        <w:t xml:space="preserve">na podporu oblastí s velkým množstvím uprchlíků a vnitřně </w:t>
      </w:r>
      <w:r w:rsidR="008B263D" w:rsidRPr="002C310E">
        <w:rPr>
          <w:rFonts w:cstheme="minorHAnsi"/>
          <w:sz w:val="24"/>
          <w:szCs w:val="24"/>
        </w:rPr>
        <w:lastRenderedPageBreak/>
        <w:t>vysídlených osob</w:t>
      </w:r>
      <w:r>
        <w:rPr>
          <w:rStyle w:val="Znakapoznpodarou"/>
          <w:rFonts w:cstheme="minorHAnsi"/>
          <w:sz w:val="24"/>
          <w:szCs w:val="24"/>
        </w:rPr>
        <w:footnoteReference w:id="42"/>
      </w:r>
      <w:r w:rsidR="008B263D" w:rsidRPr="002C310E">
        <w:rPr>
          <w:rFonts w:cstheme="minorHAnsi"/>
          <w:sz w:val="24"/>
          <w:szCs w:val="24"/>
        </w:rPr>
        <w:t xml:space="preserve">. </w:t>
      </w:r>
      <w:r w:rsidR="00CA4701" w:rsidRPr="002C310E">
        <w:rPr>
          <w:rFonts w:cstheme="minorHAnsi"/>
          <w:sz w:val="24"/>
          <w:szCs w:val="24"/>
        </w:rPr>
        <w:t xml:space="preserve">NKÚ </w:t>
      </w:r>
      <w:r w:rsidR="00620FCD">
        <w:rPr>
          <w:rFonts w:cstheme="minorHAnsi"/>
          <w:sz w:val="24"/>
          <w:szCs w:val="24"/>
        </w:rPr>
        <w:t xml:space="preserve">nemohl provést </w:t>
      </w:r>
      <w:r w:rsidRPr="002C310E">
        <w:rPr>
          <w:rFonts w:cstheme="minorHAnsi"/>
          <w:sz w:val="24"/>
          <w:szCs w:val="24"/>
        </w:rPr>
        <w:t xml:space="preserve">posouzení </w:t>
      </w:r>
      <w:r w:rsidR="008B263D" w:rsidRPr="002C310E">
        <w:rPr>
          <w:rFonts w:cstheme="minorHAnsi"/>
          <w:sz w:val="24"/>
          <w:szCs w:val="24"/>
        </w:rPr>
        <w:t xml:space="preserve">jejich </w:t>
      </w:r>
      <w:r w:rsidRPr="002C310E">
        <w:rPr>
          <w:rFonts w:cstheme="minorHAnsi"/>
          <w:sz w:val="24"/>
          <w:szCs w:val="24"/>
        </w:rPr>
        <w:t xml:space="preserve">účelnosti </w:t>
      </w:r>
      <w:r w:rsidR="008B263D" w:rsidRPr="002C310E">
        <w:rPr>
          <w:rFonts w:cstheme="minorHAnsi"/>
          <w:sz w:val="24"/>
          <w:szCs w:val="24"/>
        </w:rPr>
        <w:t>a </w:t>
      </w:r>
      <w:r w:rsidR="00EC5A62" w:rsidRPr="002C310E">
        <w:rPr>
          <w:rFonts w:cstheme="minorHAnsi"/>
          <w:sz w:val="24"/>
          <w:szCs w:val="24"/>
        </w:rPr>
        <w:t xml:space="preserve">efektivnosti. Důvodem byla skutečnost, že </w:t>
      </w:r>
      <w:r w:rsidRPr="002C310E">
        <w:rPr>
          <w:rFonts w:eastAsia="Calibri" w:cstheme="minorHAnsi"/>
          <w:sz w:val="24"/>
          <w:szCs w:val="24"/>
        </w:rPr>
        <w:t xml:space="preserve">MV nedisponuje doklady, které by </w:t>
      </w:r>
      <w:r w:rsidR="008B263D" w:rsidRPr="002C310E">
        <w:rPr>
          <w:rFonts w:eastAsia="Calibri" w:cstheme="minorHAnsi"/>
          <w:sz w:val="24"/>
          <w:szCs w:val="24"/>
        </w:rPr>
        <w:t>prokázaly,</w:t>
      </w:r>
      <w:r w:rsidR="0032273B">
        <w:rPr>
          <w:rFonts w:eastAsia="Calibri" w:cstheme="minorHAnsi"/>
          <w:sz w:val="24"/>
          <w:szCs w:val="24"/>
        </w:rPr>
        <w:t xml:space="preserve"> zda byly peněžní prostředky vynaloženy účelně a hospodárně</w:t>
      </w:r>
      <w:r w:rsidRPr="002C310E">
        <w:rPr>
          <w:rFonts w:eastAsia="Calibri" w:cstheme="minorHAnsi"/>
          <w:sz w:val="24"/>
          <w:szCs w:val="24"/>
        </w:rPr>
        <w:t>.</w:t>
      </w:r>
      <w:r w:rsidR="00F73FA3" w:rsidRPr="002C310E">
        <w:rPr>
          <w:rFonts w:eastAsia="Calibri" w:cstheme="minorHAnsi"/>
          <w:sz w:val="24"/>
          <w:szCs w:val="24"/>
        </w:rPr>
        <w:t xml:space="preserve"> </w:t>
      </w:r>
      <w:r w:rsidR="00167583" w:rsidRPr="002C310E">
        <w:rPr>
          <w:rFonts w:eastAsia="Calibri" w:cstheme="minorHAnsi"/>
          <w:sz w:val="24"/>
          <w:szCs w:val="24"/>
        </w:rPr>
        <w:t>V dalších odstavcích této části ni</w:t>
      </w:r>
      <w:r w:rsidR="003175CE">
        <w:rPr>
          <w:rFonts w:eastAsia="Calibri" w:cstheme="minorHAnsi"/>
          <w:sz w:val="24"/>
          <w:szCs w:val="24"/>
        </w:rPr>
        <w:t>cméně NKÚ upozorňuje na významná</w:t>
      </w:r>
      <w:r w:rsidR="00167583" w:rsidRPr="002C310E">
        <w:rPr>
          <w:rFonts w:eastAsia="Calibri" w:cstheme="minorHAnsi"/>
          <w:sz w:val="24"/>
          <w:szCs w:val="24"/>
        </w:rPr>
        <w:t xml:space="preserve"> rizika pro účelnost a efektivnost projektů, která kontrolou zjistil.</w:t>
      </w:r>
    </w:p>
    <w:p w14:paraId="5914D3D4" w14:textId="6464EBFC" w:rsidR="00F73FA3" w:rsidRPr="002C310E" w:rsidRDefault="00F04DCF" w:rsidP="00C96DBD">
      <w:pPr>
        <w:spacing w:after="120" w:line="240" w:lineRule="auto"/>
        <w:jc w:val="both"/>
        <w:rPr>
          <w:rFonts w:eastAsia="Calibri" w:cstheme="minorHAnsi"/>
          <w:b/>
          <w:color w:val="C00000"/>
          <w:sz w:val="24"/>
          <w:szCs w:val="24"/>
        </w:rPr>
      </w:pPr>
      <w:r w:rsidRPr="002C310E">
        <w:rPr>
          <w:rFonts w:cstheme="minorHAnsi"/>
          <w:b/>
          <w:color w:val="C00000"/>
          <w:sz w:val="24"/>
          <w:szCs w:val="24"/>
        </w:rPr>
        <w:t xml:space="preserve">→ </w:t>
      </w:r>
      <w:r w:rsidRPr="002C310E">
        <w:rPr>
          <w:rFonts w:eastAsia="Calibri" w:cstheme="minorHAnsi"/>
          <w:b/>
          <w:color w:val="C00000"/>
          <w:sz w:val="24"/>
          <w:szCs w:val="24"/>
        </w:rPr>
        <w:t>Pět ze</w:t>
      </w:r>
      <w:r w:rsidR="00E310A1">
        <w:rPr>
          <w:rFonts w:eastAsia="Calibri" w:cstheme="minorHAnsi"/>
          <w:b/>
          <w:color w:val="C00000"/>
          <w:sz w:val="24"/>
          <w:szCs w:val="24"/>
        </w:rPr>
        <w:t xml:space="preserve"> </w:t>
      </w:r>
      <w:r w:rsidRPr="002C310E">
        <w:rPr>
          <w:rFonts w:eastAsia="Calibri" w:cstheme="minorHAnsi"/>
          <w:b/>
          <w:color w:val="C00000"/>
          <w:sz w:val="24"/>
          <w:szCs w:val="24"/>
        </w:rPr>
        <w:t xml:space="preserve">šesti původně jednoletých projektů programu </w:t>
      </w:r>
      <w:r w:rsidRPr="00222605">
        <w:rPr>
          <w:rFonts w:eastAsia="Calibri" w:cstheme="minorHAnsi"/>
          <w:b/>
          <w:color w:val="C00000"/>
          <w:sz w:val="24"/>
          <w:szCs w:val="24"/>
        </w:rPr>
        <w:t>Pomoc na místě</w:t>
      </w:r>
      <w:r w:rsidRPr="002C310E">
        <w:rPr>
          <w:rFonts w:eastAsia="Calibri" w:cstheme="minorHAnsi"/>
          <w:b/>
          <w:color w:val="C00000"/>
          <w:sz w:val="24"/>
          <w:szCs w:val="24"/>
        </w:rPr>
        <w:t xml:space="preserve"> nebylo v době kontroly dokončen</w:t>
      </w:r>
      <w:r w:rsidR="00664448" w:rsidRPr="002C310E">
        <w:rPr>
          <w:rFonts w:eastAsia="Calibri" w:cstheme="minorHAnsi"/>
          <w:b/>
          <w:color w:val="C00000"/>
          <w:sz w:val="24"/>
          <w:szCs w:val="24"/>
        </w:rPr>
        <w:t>o</w:t>
      </w:r>
      <w:r w:rsidRPr="002C310E">
        <w:rPr>
          <w:rFonts w:eastAsia="Calibri" w:cstheme="minorHAnsi"/>
          <w:b/>
          <w:color w:val="C00000"/>
          <w:sz w:val="24"/>
          <w:szCs w:val="24"/>
        </w:rPr>
        <w:t xml:space="preserve">. Přestože </w:t>
      </w:r>
      <w:r w:rsidR="00C437B7">
        <w:rPr>
          <w:rFonts w:eastAsia="Calibri" w:cstheme="minorHAnsi"/>
          <w:b/>
          <w:color w:val="C00000"/>
          <w:sz w:val="24"/>
          <w:szCs w:val="24"/>
        </w:rPr>
        <w:t>jeden</w:t>
      </w:r>
      <w:r w:rsidRPr="002C310E">
        <w:rPr>
          <w:rFonts w:eastAsia="Calibri" w:cstheme="minorHAnsi"/>
          <w:b/>
          <w:color w:val="C00000"/>
          <w:sz w:val="24"/>
          <w:szCs w:val="24"/>
        </w:rPr>
        <w:t xml:space="preserve"> nedokončen</w:t>
      </w:r>
      <w:r w:rsidR="00C437B7">
        <w:rPr>
          <w:rFonts w:eastAsia="Calibri" w:cstheme="minorHAnsi"/>
          <w:b/>
          <w:color w:val="C00000"/>
          <w:sz w:val="24"/>
          <w:szCs w:val="24"/>
        </w:rPr>
        <w:t>ý</w:t>
      </w:r>
      <w:r w:rsidRPr="002C310E">
        <w:rPr>
          <w:rFonts w:eastAsia="Calibri" w:cstheme="minorHAnsi"/>
          <w:b/>
          <w:color w:val="C00000"/>
          <w:sz w:val="24"/>
          <w:szCs w:val="24"/>
        </w:rPr>
        <w:t xml:space="preserve"> projekt byl zahájen již v roce 2017</w:t>
      </w:r>
      <w:r w:rsidR="00C437B7">
        <w:rPr>
          <w:rFonts w:eastAsia="Calibri" w:cstheme="minorHAnsi"/>
          <w:b/>
          <w:color w:val="C00000"/>
          <w:sz w:val="24"/>
          <w:szCs w:val="24"/>
        </w:rPr>
        <w:t xml:space="preserve"> a další v roce 2018</w:t>
      </w:r>
      <w:r w:rsidRPr="002C310E">
        <w:rPr>
          <w:rFonts w:eastAsia="Calibri" w:cstheme="minorHAnsi"/>
          <w:b/>
          <w:color w:val="C00000"/>
          <w:sz w:val="24"/>
          <w:szCs w:val="24"/>
        </w:rPr>
        <w:t xml:space="preserve">, obdržel příjemce </w:t>
      </w:r>
      <w:r w:rsidR="00C437B7">
        <w:rPr>
          <w:rFonts w:eastAsia="Calibri" w:cstheme="minorHAnsi"/>
          <w:b/>
          <w:color w:val="C00000"/>
          <w:sz w:val="24"/>
          <w:szCs w:val="24"/>
        </w:rPr>
        <w:t xml:space="preserve">této </w:t>
      </w:r>
      <w:r w:rsidRPr="002C310E">
        <w:rPr>
          <w:rFonts w:eastAsia="Calibri" w:cstheme="minorHAnsi"/>
          <w:b/>
          <w:color w:val="C00000"/>
          <w:sz w:val="24"/>
          <w:szCs w:val="24"/>
        </w:rPr>
        <w:t>podpory peněžní prostředky státu i v</w:t>
      </w:r>
      <w:r w:rsidR="00C437B7">
        <w:rPr>
          <w:rFonts w:eastAsia="Calibri" w:cstheme="minorHAnsi"/>
          <w:b/>
          <w:color w:val="C00000"/>
          <w:sz w:val="24"/>
          <w:szCs w:val="24"/>
        </w:rPr>
        <w:t> roce 2019</w:t>
      </w:r>
      <w:r w:rsidRPr="002C310E">
        <w:rPr>
          <w:rFonts w:eastAsia="Calibri" w:cstheme="minorHAnsi"/>
          <w:b/>
          <w:color w:val="C00000"/>
          <w:sz w:val="24"/>
          <w:szCs w:val="24"/>
        </w:rPr>
        <w:t>.</w:t>
      </w:r>
    </w:p>
    <w:p w14:paraId="0F0F48C8" w14:textId="65391710" w:rsidR="00BA7618" w:rsidRPr="002C310E" w:rsidRDefault="00F04DCF" w:rsidP="00C85D1B">
      <w:pPr>
        <w:spacing w:after="120" w:line="240" w:lineRule="auto"/>
        <w:jc w:val="both"/>
        <w:rPr>
          <w:rFonts w:cstheme="minorHAnsi"/>
          <w:sz w:val="24"/>
          <w:szCs w:val="24"/>
          <w:u w:val="single"/>
        </w:rPr>
      </w:pPr>
      <w:r w:rsidRPr="00E310A1">
        <w:rPr>
          <w:rFonts w:eastAsia="Calibri" w:cstheme="minorHAnsi"/>
          <w:b/>
          <w:sz w:val="24"/>
          <w:szCs w:val="24"/>
        </w:rPr>
        <w:t>4.</w:t>
      </w:r>
      <w:r w:rsidR="00C96DBD" w:rsidRPr="00E310A1">
        <w:rPr>
          <w:rFonts w:eastAsia="Calibri" w:cstheme="minorHAnsi"/>
          <w:b/>
          <w:sz w:val="24"/>
          <w:szCs w:val="24"/>
        </w:rPr>
        <w:t>5</w:t>
      </w:r>
      <w:r w:rsidR="000B1625" w:rsidRPr="00E310A1">
        <w:rPr>
          <w:rFonts w:eastAsia="Calibri" w:cstheme="minorHAnsi"/>
          <w:b/>
          <w:sz w:val="24"/>
          <w:szCs w:val="24"/>
        </w:rPr>
        <w:t>3</w:t>
      </w:r>
      <w:r w:rsidRPr="002C310E">
        <w:rPr>
          <w:rFonts w:eastAsia="Calibri" w:cstheme="minorHAnsi"/>
          <w:sz w:val="24"/>
          <w:szCs w:val="24"/>
        </w:rPr>
        <w:t xml:space="preserve"> </w:t>
      </w:r>
      <w:r w:rsidR="00620763" w:rsidRPr="002C310E">
        <w:rPr>
          <w:rFonts w:eastAsia="Calibri" w:cstheme="minorHAnsi"/>
          <w:sz w:val="24"/>
          <w:szCs w:val="24"/>
        </w:rPr>
        <w:t xml:space="preserve">MV pro </w:t>
      </w:r>
      <w:r w:rsidR="00AF58C2" w:rsidRPr="002C310E">
        <w:rPr>
          <w:rFonts w:eastAsia="Calibri" w:cstheme="minorHAnsi"/>
          <w:sz w:val="24"/>
          <w:szCs w:val="24"/>
        </w:rPr>
        <w:t>smluvní vztah s</w:t>
      </w:r>
      <w:r w:rsidR="00EC5A62" w:rsidRPr="002C310E">
        <w:rPr>
          <w:rFonts w:eastAsia="Calibri" w:cstheme="minorHAnsi"/>
          <w:sz w:val="24"/>
          <w:szCs w:val="24"/>
        </w:rPr>
        <w:t> příjemci podpory</w:t>
      </w:r>
      <w:r w:rsidR="00AF58C2" w:rsidRPr="002C310E">
        <w:rPr>
          <w:rFonts w:eastAsia="Calibri" w:cstheme="minorHAnsi"/>
          <w:sz w:val="24"/>
          <w:szCs w:val="24"/>
        </w:rPr>
        <w:t xml:space="preserve"> </w:t>
      </w:r>
      <w:r w:rsidR="00620763" w:rsidRPr="002C310E">
        <w:rPr>
          <w:rFonts w:eastAsia="Calibri" w:cstheme="minorHAnsi"/>
          <w:sz w:val="24"/>
          <w:szCs w:val="24"/>
        </w:rPr>
        <w:t xml:space="preserve">použilo </w:t>
      </w:r>
      <w:r w:rsidR="00620FCD">
        <w:rPr>
          <w:rFonts w:eastAsia="Calibri" w:cstheme="minorHAnsi"/>
          <w:sz w:val="24"/>
          <w:szCs w:val="24"/>
        </w:rPr>
        <w:t>různé</w:t>
      </w:r>
      <w:r w:rsidR="004B6530">
        <w:rPr>
          <w:rFonts w:eastAsia="Calibri" w:cstheme="minorHAnsi"/>
          <w:sz w:val="24"/>
          <w:szCs w:val="24"/>
        </w:rPr>
        <w:t xml:space="preserve"> </w:t>
      </w:r>
      <w:r w:rsidR="00AF58C2" w:rsidRPr="002C310E">
        <w:rPr>
          <w:rFonts w:eastAsia="Calibri" w:cstheme="minorHAnsi"/>
          <w:sz w:val="24"/>
          <w:szCs w:val="24"/>
        </w:rPr>
        <w:t>smluvní</w:t>
      </w:r>
      <w:r w:rsidR="00005D73" w:rsidRPr="002C310E">
        <w:rPr>
          <w:rFonts w:eastAsia="Calibri" w:cstheme="minorHAnsi"/>
          <w:sz w:val="24"/>
          <w:szCs w:val="24"/>
        </w:rPr>
        <w:t xml:space="preserve"> dokumenty. </w:t>
      </w:r>
      <w:r w:rsidR="00620FCD">
        <w:rPr>
          <w:rFonts w:eastAsia="Calibri" w:cstheme="minorHAnsi"/>
          <w:sz w:val="24"/>
          <w:szCs w:val="24"/>
        </w:rPr>
        <w:t xml:space="preserve">U </w:t>
      </w:r>
      <w:r w:rsidR="001A39C8" w:rsidRPr="002C310E">
        <w:rPr>
          <w:rFonts w:eastAsia="Calibri" w:cstheme="minorHAnsi"/>
          <w:sz w:val="24"/>
          <w:szCs w:val="24"/>
        </w:rPr>
        <w:t xml:space="preserve">tří projektů využilo memorandum o porozumění, které není právně vymahatelné. U dvou projektů uzavřených s Ministerstvem vnitra </w:t>
      </w:r>
      <w:r w:rsidR="00791C95">
        <w:rPr>
          <w:rFonts w:eastAsia="Calibri" w:cstheme="minorHAnsi"/>
          <w:sz w:val="24"/>
          <w:szCs w:val="24"/>
        </w:rPr>
        <w:t>Makedonské republiky</w:t>
      </w:r>
      <w:r w:rsidR="001A39C8" w:rsidRPr="002C310E">
        <w:rPr>
          <w:rFonts w:eastAsia="Calibri" w:cstheme="minorHAnsi"/>
          <w:sz w:val="24"/>
          <w:szCs w:val="24"/>
        </w:rPr>
        <w:t xml:space="preserve"> využilo MV darovací smlouvy, </w:t>
      </w:r>
      <w:r w:rsidR="0032273B">
        <w:rPr>
          <w:rFonts w:eastAsia="Calibri" w:cstheme="minorHAnsi"/>
          <w:sz w:val="24"/>
          <w:szCs w:val="24"/>
        </w:rPr>
        <w:t>které jsou vnitřně rozporné, pokud jde</w:t>
      </w:r>
      <w:r w:rsidR="001A39C8" w:rsidRPr="002C310E">
        <w:rPr>
          <w:rFonts w:eastAsia="Calibri" w:cstheme="minorHAnsi"/>
          <w:sz w:val="24"/>
          <w:szCs w:val="24"/>
        </w:rPr>
        <w:t xml:space="preserve"> </w:t>
      </w:r>
      <w:r w:rsidR="003F0E7E">
        <w:rPr>
          <w:rFonts w:eastAsia="Calibri" w:cstheme="minorHAnsi"/>
          <w:sz w:val="24"/>
          <w:szCs w:val="24"/>
        </w:rPr>
        <w:t xml:space="preserve">o </w:t>
      </w:r>
      <w:r w:rsidR="001A39C8" w:rsidRPr="002C310E">
        <w:rPr>
          <w:rFonts w:eastAsia="Calibri" w:cstheme="minorHAnsi"/>
          <w:sz w:val="24"/>
          <w:szCs w:val="24"/>
        </w:rPr>
        <w:t>ustanovení týkající</w:t>
      </w:r>
      <w:r w:rsidR="003A5FE3">
        <w:rPr>
          <w:rFonts w:eastAsia="Calibri" w:cstheme="minorHAnsi"/>
          <w:sz w:val="24"/>
          <w:szCs w:val="24"/>
        </w:rPr>
        <w:t xml:space="preserve"> se</w:t>
      </w:r>
      <w:r w:rsidRPr="002C310E">
        <w:rPr>
          <w:rFonts w:eastAsia="Calibri" w:cstheme="minorHAnsi"/>
          <w:sz w:val="24"/>
          <w:szCs w:val="24"/>
        </w:rPr>
        <w:t xml:space="preserve"> </w:t>
      </w:r>
      <w:r w:rsidR="001A39C8" w:rsidRPr="002C310E">
        <w:rPr>
          <w:rFonts w:eastAsia="Calibri" w:cstheme="minorHAnsi"/>
          <w:sz w:val="24"/>
          <w:szCs w:val="24"/>
        </w:rPr>
        <w:t>použití daru</w:t>
      </w:r>
      <w:r w:rsidR="003175CE">
        <w:rPr>
          <w:rFonts w:eastAsia="Calibri" w:cstheme="minorHAnsi"/>
          <w:sz w:val="24"/>
          <w:szCs w:val="24"/>
        </w:rPr>
        <w:t>;</w:t>
      </w:r>
      <w:r w:rsidRPr="002C310E">
        <w:rPr>
          <w:rFonts w:eastAsia="Calibri" w:cstheme="minorHAnsi"/>
          <w:sz w:val="24"/>
          <w:szCs w:val="24"/>
        </w:rPr>
        <w:t xml:space="preserve"> konkrétně </w:t>
      </w:r>
      <w:r w:rsidR="00A94600" w:rsidRPr="002C310E">
        <w:rPr>
          <w:rFonts w:eastAsia="Calibri" w:cstheme="minorHAnsi"/>
          <w:sz w:val="24"/>
          <w:szCs w:val="24"/>
        </w:rPr>
        <w:t xml:space="preserve">je </w:t>
      </w:r>
      <w:r w:rsidRPr="002C310E">
        <w:rPr>
          <w:rFonts w:eastAsia="Calibri" w:cstheme="minorHAnsi"/>
          <w:sz w:val="24"/>
          <w:szCs w:val="24"/>
        </w:rPr>
        <w:t xml:space="preserve">jednak </w:t>
      </w:r>
      <w:r w:rsidR="00A94600" w:rsidRPr="002C310E">
        <w:rPr>
          <w:rFonts w:eastAsia="Calibri" w:cstheme="minorHAnsi"/>
          <w:sz w:val="24"/>
          <w:szCs w:val="24"/>
        </w:rPr>
        <w:t xml:space="preserve">uvedeno: </w:t>
      </w:r>
      <w:r w:rsidR="001A39C8" w:rsidRPr="002C310E">
        <w:rPr>
          <w:rFonts w:eastAsia="Calibri" w:cstheme="minorHAnsi"/>
          <w:sz w:val="24"/>
          <w:szCs w:val="24"/>
        </w:rPr>
        <w:t>„</w:t>
      </w:r>
      <w:r w:rsidR="001A39C8" w:rsidRPr="002C310E">
        <w:rPr>
          <w:rFonts w:cstheme="minorHAnsi"/>
          <w:i/>
          <w:iCs/>
          <w:sz w:val="24"/>
          <w:szCs w:val="24"/>
        </w:rPr>
        <w:t>Dárce prohlašuje, že darování je bezpodmínečné bez povi</w:t>
      </w:r>
      <w:r w:rsidR="00A94600" w:rsidRPr="002C310E">
        <w:rPr>
          <w:rFonts w:cstheme="minorHAnsi"/>
          <w:i/>
          <w:iCs/>
          <w:sz w:val="24"/>
          <w:szCs w:val="24"/>
        </w:rPr>
        <w:t>nnosti vracet předmět darování</w:t>
      </w:r>
      <w:r w:rsidR="00A94600" w:rsidRPr="0066166F">
        <w:rPr>
          <w:rFonts w:cstheme="minorHAnsi"/>
          <w:iCs/>
          <w:sz w:val="24"/>
          <w:szCs w:val="24"/>
        </w:rPr>
        <w:t>“</w:t>
      </w:r>
      <w:r w:rsidRPr="002C310E">
        <w:rPr>
          <w:rFonts w:cstheme="minorHAnsi"/>
          <w:sz w:val="24"/>
          <w:szCs w:val="24"/>
        </w:rPr>
        <w:t>, ale současně také</w:t>
      </w:r>
      <w:r w:rsidR="00805487">
        <w:rPr>
          <w:rFonts w:cstheme="minorHAnsi"/>
          <w:sz w:val="24"/>
          <w:szCs w:val="24"/>
        </w:rPr>
        <w:t>:</w:t>
      </w:r>
      <w:r w:rsidRPr="002C310E">
        <w:rPr>
          <w:rFonts w:cstheme="minorHAnsi"/>
          <w:sz w:val="24"/>
          <w:szCs w:val="24"/>
        </w:rPr>
        <w:t xml:space="preserve"> </w:t>
      </w:r>
      <w:r w:rsidR="00A94600" w:rsidRPr="002C310E">
        <w:rPr>
          <w:rFonts w:cstheme="minorHAnsi"/>
          <w:iCs/>
          <w:sz w:val="24"/>
          <w:szCs w:val="24"/>
        </w:rPr>
        <w:t>„</w:t>
      </w:r>
      <w:r w:rsidR="001A39C8" w:rsidRPr="002C310E">
        <w:rPr>
          <w:rFonts w:cstheme="minorHAnsi"/>
          <w:i/>
          <w:iCs/>
          <w:sz w:val="24"/>
          <w:szCs w:val="24"/>
        </w:rPr>
        <w:t>Příjemce daru je povinen využít darované finanční prostředky výhradně pro účely darování specifikované v článku 1</w:t>
      </w:r>
      <w:r w:rsidR="0012077D" w:rsidRPr="0066166F">
        <w:rPr>
          <w:rFonts w:cstheme="minorHAnsi"/>
          <w:iCs/>
          <w:sz w:val="24"/>
          <w:szCs w:val="24"/>
        </w:rPr>
        <w:t>“</w:t>
      </w:r>
      <w:r w:rsidR="003A5FE3">
        <w:rPr>
          <w:rFonts w:cstheme="minorHAnsi"/>
          <w:i/>
          <w:iCs/>
          <w:sz w:val="24"/>
          <w:szCs w:val="24"/>
        </w:rPr>
        <w:t>.</w:t>
      </w:r>
      <w:r w:rsidRPr="002C310E">
        <w:rPr>
          <w:rFonts w:cstheme="minorHAnsi"/>
          <w:sz w:val="24"/>
          <w:szCs w:val="24"/>
        </w:rPr>
        <w:t xml:space="preserve"> </w:t>
      </w:r>
      <w:r w:rsidR="001A39C8" w:rsidRPr="002C310E">
        <w:rPr>
          <w:rFonts w:eastAsia="Calibri" w:cstheme="minorHAnsi"/>
          <w:sz w:val="24"/>
          <w:szCs w:val="24"/>
        </w:rPr>
        <w:t>U</w:t>
      </w:r>
      <w:r w:rsidR="00B75B4F">
        <w:rPr>
          <w:rFonts w:eastAsia="Calibri" w:cstheme="minorHAnsi"/>
          <w:sz w:val="24"/>
          <w:szCs w:val="24"/>
        </w:rPr>
        <w:t> </w:t>
      </w:r>
      <w:r w:rsidR="001A39C8" w:rsidRPr="002C310E">
        <w:rPr>
          <w:rFonts w:eastAsia="Calibri" w:cstheme="minorHAnsi"/>
          <w:sz w:val="24"/>
          <w:szCs w:val="24"/>
        </w:rPr>
        <w:t xml:space="preserve">třetího projektu </w:t>
      </w:r>
      <w:r w:rsidR="0094087D" w:rsidRPr="002C310E">
        <w:rPr>
          <w:rFonts w:eastAsia="Calibri" w:cstheme="minorHAnsi"/>
          <w:sz w:val="24"/>
          <w:szCs w:val="24"/>
        </w:rPr>
        <w:t xml:space="preserve">stejného příjemce </w:t>
      </w:r>
      <w:r w:rsidR="00665C69" w:rsidRPr="002C310E">
        <w:rPr>
          <w:rFonts w:eastAsia="Calibri" w:cstheme="minorHAnsi"/>
          <w:sz w:val="24"/>
          <w:szCs w:val="24"/>
        </w:rPr>
        <w:t xml:space="preserve">uzavřelo MV </w:t>
      </w:r>
      <w:r w:rsidRPr="002C310E">
        <w:rPr>
          <w:rFonts w:eastAsia="Calibri" w:cstheme="minorHAnsi"/>
          <w:sz w:val="24"/>
          <w:szCs w:val="24"/>
        </w:rPr>
        <w:t xml:space="preserve">místo darovací smlouvy </w:t>
      </w:r>
      <w:r w:rsidR="001A39C8" w:rsidRPr="002C310E">
        <w:rPr>
          <w:rFonts w:eastAsia="Calibri" w:cstheme="minorHAnsi"/>
          <w:sz w:val="24"/>
          <w:szCs w:val="24"/>
        </w:rPr>
        <w:t xml:space="preserve">jiný </w:t>
      </w:r>
      <w:r w:rsidR="00E46B4A" w:rsidRPr="002C310E">
        <w:rPr>
          <w:rFonts w:eastAsia="Calibri" w:cstheme="minorHAnsi"/>
          <w:sz w:val="24"/>
          <w:szCs w:val="24"/>
        </w:rPr>
        <w:t>dokument – dohodu</w:t>
      </w:r>
      <w:r w:rsidR="00665C69" w:rsidRPr="002C310E">
        <w:rPr>
          <w:rFonts w:eastAsia="Calibri" w:cstheme="minorHAnsi"/>
          <w:sz w:val="24"/>
          <w:szCs w:val="24"/>
        </w:rPr>
        <w:t xml:space="preserve"> o</w:t>
      </w:r>
      <w:r w:rsidR="00805487">
        <w:rPr>
          <w:rFonts w:eastAsia="Calibri" w:cstheme="minorHAnsi"/>
          <w:sz w:val="24"/>
          <w:szCs w:val="24"/>
        </w:rPr>
        <w:t> </w:t>
      </w:r>
      <w:r w:rsidR="00665C69" w:rsidRPr="002C310E">
        <w:rPr>
          <w:rFonts w:eastAsia="Calibri" w:cstheme="minorHAnsi"/>
          <w:sz w:val="24"/>
          <w:szCs w:val="24"/>
        </w:rPr>
        <w:t>využití peněžního daru.</w:t>
      </w:r>
      <w:r w:rsidRPr="002C310E">
        <w:rPr>
          <w:rFonts w:eastAsia="Calibri" w:cstheme="minorHAnsi"/>
          <w:sz w:val="24"/>
          <w:szCs w:val="24"/>
        </w:rPr>
        <w:t xml:space="preserve"> </w:t>
      </w:r>
      <w:r w:rsidR="00C44AD2" w:rsidRPr="002C310E">
        <w:rPr>
          <w:rFonts w:eastAsia="Calibri" w:cstheme="minorHAnsi"/>
          <w:sz w:val="24"/>
          <w:szCs w:val="24"/>
        </w:rPr>
        <w:t>N</w:t>
      </w:r>
      <w:r w:rsidR="00AF58C2" w:rsidRPr="002C310E">
        <w:rPr>
          <w:rFonts w:eastAsia="Calibri" w:cstheme="minorHAnsi"/>
          <w:sz w:val="24"/>
          <w:szCs w:val="24"/>
        </w:rPr>
        <w:t xml:space="preserve">astavení podmínek </w:t>
      </w:r>
      <w:r w:rsidRPr="002C310E">
        <w:rPr>
          <w:rFonts w:eastAsia="Calibri" w:cstheme="minorHAnsi"/>
          <w:sz w:val="24"/>
          <w:szCs w:val="24"/>
        </w:rPr>
        <w:t>použití daru ke stanovenému účelu</w:t>
      </w:r>
      <w:r w:rsidR="00C44AD2" w:rsidRPr="002C310E">
        <w:rPr>
          <w:rFonts w:eastAsia="Calibri" w:cstheme="minorHAnsi"/>
          <w:sz w:val="24"/>
          <w:szCs w:val="24"/>
        </w:rPr>
        <w:t xml:space="preserve"> </w:t>
      </w:r>
      <w:r w:rsidR="003A2F66" w:rsidRPr="002C310E">
        <w:rPr>
          <w:rFonts w:eastAsia="Calibri" w:cstheme="minorHAnsi"/>
          <w:sz w:val="24"/>
          <w:szCs w:val="24"/>
        </w:rPr>
        <w:t>a </w:t>
      </w:r>
      <w:r w:rsidR="00AF58C2" w:rsidRPr="002C310E">
        <w:rPr>
          <w:rFonts w:eastAsia="Calibri" w:cstheme="minorHAnsi"/>
          <w:sz w:val="24"/>
          <w:szCs w:val="24"/>
        </w:rPr>
        <w:t xml:space="preserve">chybějící parametry projektu </w:t>
      </w:r>
      <w:r w:rsidR="003A2F66" w:rsidRPr="002C310E">
        <w:rPr>
          <w:rFonts w:eastAsia="Calibri" w:cstheme="minorHAnsi"/>
          <w:sz w:val="24"/>
          <w:szCs w:val="24"/>
        </w:rPr>
        <w:t>představují riziko ne</w:t>
      </w:r>
      <w:r w:rsidR="00AF58C2" w:rsidRPr="002C310E">
        <w:rPr>
          <w:rFonts w:eastAsia="Calibri" w:cstheme="minorHAnsi"/>
          <w:sz w:val="24"/>
          <w:szCs w:val="24"/>
        </w:rPr>
        <w:t>účelné</w:t>
      </w:r>
      <w:r w:rsidR="003A2F66" w:rsidRPr="002C310E">
        <w:rPr>
          <w:rFonts w:eastAsia="Calibri" w:cstheme="minorHAnsi"/>
          <w:sz w:val="24"/>
          <w:szCs w:val="24"/>
        </w:rPr>
        <w:t>ho a ne</w:t>
      </w:r>
      <w:r w:rsidR="00AF58C2" w:rsidRPr="002C310E">
        <w:rPr>
          <w:rFonts w:eastAsia="Calibri" w:cstheme="minorHAnsi"/>
          <w:sz w:val="24"/>
          <w:szCs w:val="24"/>
        </w:rPr>
        <w:t>efektivní</w:t>
      </w:r>
      <w:r w:rsidR="003A2F66" w:rsidRPr="002C310E">
        <w:rPr>
          <w:rFonts w:eastAsia="Calibri" w:cstheme="minorHAnsi"/>
          <w:sz w:val="24"/>
          <w:szCs w:val="24"/>
        </w:rPr>
        <w:t>ho</w:t>
      </w:r>
      <w:r w:rsidR="00AF58C2" w:rsidRPr="002C310E">
        <w:rPr>
          <w:rFonts w:eastAsia="Calibri" w:cstheme="minorHAnsi"/>
          <w:sz w:val="24"/>
          <w:szCs w:val="24"/>
        </w:rPr>
        <w:t xml:space="preserve"> vynakládání peněžních prostředků</w:t>
      </w:r>
      <w:r w:rsidR="00620763" w:rsidRPr="002C310E">
        <w:rPr>
          <w:rFonts w:eastAsia="Calibri" w:cstheme="minorHAnsi"/>
          <w:sz w:val="24"/>
          <w:szCs w:val="24"/>
        </w:rPr>
        <w:t>.</w:t>
      </w:r>
      <w:r w:rsidR="00665C69" w:rsidRPr="002C310E">
        <w:rPr>
          <w:rFonts w:eastAsia="Calibri" w:cstheme="minorHAnsi"/>
          <w:sz w:val="24"/>
          <w:szCs w:val="24"/>
        </w:rPr>
        <w:t xml:space="preserve"> </w:t>
      </w:r>
    </w:p>
    <w:p w14:paraId="5867CF30" w14:textId="08B35D5C" w:rsidR="003D50EB" w:rsidRPr="002C310E" w:rsidRDefault="00F04DCF" w:rsidP="00C85D1B">
      <w:pPr>
        <w:spacing w:after="120" w:line="240" w:lineRule="auto"/>
        <w:jc w:val="both"/>
        <w:rPr>
          <w:rFonts w:cstheme="minorHAnsi"/>
          <w:sz w:val="24"/>
          <w:szCs w:val="24"/>
          <w:lang w:eastAsia="cs-CZ"/>
        </w:rPr>
      </w:pPr>
      <w:r w:rsidRPr="00E310A1">
        <w:rPr>
          <w:rFonts w:eastAsia="Calibri" w:cstheme="minorHAnsi"/>
          <w:b/>
          <w:sz w:val="24"/>
          <w:szCs w:val="24"/>
        </w:rPr>
        <w:t>4.</w:t>
      </w:r>
      <w:r w:rsidR="00C85D1B" w:rsidRPr="00E310A1">
        <w:rPr>
          <w:rFonts w:eastAsia="Calibri" w:cstheme="minorHAnsi"/>
          <w:b/>
          <w:sz w:val="24"/>
          <w:szCs w:val="24"/>
        </w:rPr>
        <w:t>5</w:t>
      </w:r>
      <w:r w:rsidR="000B1625" w:rsidRPr="00E310A1">
        <w:rPr>
          <w:rFonts w:eastAsia="Calibri" w:cstheme="minorHAnsi"/>
          <w:b/>
          <w:sz w:val="24"/>
          <w:szCs w:val="24"/>
        </w:rPr>
        <w:t>4</w:t>
      </w:r>
      <w:r w:rsidRPr="002C310E">
        <w:rPr>
          <w:rFonts w:eastAsia="Calibri" w:cstheme="minorHAnsi"/>
          <w:sz w:val="24"/>
          <w:szCs w:val="24"/>
        </w:rPr>
        <w:t xml:space="preserve"> </w:t>
      </w:r>
      <w:r w:rsidR="00D819D5" w:rsidRPr="002C310E">
        <w:rPr>
          <w:rFonts w:eastAsia="Calibri" w:cstheme="minorHAnsi"/>
          <w:sz w:val="24"/>
          <w:szCs w:val="24"/>
        </w:rPr>
        <w:t xml:space="preserve">NKÚ zjistil, že MV </w:t>
      </w:r>
      <w:r w:rsidRPr="002C310E">
        <w:rPr>
          <w:rFonts w:eastAsia="Calibri" w:cstheme="minorHAnsi"/>
          <w:sz w:val="24"/>
          <w:szCs w:val="24"/>
        </w:rPr>
        <w:t>předkládalo vládě neúplné informace pro schvalování projektů,</w:t>
      </w:r>
      <w:r w:rsidR="00D819D5" w:rsidRPr="002C310E">
        <w:rPr>
          <w:rFonts w:eastAsia="Calibri" w:cstheme="minorHAnsi"/>
          <w:sz w:val="24"/>
          <w:szCs w:val="24"/>
        </w:rPr>
        <w:t xml:space="preserve"> neboť </w:t>
      </w:r>
      <w:r w:rsidRPr="002C310E">
        <w:rPr>
          <w:rFonts w:eastAsia="Calibri" w:cstheme="minorHAnsi"/>
          <w:sz w:val="24"/>
          <w:szCs w:val="24"/>
        </w:rPr>
        <w:t>součástí předkládacích zpráv nebyly informace o nedokončených projektech nebo problémech s realizací předchozích projektů</w:t>
      </w:r>
      <w:r w:rsidR="003A2F66" w:rsidRPr="002C310E">
        <w:rPr>
          <w:rFonts w:eastAsia="Calibri" w:cstheme="minorHAnsi"/>
          <w:sz w:val="24"/>
          <w:szCs w:val="24"/>
        </w:rPr>
        <w:t xml:space="preserve"> stejných příjemců</w:t>
      </w:r>
      <w:r w:rsidRPr="002C310E">
        <w:rPr>
          <w:rFonts w:eastAsia="Calibri" w:cstheme="minorHAnsi"/>
          <w:sz w:val="24"/>
          <w:szCs w:val="24"/>
        </w:rPr>
        <w:t>.</w:t>
      </w:r>
      <w:r w:rsidR="00F37500" w:rsidRPr="002C310E">
        <w:rPr>
          <w:rFonts w:eastAsia="Calibri" w:cstheme="minorHAnsi"/>
          <w:sz w:val="24"/>
          <w:szCs w:val="24"/>
        </w:rPr>
        <w:t xml:space="preserve"> </w:t>
      </w:r>
      <w:r w:rsidRPr="002C310E">
        <w:rPr>
          <w:rFonts w:eastAsia="Calibri" w:cstheme="minorHAnsi"/>
          <w:sz w:val="24"/>
          <w:szCs w:val="24"/>
        </w:rPr>
        <w:t>Např. v předkládací zprávě k usnesení vlády č. 224/2019</w:t>
      </w:r>
      <w:r w:rsidR="00ED28A2">
        <w:rPr>
          <w:rStyle w:val="Znakapoznpodarou"/>
          <w:rFonts w:eastAsia="Calibri" w:cstheme="minorHAnsi"/>
          <w:sz w:val="24"/>
          <w:szCs w:val="24"/>
        </w:rPr>
        <w:footnoteReference w:id="43"/>
      </w:r>
      <w:r w:rsidR="004B6530">
        <w:rPr>
          <w:rFonts w:eastAsia="Calibri" w:cstheme="minorHAnsi"/>
          <w:sz w:val="24"/>
          <w:szCs w:val="24"/>
        </w:rPr>
        <w:t xml:space="preserve"> </w:t>
      </w:r>
      <w:r w:rsidR="00D819D5" w:rsidRPr="002C310E">
        <w:rPr>
          <w:rFonts w:cstheme="minorHAnsi"/>
          <w:sz w:val="24"/>
          <w:szCs w:val="24"/>
          <w:lang w:eastAsia="cs-CZ"/>
        </w:rPr>
        <w:t xml:space="preserve">MV uvedlo </w:t>
      </w:r>
      <w:r w:rsidRPr="002C310E">
        <w:rPr>
          <w:rFonts w:cstheme="minorHAnsi"/>
          <w:sz w:val="24"/>
          <w:szCs w:val="24"/>
          <w:lang w:eastAsia="cs-CZ"/>
        </w:rPr>
        <w:t xml:space="preserve">přehled dříve </w:t>
      </w:r>
      <w:r w:rsidR="003A2F66" w:rsidRPr="002C310E">
        <w:rPr>
          <w:rFonts w:cstheme="minorHAnsi"/>
          <w:sz w:val="24"/>
          <w:szCs w:val="24"/>
          <w:lang w:eastAsia="cs-CZ"/>
        </w:rPr>
        <w:t>poskytnutých</w:t>
      </w:r>
      <w:r w:rsidRPr="002C310E">
        <w:rPr>
          <w:rFonts w:cstheme="minorHAnsi"/>
          <w:sz w:val="24"/>
          <w:szCs w:val="24"/>
          <w:lang w:eastAsia="cs-CZ"/>
        </w:rPr>
        <w:t xml:space="preserve"> peněžních </w:t>
      </w:r>
      <w:r w:rsidR="003A2F66" w:rsidRPr="002C310E">
        <w:rPr>
          <w:rFonts w:cstheme="minorHAnsi"/>
          <w:sz w:val="24"/>
          <w:szCs w:val="24"/>
          <w:lang w:eastAsia="cs-CZ"/>
        </w:rPr>
        <w:t>prostředků</w:t>
      </w:r>
      <w:r w:rsidR="00D819D5" w:rsidRPr="002C310E">
        <w:rPr>
          <w:rFonts w:cstheme="minorHAnsi"/>
          <w:sz w:val="24"/>
          <w:szCs w:val="24"/>
          <w:lang w:eastAsia="cs-CZ"/>
        </w:rPr>
        <w:t>, chyběla však informace o tom, že projekty z roku</w:t>
      </w:r>
      <w:r w:rsidRPr="002C310E">
        <w:rPr>
          <w:rFonts w:cstheme="minorHAnsi"/>
          <w:sz w:val="24"/>
          <w:szCs w:val="24"/>
          <w:lang w:eastAsia="cs-CZ"/>
        </w:rPr>
        <w:t xml:space="preserve"> 2018 a 2017 nebyly dokončeny a dosud nepřinesly předpokládaný přínos.</w:t>
      </w:r>
      <w:r w:rsidR="004B234F" w:rsidRPr="002C310E">
        <w:rPr>
          <w:rFonts w:cstheme="minorHAnsi"/>
          <w:sz w:val="24"/>
          <w:szCs w:val="24"/>
          <w:lang w:eastAsia="cs-CZ"/>
        </w:rPr>
        <w:t xml:space="preserve"> </w:t>
      </w:r>
    </w:p>
    <w:p w14:paraId="21843690" w14:textId="3C0B9BDA" w:rsidR="00821FD1" w:rsidRPr="002C310E" w:rsidRDefault="00F04DCF" w:rsidP="00C85D1B">
      <w:pPr>
        <w:spacing w:after="120" w:line="240" w:lineRule="auto"/>
        <w:jc w:val="both"/>
        <w:rPr>
          <w:rFonts w:eastAsia="Calibri" w:cstheme="minorHAnsi"/>
          <w:sz w:val="24"/>
          <w:szCs w:val="24"/>
        </w:rPr>
      </w:pPr>
      <w:r w:rsidRPr="00E310A1">
        <w:rPr>
          <w:rFonts w:eastAsia="Calibri" w:cstheme="minorHAnsi"/>
          <w:b/>
          <w:sz w:val="24"/>
          <w:szCs w:val="24"/>
        </w:rPr>
        <w:t>4.</w:t>
      </w:r>
      <w:r w:rsidR="00C85D1B" w:rsidRPr="00E310A1">
        <w:rPr>
          <w:rFonts w:eastAsia="Calibri" w:cstheme="minorHAnsi"/>
          <w:b/>
          <w:sz w:val="24"/>
          <w:szCs w:val="24"/>
        </w:rPr>
        <w:t>5</w:t>
      </w:r>
      <w:r w:rsidR="000B1625" w:rsidRPr="00E310A1">
        <w:rPr>
          <w:rFonts w:eastAsia="Calibri" w:cstheme="minorHAnsi"/>
          <w:b/>
          <w:sz w:val="24"/>
          <w:szCs w:val="24"/>
        </w:rPr>
        <w:t>5</w:t>
      </w:r>
      <w:r w:rsidR="00890F1D" w:rsidRPr="002C310E">
        <w:rPr>
          <w:rFonts w:eastAsia="Calibri" w:cstheme="minorHAnsi"/>
          <w:sz w:val="24"/>
          <w:szCs w:val="24"/>
        </w:rPr>
        <w:t xml:space="preserve"> </w:t>
      </w:r>
      <w:r w:rsidR="00197B44" w:rsidRPr="002C310E">
        <w:rPr>
          <w:rFonts w:eastAsia="Calibri" w:cstheme="minorHAnsi"/>
          <w:sz w:val="24"/>
          <w:szCs w:val="24"/>
        </w:rPr>
        <w:t xml:space="preserve">MV </w:t>
      </w:r>
      <w:r w:rsidR="002E4BED" w:rsidRPr="002C310E">
        <w:rPr>
          <w:rFonts w:eastAsia="Calibri" w:cstheme="minorHAnsi"/>
          <w:sz w:val="24"/>
          <w:szCs w:val="24"/>
        </w:rPr>
        <w:t xml:space="preserve">i </w:t>
      </w:r>
      <w:r w:rsidR="00664448" w:rsidRPr="002C310E">
        <w:rPr>
          <w:rFonts w:eastAsia="Calibri" w:cstheme="minorHAnsi"/>
          <w:sz w:val="24"/>
          <w:szCs w:val="24"/>
        </w:rPr>
        <w:t xml:space="preserve">v důsledku nejednotně nastavených podmínek </w:t>
      </w:r>
      <w:r w:rsidR="002E4BED" w:rsidRPr="002C310E">
        <w:rPr>
          <w:rFonts w:eastAsia="Calibri" w:cstheme="minorHAnsi"/>
          <w:sz w:val="24"/>
          <w:szCs w:val="24"/>
        </w:rPr>
        <w:t>projektů</w:t>
      </w:r>
      <w:r w:rsidR="00664448" w:rsidRPr="002C310E">
        <w:rPr>
          <w:rFonts w:eastAsia="Calibri" w:cstheme="minorHAnsi"/>
          <w:sz w:val="24"/>
          <w:szCs w:val="24"/>
        </w:rPr>
        <w:t xml:space="preserve"> </w:t>
      </w:r>
      <w:r w:rsidR="00197B44" w:rsidRPr="002C310E">
        <w:rPr>
          <w:rFonts w:eastAsia="Calibri" w:cstheme="minorHAnsi"/>
          <w:sz w:val="24"/>
          <w:szCs w:val="24"/>
        </w:rPr>
        <w:t>nemělo</w:t>
      </w:r>
      <w:r w:rsidR="00093B06" w:rsidRPr="002C310E">
        <w:rPr>
          <w:rFonts w:eastAsia="Calibri" w:cstheme="minorHAnsi"/>
          <w:sz w:val="24"/>
          <w:szCs w:val="24"/>
        </w:rPr>
        <w:t xml:space="preserve"> </w:t>
      </w:r>
      <w:r w:rsidR="00197B44" w:rsidRPr="002C310E">
        <w:rPr>
          <w:rFonts w:eastAsia="Calibri" w:cstheme="minorHAnsi"/>
          <w:sz w:val="24"/>
          <w:szCs w:val="24"/>
        </w:rPr>
        <w:t>možnost ovlivn</w:t>
      </w:r>
      <w:r w:rsidR="00664448" w:rsidRPr="002C310E">
        <w:rPr>
          <w:rFonts w:eastAsia="Calibri" w:cstheme="minorHAnsi"/>
          <w:sz w:val="24"/>
          <w:szCs w:val="24"/>
        </w:rPr>
        <w:t xml:space="preserve">it </w:t>
      </w:r>
      <w:r w:rsidR="002E4BED" w:rsidRPr="002C310E">
        <w:rPr>
          <w:rFonts w:eastAsia="Calibri" w:cstheme="minorHAnsi"/>
          <w:sz w:val="24"/>
          <w:szCs w:val="24"/>
        </w:rPr>
        <w:t xml:space="preserve">jejich </w:t>
      </w:r>
      <w:r w:rsidR="00664448" w:rsidRPr="002C310E">
        <w:rPr>
          <w:rFonts w:eastAsia="Calibri" w:cstheme="minorHAnsi"/>
          <w:sz w:val="24"/>
          <w:szCs w:val="24"/>
        </w:rPr>
        <w:t>úspěšnou realizac</w:t>
      </w:r>
      <w:r w:rsidR="002E4BED" w:rsidRPr="002C310E">
        <w:rPr>
          <w:rFonts w:eastAsia="Calibri" w:cstheme="minorHAnsi"/>
          <w:sz w:val="24"/>
          <w:szCs w:val="24"/>
        </w:rPr>
        <w:t>i</w:t>
      </w:r>
      <w:r w:rsidR="00664448" w:rsidRPr="002C310E">
        <w:rPr>
          <w:rFonts w:eastAsia="Calibri" w:cstheme="minorHAnsi"/>
          <w:sz w:val="24"/>
          <w:szCs w:val="24"/>
        </w:rPr>
        <w:t xml:space="preserve">. </w:t>
      </w:r>
      <w:r w:rsidR="000E1B65" w:rsidRPr="002C310E">
        <w:rPr>
          <w:rFonts w:eastAsia="Calibri" w:cstheme="minorHAnsi"/>
          <w:sz w:val="24"/>
          <w:szCs w:val="24"/>
        </w:rPr>
        <w:t>V</w:t>
      </w:r>
      <w:r w:rsidR="00197B44" w:rsidRPr="002C310E">
        <w:rPr>
          <w:rFonts w:eastAsia="Calibri" w:cstheme="minorHAnsi"/>
          <w:sz w:val="24"/>
          <w:szCs w:val="24"/>
        </w:rPr>
        <w:t xml:space="preserve"> případě, kdy </w:t>
      </w:r>
      <w:r w:rsidR="002E4BED" w:rsidRPr="002C310E">
        <w:rPr>
          <w:rFonts w:eastAsia="Calibri" w:cstheme="minorHAnsi"/>
          <w:sz w:val="24"/>
          <w:szCs w:val="24"/>
        </w:rPr>
        <w:t>příjemce podpory</w:t>
      </w:r>
      <w:r w:rsidR="00197B44" w:rsidRPr="002C310E">
        <w:rPr>
          <w:rFonts w:eastAsia="Calibri" w:cstheme="minorHAnsi"/>
          <w:sz w:val="24"/>
          <w:szCs w:val="24"/>
        </w:rPr>
        <w:t xml:space="preserve"> nerespektoval implementační období projektu</w:t>
      </w:r>
      <w:r>
        <w:rPr>
          <w:rStyle w:val="Znakapoznpodarou"/>
          <w:rFonts w:eastAsia="Calibri" w:cstheme="minorHAnsi"/>
          <w:sz w:val="24"/>
          <w:szCs w:val="24"/>
        </w:rPr>
        <w:footnoteReference w:id="44"/>
      </w:r>
      <w:r w:rsidR="00093B06" w:rsidRPr="002C310E">
        <w:rPr>
          <w:rFonts w:eastAsia="Calibri" w:cstheme="minorHAnsi"/>
          <w:sz w:val="24"/>
          <w:szCs w:val="24"/>
        </w:rPr>
        <w:t xml:space="preserve"> a nerealizoval </w:t>
      </w:r>
      <w:r w:rsidR="00197B44" w:rsidRPr="002C310E">
        <w:rPr>
          <w:rFonts w:eastAsia="Calibri" w:cstheme="minorHAnsi"/>
          <w:sz w:val="24"/>
          <w:szCs w:val="24"/>
        </w:rPr>
        <w:t>předpokládané aktivity</w:t>
      </w:r>
      <w:r w:rsidR="000E1B65" w:rsidRPr="002C310E">
        <w:rPr>
          <w:rFonts w:eastAsia="Calibri" w:cstheme="minorHAnsi"/>
          <w:sz w:val="24"/>
          <w:szCs w:val="24"/>
        </w:rPr>
        <w:t>, mohlo použít jako jediný možný způsob urgence dokončení projektu upozornění diplomatickou cestou. P</w:t>
      </w:r>
      <w:r w:rsidR="001A35A2" w:rsidRPr="002C310E">
        <w:rPr>
          <w:rFonts w:eastAsia="Calibri" w:cstheme="minorHAnsi"/>
          <w:sz w:val="24"/>
          <w:szCs w:val="24"/>
        </w:rPr>
        <w:t xml:space="preserve">říklad č. </w:t>
      </w:r>
      <w:r w:rsidR="00C85D1B" w:rsidRPr="002C310E">
        <w:rPr>
          <w:rFonts w:eastAsia="Calibri" w:cstheme="minorHAnsi"/>
          <w:sz w:val="24"/>
          <w:szCs w:val="24"/>
        </w:rPr>
        <w:t>8</w:t>
      </w:r>
      <w:r w:rsidR="000E1B65" w:rsidRPr="002C310E">
        <w:rPr>
          <w:rFonts w:eastAsia="Calibri" w:cstheme="minorHAnsi"/>
          <w:sz w:val="24"/>
          <w:szCs w:val="24"/>
        </w:rPr>
        <w:t xml:space="preserve"> uvádí projekt, který nebyl dokončen ani po třech letech od poskytnutí peněžních prostředků</w:t>
      </w:r>
      <w:r w:rsidR="002E4BED" w:rsidRPr="002C310E">
        <w:rPr>
          <w:rFonts w:eastAsia="Calibri" w:cstheme="minorHAnsi"/>
          <w:sz w:val="24"/>
          <w:szCs w:val="24"/>
        </w:rPr>
        <w:t xml:space="preserve"> státu.</w:t>
      </w:r>
      <w:r w:rsidR="00197B44" w:rsidRPr="002C310E">
        <w:rPr>
          <w:rFonts w:eastAsia="Calibri" w:cstheme="minorHAnsi"/>
          <w:sz w:val="24"/>
          <w:szCs w:val="24"/>
        </w:rPr>
        <w:t xml:space="preserve"> </w:t>
      </w:r>
    </w:p>
    <w:p w14:paraId="682DE8C9" w14:textId="7BB6E289" w:rsidR="005E01AD" w:rsidRPr="002C310E" w:rsidRDefault="00F04DCF" w:rsidP="00E310A1">
      <w:pPr>
        <w:spacing w:line="240" w:lineRule="auto"/>
        <w:rPr>
          <w:rFonts w:eastAsia="Calibri" w:cstheme="minorHAnsi"/>
          <w:b/>
          <w:sz w:val="24"/>
          <w:szCs w:val="24"/>
        </w:rPr>
      </w:pPr>
      <w:r w:rsidRPr="002C310E">
        <w:rPr>
          <w:rFonts w:eastAsia="Calibri" w:cstheme="minorHAnsi"/>
          <w:b/>
          <w:sz w:val="24"/>
          <w:szCs w:val="24"/>
        </w:rPr>
        <w:t xml:space="preserve">Příklad č. </w:t>
      </w:r>
      <w:r w:rsidR="00C85D1B" w:rsidRPr="002C310E">
        <w:rPr>
          <w:rFonts w:eastAsia="Calibri" w:cstheme="minorHAnsi"/>
          <w:b/>
          <w:sz w:val="24"/>
          <w:szCs w:val="24"/>
        </w:rPr>
        <w:t>8</w:t>
      </w:r>
      <w:r w:rsidRPr="002C310E">
        <w:rPr>
          <w:rFonts w:eastAsia="Calibri" w:cstheme="minorHAnsi"/>
          <w:b/>
          <w:sz w:val="24"/>
          <w:szCs w:val="24"/>
        </w:rPr>
        <w:t xml:space="preserve">: Projekt </w:t>
      </w:r>
      <w:r w:rsidRPr="002C310E">
        <w:rPr>
          <w:rFonts w:eastAsia="Calibri" w:cstheme="minorHAnsi"/>
          <w:b/>
          <w:i/>
          <w:sz w:val="24"/>
          <w:szCs w:val="24"/>
        </w:rPr>
        <w:t>Irák 2017</w:t>
      </w:r>
      <w:r w:rsidRPr="002C310E">
        <w:rPr>
          <w:rFonts w:eastAsia="Calibri" w:cstheme="minorHAnsi"/>
          <w:b/>
          <w:sz w:val="24"/>
          <w:szCs w:val="24"/>
        </w:rPr>
        <w:t xml:space="preserve"> nebyl dokončen ani po třech letech od poskytnutí peněžních prostředků státu</w:t>
      </w:r>
    </w:p>
    <w:p w14:paraId="444842E2" w14:textId="323B28E7" w:rsidR="00821FD1" w:rsidRPr="002C310E" w:rsidRDefault="00F04DCF" w:rsidP="00733F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Calibri" w:cstheme="minorHAnsi"/>
          <w:i/>
          <w:sz w:val="24"/>
          <w:szCs w:val="24"/>
        </w:rPr>
      </w:pPr>
      <w:r w:rsidRPr="002C310E">
        <w:rPr>
          <w:rFonts w:eastAsia="Calibri" w:cstheme="minorHAnsi"/>
          <w:i/>
          <w:sz w:val="24"/>
          <w:szCs w:val="24"/>
        </w:rPr>
        <w:t xml:space="preserve">Cílem </w:t>
      </w:r>
      <w:r w:rsidR="00E93339" w:rsidRPr="002C310E">
        <w:rPr>
          <w:rFonts w:eastAsia="Calibri" w:cstheme="minorHAnsi"/>
          <w:i/>
          <w:sz w:val="24"/>
          <w:szCs w:val="24"/>
        </w:rPr>
        <w:t>p</w:t>
      </w:r>
      <w:r w:rsidRPr="002C310E">
        <w:rPr>
          <w:rFonts w:eastAsia="Calibri" w:cstheme="minorHAnsi"/>
          <w:i/>
          <w:sz w:val="24"/>
          <w:szCs w:val="24"/>
        </w:rPr>
        <w:t>rojektu Irák 2017 bylo podpořit ekonomický rozvoj</w:t>
      </w:r>
      <w:r w:rsidR="00E93339" w:rsidRPr="002C310E">
        <w:rPr>
          <w:rFonts w:eastAsia="Calibri" w:cstheme="minorHAnsi"/>
          <w:i/>
          <w:sz w:val="24"/>
          <w:szCs w:val="24"/>
        </w:rPr>
        <w:t xml:space="preserve"> a stabilizaci</w:t>
      </w:r>
      <w:r w:rsidRPr="002C310E">
        <w:rPr>
          <w:rFonts w:eastAsia="Calibri" w:cstheme="minorHAnsi"/>
          <w:i/>
          <w:sz w:val="24"/>
          <w:szCs w:val="24"/>
        </w:rPr>
        <w:t xml:space="preserve"> oblasti</w:t>
      </w:r>
      <w:r w:rsidR="00E93339" w:rsidRPr="002C310E">
        <w:rPr>
          <w:rFonts w:eastAsia="Calibri" w:cstheme="minorHAnsi"/>
          <w:i/>
          <w:sz w:val="24"/>
          <w:szCs w:val="24"/>
        </w:rPr>
        <w:t xml:space="preserve">, kde žije velké množství uprchlíků, a to </w:t>
      </w:r>
      <w:r w:rsidRPr="002C310E">
        <w:rPr>
          <w:rFonts w:eastAsia="Calibri" w:cstheme="minorHAnsi"/>
          <w:i/>
          <w:sz w:val="24"/>
          <w:szCs w:val="24"/>
        </w:rPr>
        <w:t xml:space="preserve">financováním obnovy elektrické sítě a rekonstrukce zdravotnického zařízení. Soupis plánovaného vybavení v celkové hodnotě </w:t>
      </w:r>
      <w:r w:rsidR="00E93339" w:rsidRPr="002C310E">
        <w:rPr>
          <w:rFonts w:eastAsia="Calibri" w:cstheme="minorHAnsi"/>
          <w:i/>
          <w:sz w:val="24"/>
          <w:szCs w:val="24"/>
        </w:rPr>
        <w:t>10 mil. Kč</w:t>
      </w:r>
      <w:r w:rsidRPr="002C310E">
        <w:rPr>
          <w:rFonts w:eastAsia="Calibri" w:cstheme="minorHAnsi"/>
          <w:i/>
          <w:sz w:val="24"/>
          <w:szCs w:val="24"/>
        </w:rPr>
        <w:t xml:space="preserve"> byl přílohou </w:t>
      </w:r>
      <w:r w:rsidR="00805487">
        <w:rPr>
          <w:rFonts w:eastAsia="Calibri" w:cstheme="minorHAnsi"/>
          <w:i/>
          <w:sz w:val="24"/>
          <w:szCs w:val="24"/>
        </w:rPr>
        <w:t>m</w:t>
      </w:r>
      <w:r w:rsidRPr="002C310E">
        <w:rPr>
          <w:rFonts w:eastAsia="Calibri" w:cstheme="minorHAnsi"/>
          <w:i/>
          <w:sz w:val="24"/>
          <w:szCs w:val="24"/>
        </w:rPr>
        <w:t>emoranda o porozumění ze dne 26. </w:t>
      </w:r>
      <w:r w:rsidR="00AC0E3A" w:rsidRPr="002C310E">
        <w:rPr>
          <w:rFonts w:eastAsia="Calibri" w:cstheme="minorHAnsi"/>
          <w:i/>
          <w:sz w:val="24"/>
          <w:szCs w:val="24"/>
        </w:rPr>
        <w:t>listopadu</w:t>
      </w:r>
      <w:r w:rsidRPr="002C310E">
        <w:rPr>
          <w:rFonts w:eastAsia="Calibri" w:cstheme="minorHAnsi"/>
          <w:i/>
          <w:sz w:val="24"/>
          <w:szCs w:val="24"/>
        </w:rPr>
        <w:t xml:space="preserve"> 2017.</w:t>
      </w:r>
      <w:r w:rsidR="001A35A2" w:rsidRPr="002C310E">
        <w:rPr>
          <w:rFonts w:eastAsia="Calibri" w:cstheme="minorHAnsi"/>
          <w:i/>
          <w:sz w:val="24"/>
          <w:szCs w:val="24"/>
        </w:rPr>
        <w:t xml:space="preserve"> Realizace projektu měla být dokončena do června </w:t>
      </w:r>
      <w:r w:rsidRPr="002C310E">
        <w:rPr>
          <w:rFonts w:eastAsia="Calibri" w:cstheme="minorHAnsi"/>
          <w:i/>
          <w:sz w:val="24"/>
          <w:szCs w:val="24"/>
        </w:rPr>
        <w:t xml:space="preserve">2018. Zahájení projektu však bylo ze strany iráckého subjektu </w:t>
      </w:r>
      <w:r w:rsidR="001A35A2" w:rsidRPr="002C310E">
        <w:rPr>
          <w:rFonts w:eastAsia="Calibri" w:cstheme="minorHAnsi"/>
          <w:i/>
          <w:sz w:val="24"/>
          <w:szCs w:val="24"/>
        </w:rPr>
        <w:t xml:space="preserve">zpožděno, </w:t>
      </w:r>
      <w:r w:rsidRPr="002C310E">
        <w:rPr>
          <w:rFonts w:eastAsia="Calibri" w:cstheme="minorHAnsi"/>
          <w:i/>
          <w:sz w:val="24"/>
          <w:szCs w:val="24"/>
        </w:rPr>
        <w:t xml:space="preserve">protože mezi datem úhrady peněžních prostředků z účtu MV dne 15. </w:t>
      </w:r>
      <w:r w:rsidR="00AC0E3A" w:rsidRPr="002C310E">
        <w:rPr>
          <w:rFonts w:eastAsia="Calibri" w:cstheme="minorHAnsi"/>
          <w:i/>
          <w:sz w:val="24"/>
          <w:szCs w:val="24"/>
        </w:rPr>
        <w:t>prosince</w:t>
      </w:r>
      <w:r w:rsidRPr="002C310E">
        <w:rPr>
          <w:rFonts w:eastAsia="Calibri" w:cstheme="minorHAnsi"/>
          <w:i/>
          <w:sz w:val="24"/>
          <w:szCs w:val="24"/>
        </w:rPr>
        <w:t xml:space="preserve"> 2017 a datem,</w:t>
      </w:r>
      <w:r w:rsidR="00AC0E3A" w:rsidRPr="002C310E">
        <w:rPr>
          <w:rFonts w:eastAsia="Calibri" w:cstheme="minorHAnsi"/>
          <w:i/>
          <w:sz w:val="24"/>
          <w:szCs w:val="24"/>
        </w:rPr>
        <w:t xml:space="preserve"> </w:t>
      </w:r>
      <w:r w:rsidRPr="002C310E">
        <w:rPr>
          <w:rFonts w:eastAsia="Calibri" w:cstheme="minorHAnsi"/>
          <w:i/>
          <w:sz w:val="24"/>
          <w:szCs w:val="24"/>
        </w:rPr>
        <w:t xml:space="preserve">kdy byly tyto prostředky dne 28. </w:t>
      </w:r>
      <w:r w:rsidR="00AC0E3A" w:rsidRPr="002C310E">
        <w:rPr>
          <w:rFonts w:eastAsia="Calibri" w:cstheme="minorHAnsi"/>
          <w:i/>
          <w:sz w:val="24"/>
          <w:szCs w:val="24"/>
        </w:rPr>
        <w:t>července</w:t>
      </w:r>
      <w:r w:rsidRPr="002C310E">
        <w:rPr>
          <w:rFonts w:eastAsia="Calibri" w:cstheme="minorHAnsi"/>
          <w:i/>
          <w:sz w:val="24"/>
          <w:szCs w:val="24"/>
        </w:rPr>
        <w:t xml:space="preserve"> 2019 připsány na účet </w:t>
      </w:r>
      <w:r w:rsidR="00E93339" w:rsidRPr="002C310E">
        <w:rPr>
          <w:rFonts w:eastAsia="Calibri" w:cstheme="minorHAnsi"/>
          <w:i/>
          <w:sz w:val="24"/>
          <w:szCs w:val="24"/>
        </w:rPr>
        <w:t xml:space="preserve">subjektu, </w:t>
      </w:r>
      <w:r w:rsidRPr="002C310E">
        <w:rPr>
          <w:rFonts w:eastAsia="Calibri" w:cstheme="minorHAnsi"/>
          <w:i/>
          <w:sz w:val="24"/>
          <w:szCs w:val="24"/>
        </w:rPr>
        <w:t xml:space="preserve">vznikla prodleva 590 dní. </w:t>
      </w:r>
      <w:r w:rsidR="002431B9" w:rsidRPr="002C310E">
        <w:rPr>
          <w:rFonts w:eastAsia="Calibri" w:cstheme="minorHAnsi"/>
          <w:i/>
          <w:sz w:val="24"/>
          <w:szCs w:val="24"/>
        </w:rPr>
        <w:t xml:space="preserve">Prodleva byla dle MV způsobena procedurami na straně iráckého Ministerstva plánování a Ministerstva financí. Projekt byl tedy zahájen až v červenci 2019 s předpokladem ukončení do konce roku 2020. Dle předložené průběžné zprávy projektu byl poté vybrán zhotovitel a podepsána </w:t>
      </w:r>
      <w:r w:rsidR="002431B9" w:rsidRPr="002C310E">
        <w:rPr>
          <w:rFonts w:eastAsia="Calibri" w:cstheme="minorHAnsi"/>
          <w:i/>
          <w:sz w:val="24"/>
          <w:szCs w:val="24"/>
        </w:rPr>
        <w:lastRenderedPageBreak/>
        <w:t xml:space="preserve">smlouva. </w:t>
      </w:r>
      <w:r w:rsidR="001A35A2" w:rsidRPr="002C310E">
        <w:rPr>
          <w:rFonts w:eastAsia="Calibri" w:cstheme="minorHAnsi"/>
          <w:i/>
          <w:sz w:val="24"/>
          <w:szCs w:val="24"/>
        </w:rPr>
        <w:t>Navzdory tomu bylo v roční zprávě o implementaci programu Pomoc na místě za rok 2017 vydané v lednu 2018 k realizaci projektu uvedeno, že příjemce zahájil realizaci projektu výběr</w:t>
      </w:r>
      <w:r w:rsidRPr="002C310E">
        <w:rPr>
          <w:rFonts w:eastAsia="Calibri" w:cstheme="minorHAnsi"/>
          <w:i/>
          <w:sz w:val="24"/>
          <w:szCs w:val="24"/>
        </w:rPr>
        <w:t>em dodavatele na rekonstrukci a </w:t>
      </w:r>
      <w:r w:rsidR="001A35A2" w:rsidRPr="002C310E">
        <w:rPr>
          <w:rFonts w:eastAsia="Calibri" w:cstheme="minorHAnsi"/>
          <w:i/>
          <w:sz w:val="24"/>
          <w:szCs w:val="24"/>
        </w:rPr>
        <w:t>dostavbu elektrické sítě</w:t>
      </w:r>
      <w:r w:rsidR="007E24CE" w:rsidRPr="002C310E">
        <w:rPr>
          <w:rFonts w:eastAsia="Calibri" w:cstheme="minorHAnsi"/>
          <w:i/>
          <w:sz w:val="24"/>
          <w:szCs w:val="24"/>
        </w:rPr>
        <w:t xml:space="preserve"> a </w:t>
      </w:r>
      <w:r w:rsidR="001A35A2" w:rsidRPr="002C310E">
        <w:rPr>
          <w:rFonts w:eastAsia="Calibri" w:cstheme="minorHAnsi"/>
          <w:i/>
          <w:sz w:val="24"/>
          <w:szCs w:val="24"/>
        </w:rPr>
        <w:t>po podpisu smlouvy byl</w:t>
      </w:r>
      <w:r w:rsidR="007E24CE" w:rsidRPr="002C310E">
        <w:rPr>
          <w:rFonts w:eastAsia="Calibri" w:cstheme="minorHAnsi"/>
          <w:i/>
          <w:sz w:val="24"/>
          <w:szCs w:val="24"/>
        </w:rPr>
        <w:t>y zahájeny rekonstrukční práce.</w:t>
      </w:r>
    </w:p>
    <w:p w14:paraId="233AA61B" w14:textId="29B64BE8" w:rsidR="00615F1C" w:rsidRPr="002C310E" w:rsidRDefault="00F04DCF" w:rsidP="00C85D1B">
      <w:pPr>
        <w:spacing w:before="120" w:after="120" w:line="240" w:lineRule="auto"/>
        <w:jc w:val="both"/>
        <w:rPr>
          <w:rFonts w:eastAsia="Calibri" w:cstheme="minorHAnsi"/>
          <w:sz w:val="24"/>
          <w:szCs w:val="24"/>
        </w:rPr>
      </w:pPr>
      <w:r w:rsidRPr="00E310A1">
        <w:rPr>
          <w:rFonts w:eastAsia="Calibri" w:cstheme="minorHAnsi"/>
          <w:b/>
          <w:sz w:val="24"/>
          <w:szCs w:val="24"/>
        </w:rPr>
        <w:t>4.</w:t>
      </w:r>
      <w:r w:rsidR="003F0188" w:rsidRPr="00E310A1">
        <w:rPr>
          <w:rFonts w:eastAsia="Calibri" w:cstheme="minorHAnsi"/>
          <w:b/>
          <w:sz w:val="24"/>
          <w:szCs w:val="24"/>
        </w:rPr>
        <w:t>5</w:t>
      </w:r>
      <w:r w:rsidR="000B1625" w:rsidRPr="00E310A1">
        <w:rPr>
          <w:rFonts w:eastAsia="Calibri" w:cstheme="minorHAnsi"/>
          <w:b/>
          <w:sz w:val="24"/>
          <w:szCs w:val="24"/>
        </w:rPr>
        <w:t>6</w:t>
      </w:r>
      <w:r w:rsidR="00273E3A" w:rsidRPr="00E310A1">
        <w:rPr>
          <w:rFonts w:eastAsia="Calibri" w:cstheme="minorHAnsi"/>
          <w:b/>
          <w:sz w:val="24"/>
          <w:szCs w:val="24"/>
        </w:rPr>
        <w:t xml:space="preserve"> </w:t>
      </w:r>
      <w:r w:rsidR="00EE36CF" w:rsidRPr="002C310E">
        <w:rPr>
          <w:rFonts w:eastAsia="Calibri" w:cstheme="minorHAnsi"/>
          <w:sz w:val="24"/>
          <w:szCs w:val="24"/>
        </w:rPr>
        <w:t xml:space="preserve">MV </w:t>
      </w:r>
      <w:r w:rsidR="00AC0E3A" w:rsidRPr="002C310E">
        <w:rPr>
          <w:rFonts w:eastAsia="Calibri" w:cstheme="minorHAnsi"/>
          <w:sz w:val="24"/>
          <w:szCs w:val="24"/>
        </w:rPr>
        <w:t xml:space="preserve">stanovilo </w:t>
      </w:r>
      <w:r w:rsidR="00273E3A" w:rsidRPr="002C310E">
        <w:rPr>
          <w:rFonts w:eastAsia="Calibri" w:cstheme="minorHAnsi"/>
          <w:sz w:val="24"/>
          <w:szCs w:val="24"/>
        </w:rPr>
        <w:t xml:space="preserve">ve smluvních dokumentech cíl </w:t>
      </w:r>
      <w:r w:rsidR="00AC0E3A" w:rsidRPr="002C310E">
        <w:rPr>
          <w:rFonts w:eastAsia="Calibri" w:cstheme="minorHAnsi"/>
          <w:sz w:val="24"/>
          <w:szCs w:val="24"/>
        </w:rPr>
        <w:t xml:space="preserve">vybraných </w:t>
      </w:r>
      <w:r w:rsidR="00273E3A" w:rsidRPr="002C310E">
        <w:rPr>
          <w:rFonts w:eastAsia="Calibri" w:cstheme="minorHAnsi"/>
          <w:sz w:val="24"/>
          <w:szCs w:val="24"/>
        </w:rPr>
        <w:t>projekt</w:t>
      </w:r>
      <w:r w:rsidR="00AC0E3A" w:rsidRPr="002C310E">
        <w:rPr>
          <w:rFonts w:eastAsia="Calibri" w:cstheme="minorHAnsi"/>
          <w:sz w:val="24"/>
          <w:szCs w:val="24"/>
        </w:rPr>
        <w:t>ů, n</w:t>
      </w:r>
      <w:r w:rsidR="00273E3A" w:rsidRPr="002C310E">
        <w:rPr>
          <w:rFonts w:eastAsia="Calibri" w:cstheme="minorHAnsi"/>
          <w:sz w:val="24"/>
          <w:szCs w:val="24"/>
        </w:rPr>
        <w:t xml:space="preserve">evymezilo </w:t>
      </w:r>
      <w:r w:rsidR="00EE36CF" w:rsidRPr="002C310E">
        <w:rPr>
          <w:rFonts w:eastAsia="Calibri" w:cstheme="minorHAnsi"/>
          <w:sz w:val="24"/>
          <w:szCs w:val="24"/>
        </w:rPr>
        <w:t xml:space="preserve">však </w:t>
      </w:r>
      <w:r w:rsidR="00AC0E3A" w:rsidRPr="002C310E">
        <w:rPr>
          <w:rFonts w:eastAsia="Calibri" w:cstheme="minorHAnsi"/>
          <w:sz w:val="24"/>
          <w:szCs w:val="24"/>
        </w:rPr>
        <w:t xml:space="preserve">jejich </w:t>
      </w:r>
      <w:r w:rsidR="00273E3A" w:rsidRPr="002C310E">
        <w:rPr>
          <w:rFonts w:eastAsia="Calibri" w:cstheme="minorHAnsi"/>
          <w:sz w:val="24"/>
          <w:szCs w:val="24"/>
        </w:rPr>
        <w:t>parametry</w:t>
      </w:r>
      <w:r w:rsidR="00AC0E3A" w:rsidRPr="002C310E">
        <w:rPr>
          <w:rFonts w:eastAsia="Calibri" w:cstheme="minorHAnsi"/>
          <w:sz w:val="24"/>
          <w:szCs w:val="24"/>
        </w:rPr>
        <w:t xml:space="preserve"> </w:t>
      </w:r>
      <w:r w:rsidR="00273E3A" w:rsidRPr="002C310E">
        <w:rPr>
          <w:rFonts w:eastAsia="Calibri" w:cstheme="minorHAnsi"/>
          <w:sz w:val="24"/>
          <w:szCs w:val="24"/>
        </w:rPr>
        <w:t>tak, aby zabezpečilo účelné a efektivní vynakládání peněžních prostředků programu.</w:t>
      </w:r>
      <w:r w:rsidR="00AC0E3A" w:rsidRPr="002C310E">
        <w:rPr>
          <w:rFonts w:eastAsia="Calibri" w:cstheme="minorHAnsi"/>
          <w:sz w:val="24"/>
          <w:szCs w:val="24"/>
        </w:rPr>
        <w:t xml:space="preserve"> </w:t>
      </w:r>
      <w:r w:rsidRPr="002C310E">
        <w:rPr>
          <w:rFonts w:eastAsia="Calibri" w:cstheme="minorHAnsi"/>
          <w:sz w:val="24"/>
          <w:szCs w:val="24"/>
        </w:rPr>
        <w:t xml:space="preserve">Např. </w:t>
      </w:r>
      <w:r w:rsidR="00EE36CF" w:rsidRPr="002C310E">
        <w:rPr>
          <w:rFonts w:eastAsia="Calibri" w:cstheme="minorHAnsi"/>
          <w:sz w:val="24"/>
          <w:szCs w:val="24"/>
        </w:rPr>
        <w:t xml:space="preserve">v projektu </w:t>
      </w:r>
      <w:r w:rsidR="00EE36CF" w:rsidRPr="002C310E">
        <w:rPr>
          <w:rFonts w:eastAsia="Calibri" w:cstheme="minorHAnsi"/>
          <w:i/>
          <w:sz w:val="24"/>
          <w:szCs w:val="24"/>
        </w:rPr>
        <w:t>Makedonie 2017</w:t>
      </w:r>
      <w:r w:rsidR="00EE36CF" w:rsidRPr="002C310E">
        <w:rPr>
          <w:rFonts w:eastAsia="Calibri" w:cstheme="minorHAnsi"/>
          <w:sz w:val="24"/>
          <w:szCs w:val="24"/>
        </w:rPr>
        <w:t xml:space="preserve"> byl </w:t>
      </w:r>
      <w:r w:rsidR="000061F0">
        <w:rPr>
          <w:rFonts w:eastAsia="Calibri" w:cstheme="minorHAnsi"/>
          <w:sz w:val="24"/>
          <w:szCs w:val="24"/>
        </w:rPr>
        <w:t xml:space="preserve">pro objem </w:t>
      </w:r>
      <w:r w:rsidR="006F77FA">
        <w:rPr>
          <w:rFonts w:eastAsia="Calibri" w:cstheme="minorHAnsi"/>
          <w:sz w:val="24"/>
          <w:szCs w:val="24"/>
        </w:rPr>
        <w:t>peněžních prostředků ve výši 27 </w:t>
      </w:r>
      <w:r w:rsidR="000061F0">
        <w:rPr>
          <w:rFonts w:eastAsia="Calibri" w:cstheme="minorHAnsi"/>
          <w:sz w:val="24"/>
          <w:szCs w:val="24"/>
        </w:rPr>
        <w:t xml:space="preserve">mil. Kč </w:t>
      </w:r>
      <w:r w:rsidR="00EE36CF" w:rsidRPr="002C310E">
        <w:rPr>
          <w:rFonts w:eastAsia="Calibri" w:cstheme="minorHAnsi"/>
          <w:sz w:val="24"/>
          <w:szCs w:val="24"/>
        </w:rPr>
        <w:t>uveden</w:t>
      </w:r>
      <w:r w:rsidR="00AC0E3A" w:rsidRPr="002C310E">
        <w:rPr>
          <w:rFonts w:eastAsia="Calibri" w:cstheme="minorHAnsi"/>
          <w:sz w:val="24"/>
          <w:szCs w:val="24"/>
        </w:rPr>
        <w:t xml:space="preserve"> cíl</w:t>
      </w:r>
      <w:r w:rsidR="00EE36CF" w:rsidRPr="002C310E">
        <w:rPr>
          <w:rFonts w:eastAsia="Calibri" w:cstheme="minorHAnsi"/>
          <w:sz w:val="24"/>
          <w:szCs w:val="24"/>
        </w:rPr>
        <w:t xml:space="preserve"> </w:t>
      </w:r>
      <w:r w:rsidR="009518D1" w:rsidRPr="0066166F">
        <w:rPr>
          <w:rFonts w:eastAsia="Calibri" w:cstheme="minorHAnsi"/>
          <w:sz w:val="24"/>
          <w:szCs w:val="24"/>
        </w:rPr>
        <w:t>„</w:t>
      </w:r>
      <w:r w:rsidR="009518D1">
        <w:rPr>
          <w:rFonts w:eastAsia="Calibri" w:cstheme="minorHAnsi"/>
          <w:i/>
          <w:sz w:val="24"/>
          <w:szCs w:val="24"/>
        </w:rPr>
        <w:t>n</w:t>
      </w:r>
      <w:r w:rsidR="00EE36CF" w:rsidRPr="002C310E">
        <w:rPr>
          <w:rFonts w:eastAsia="Calibri" w:cstheme="minorHAnsi"/>
          <w:i/>
          <w:sz w:val="24"/>
          <w:szCs w:val="24"/>
        </w:rPr>
        <w:t>ákup osobních motorových vozidel</w:t>
      </w:r>
      <w:r w:rsidR="00B67070" w:rsidRPr="002C310E">
        <w:rPr>
          <w:rFonts w:eastAsia="Calibri" w:cstheme="minorHAnsi"/>
          <w:i/>
          <w:sz w:val="24"/>
          <w:szCs w:val="24"/>
        </w:rPr>
        <w:t xml:space="preserve"> </w:t>
      </w:r>
      <w:r w:rsidR="00EE36CF" w:rsidRPr="002C310E">
        <w:rPr>
          <w:rFonts w:eastAsia="Calibri" w:cstheme="minorHAnsi"/>
          <w:i/>
          <w:sz w:val="24"/>
          <w:szCs w:val="24"/>
        </w:rPr>
        <w:t>p</w:t>
      </w:r>
      <w:r w:rsidR="00B67070" w:rsidRPr="002C310E">
        <w:rPr>
          <w:rFonts w:eastAsia="Calibri" w:cstheme="minorHAnsi"/>
          <w:i/>
          <w:sz w:val="24"/>
          <w:szCs w:val="24"/>
        </w:rPr>
        <w:t>ro potřeby posílení ochrany stá</w:t>
      </w:r>
      <w:r w:rsidR="00EE36CF" w:rsidRPr="002C310E">
        <w:rPr>
          <w:rFonts w:eastAsia="Calibri" w:cstheme="minorHAnsi"/>
          <w:i/>
          <w:sz w:val="24"/>
          <w:szCs w:val="24"/>
        </w:rPr>
        <w:t>tních hranic</w:t>
      </w:r>
      <w:r w:rsidR="00EE36CF" w:rsidRPr="0066166F">
        <w:rPr>
          <w:rFonts w:eastAsia="Calibri" w:cstheme="minorHAnsi"/>
          <w:sz w:val="24"/>
          <w:szCs w:val="24"/>
        </w:rPr>
        <w:t>“</w:t>
      </w:r>
      <w:r w:rsidR="00B67070" w:rsidRPr="002C310E">
        <w:rPr>
          <w:rFonts w:eastAsia="Calibri" w:cstheme="minorHAnsi"/>
          <w:sz w:val="24"/>
          <w:szCs w:val="24"/>
        </w:rPr>
        <w:t>, ale n</w:t>
      </w:r>
      <w:r w:rsidR="00EE36CF" w:rsidRPr="002C310E">
        <w:rPr>
          <w:rFonts w:eastAsia="Calibri" w:cstheme="minorHAnsi"/>
          <w:sz w:val="24"/>
          <w:szCs w:val="24"/>
        </w:rPr>
        <w:t>ebylo uvedeno množství</w:t>
      </w:r>
      <w:r w:rsidR="00B67070" w:rsidRPr="002C310E">
        <w:rPr>
          <w:rFonts w:eastAsia="Calibri" w:cstheme="minorHAnsi"/>
          <w:sz w:val="24"/>
          <w:szCs w:val="24"/>
        </w:rPr>
        <w:t xml:space="preserve"> vozidel</w:t>
      </w:r>
      <w:r w:rsidR="00EE36CF" w:rsidRPr="002C310E">
        <w:rPr>
          <w:rFonts w:eastAsia="Calibri" w:cstheme="minorHAnsi"/>
          <w:sz w:val="24"/>
          <w:szCs w:val="24"/>
        </w:rPr>
        <w:t xml:space="preserve">, </w:t>
      </w:r>
      <w:r w:rsidR="00E95F12" w:rsidRPr="002C310E">
        <w:rPr>
          <w:rFonts w:eastAsia="Calibri" w:cstheme="minorHAnsi"/>
          <w:sz w:val="24"/>
          <w:szCs w:val="24"/>
        </w:rPr>
        <w:t xml:space="preserve">jejich </w:t>
      </w:r>
      <w:r w:rsidR="00EE36CF" w:rsidRPr="002C310E">
        <w:rPr>
          <w:rFonts w:eastAsia="Calibri" w:cstheme="minorHAnsi"/>
          <w:sz w:val="24"/>
          <w:szCs w:val="24"/>
        </w:rPr>
        <w:t xml:space="preserve">technické parametry </w:t>
      </w:r>
      <w:r w:rsidRPr="002C310E">
        <w:rPr>
          <w:rFonts w:eastAsia="Calibri" w:cstheme="minorHAnsi"/>
          <w:sz w:val="24"/>
          <w:szCs w:val="24"/>
        </w:rPr>
        <w:t>a</w:t>
      </w:r>
      <w:r w:rsidR="00EE36CF" w:rsidRPr="002C310E">
        <w:rPr>
          <w:rFonts w:eastAsia="Calibri" w:cstheme="minorHAnsi"/>
          <w:sz w:val="24"/>
          <w:szCs w:val="24"/>
        </w:rPr>
        <w:t>ni</w:t>
      </w:r>
      <w:r w:rsidRPr="002C310E">
        <w:rPr>
          <w:rFonts w:eastAsia="Calibri" w:cstheme="minorHAnsi"/>
          <w:sz w:val="24"/>
          <w:szCs w:val="24"/>
        </w:rPr>
        <w:t xml:space="preserve"> předpokládaná cena za kus. </w:t>
      </w:r>
    </w:p>
    <w:p w14:paraId="1C0310A9" w14:textId="6AE8B91F" w:rsidR="002431B9" w:rsidRPr="002C310E" w:rsidRDefault="00F04DCF" w:rsidP="002431B9">
      <w:pPr>
        <w:spacing w:after="120" w:line="240" w:lineRule="auto"/>
        <w:jc w:val="both"/>
        <w:rPr>
          <w:rFonts w:eastAsia="Calibri" w:cstheme="minorHAnsi"/>
          <w:color w:val="000000" w:themeColor="text1"/>
          <w:sz w:val="24"/>
          <w:szCs w:val="24"/>
        </w:rPr>
      </w:pPr>
      <w:r w:rsidRPr="00E310A1">
        <w:rPr>
          <w:rFonts w:cstheme="minorHAnsi"/>
          <w:b/>
          <w:color w:val="000000" w:themeColor="text1"/>
          <w:sz w:val="24"/>
          <w:szCs w:val="24"/>
        </w:rPr>
        <w:t>4.5</w:t>
      </w:r>
      <w:r w:rsidR="000B1625" w:rsidRPr="00E310A1">
        <w:rPr>
          <w:rFonts w:cstheme="minorHAnsi"/>
          <w:b/>
          <w:color w:val="000000" w:themeColor="text1"/>
          <w:sz w:val="24"/>
          <w:szCs w:val="24"/>
        </w:rPr>
        <w:t>7</w:t>
      </w:r>
      <w:r w:rsidRPr="002C310E">
        <w:rPr>
          <w:rFonts w:cstheme="minorHAnsi"/>
          <w:color w:val="000000" w:themeColor="text1"/>
          <w:sz w:val="24"/>
          <w:szCs w:val="24"/>
        </w:rPr>
        <w:t xml:space="preserve"> Monitorování projektů MV nastavilo </w:t>
      </w:r>
      <w:r w:rsidRPr="002C310E">
        <w:rPr>
          <w:rFonts w:eastAsia="Calibri" w:cstheme="minorHAnsi"/>
          <w:color w:val="000000" w:themeColor="text1"/>
          <w:sz w:val="24"/>
          <w:szCs w:val="24"/>
        </w:rPr>
        <w:t>formou průběžných zpráv a závěrečné zprávy o realizaci projektu. Ve smluvních dokumentech vládních projektů MV nestanovilo, jaké informace mají zprávy obsahovat. Až v roce 2018 MV zpracovalo vnitřní manuál stanovující doporučený obsah jen pro mezinárodní organizace. Obsah předkládaných průběžných a závěrečných zpráv tak má stále volnou formu, včetně fotodokumentace. V důsledku skutečnosti, že MV nestanovilo jednotné podmínky a pravidla pro čerpání peněžních prostředků a neurčilo jednotnou formu zpráv o realizaci projektu a smluvních dokumentů, nemůže MV vyhodnotit srovnatelné informace o vybraných projektech.</w:t>
      </w:r>
    </w:p>
    <w:p w14:paraId="3CA2D55F" w14:textId="5005E85B" w:rsidR="007E24CE" w:rsidRPr="002C310E" w:rsidRDefault="00F04DCF" w:rsidP="002431B9">
      <w:pPr>
        <w:spacing w:before="120" w:after="120" w:line="240" w:lineRule="auto"/>
        <w:jc w:val="both"/>
        <w:rPr>
          <w:rFonts w:eastAsia="Calibri" w:cstheme="minorHAnsi"/>
          <w:sz w:val="24"/>
          <w:szCs w:val="24"/>
        </w:rPr>
      </w:pPr>
      <w:r w:rsidRPr="00E310A1">
        <w:rPr>
          <w:rFonts w:eastAsia="Calibri" w:cstheme="minorHAnsi"/>
          <w:b/>
          <w:sz w:val="24"/>
          <w:szCs w:val="24"/>
        </w:rPr>
        <w:t>4.</w:t>
      </w:r>
      <w:r w:rsidR="000B1625" w:rsidRPr="00E310A1">
        <w:rPr>
          <w:rFonts w:eastAsia="Calibri" w:cstheme="minorHAnsi"/>
          <w:b/>
          <w:sz w:val="24"/>
          <w:szCs w:val="24"/>
        </w:rPr>
        <w:t>58</w:t>
      </w:r>
      <w:r w:rsidRPr="002C310E">
        <w:rPr>
          <w:rFonts w:eastAsia="Calibri" w:cstheme="minorHAnsi"/>
          <w:sz w:val="24"/>
          <w:szCs w:val="24"/>
        </w:rPr>
        <w:t xml:space="preserve"> MV nevymezilo konkrétní podmínky pro každoroční předkládání implementační zprávy o</w:t>
      </w:r>
      <w:r w:rsidR="00A20856">
        <w:rPr>
          <w:rFonts w:eastAsia="Calibri" w:cstheme="minorHAnsi"/>
          <w:sz w:val="24"/>
          <w:szCs w:val="24"/>
        </w:rPr>
        <w:t> </w:t>
      </w:r>
      <w:r w:rsidRPr="002C310E">
        <w:rPr>
          <w:rFonts w:eastAsia="Calibri" w:cstheme="minorHAnsi"/>
          <w:sz w:val="24"/>
          <w:szCs w:val="24"/>
        </w:rPr>
        <w:t xml:space="preserve">realizaci programu </w:t>
      </w:r>
      <w:r w:rsidRPr="00222605">
        <w:rPr>
          <w:rFonts w:eastAsia="Calibri" w:cstheme="minorHAnsi"/>
          <w:sz w:val="24"/>
          <w:szCs w:val="24"/>
        </w:rPr>
        <w:t>Pomoc na místě</w:t>
      </w:r>
      <w:r w:rsidRPr="002C310E">
        <w:rPr>
          <w:rFonts w:eastAsia="Calibri" w:cstheme="minorHAnsi"/>
          <w:sz w:val="24"/>
          <w:szCs w:val="24"/>
        </w:rPr>
        <w:t xml:space="preserve">, které by prokázaly účelnost a efektivnost peněžních prostředků poskytnutých na realizované projekty v daném roce. MV tak </w:t>
      </w:r>
      <w:r w:rsidRPr="002C310E">
        <w:rPr>
          <w:rFonts w:eastAsia="Calibri" w:cstheme="minorHAnsi"/>
          <w:color w:val="000000" w:themeColor="text1"/>
          <w:sz w:val="24"/>
          <w:szCs w:val="24"/>
        </w:rPr>
        <w:t>nemůže v souladu s</w:t>
      </w:r>
      <w:r w:rsidR="00A20856">
        <w:rPr>
          <w:rFonts w:eastAsia="Calibri" w:cstheme="minorHAnsi"/>
          <w:color w:val="000000" w:themeColor="text1"/>
          <w:sz w:val="24"/>
          <w:szCs w:val="24"/>
        </w:rPr>
        <w:t> </w:t>
      </w:r>
      <w:r w:rsidRPr="002C310E">
        <w:rPr>
          <w:rFonts w:eastAsia="Calibri" w:cstheme="minorHAnsi"/>
          <w:color w:val="000000" w:themeColor="text1"/>
          <w:sz w:val="24"/>
          <w:szCs w:val="24"/>
        </w:rPr>
        <w:t xml:space="preserve">ustanovením § 39 odst. 3 zákona č. 218/2000 Sb. </w:t>
      </w:r>
      <w:r w:rsidRPr="00491FCA">
        <w:rPr>
          <w:rFonts w:eastAsia="Calibri" w:cstheme="minorHAnsi"/>
          <w:color w:val="000000" w:themeColor="text1"/>
          <w:sz w:val="24"/>
          <w:szCs w:val="24"/>
        </w:rPr>
        <w:t>soustavně sledovat a vyhodnocovat hospodárnost, efektivnost a účelnost vynakládání výdajů</w:t>
      </w:r>
      <w:r w:rsidRPr="002C310E">
        <w:rPr>
          <w:rFonts w:eastAsia="Calibri" w:cstheme="minorHAnsi"/>
          <w:i/>
          <w:color w:val="000000" w:themeColor="text1"/>
          <w:sz w:val="24"/>
          <w:szCs w:val="24"/>
        </w:rPr>
        <w:t>.</w:t>
      </w:r>
      <w:r w:rsidRPr="002C310E">
        <w:rPr>
          <w:rFonts w:eastAsia="Calibri" w:cstheme="minorHAnsi"/>
          <w:color w:val="000000" w:themeColor="text1"/>
          <w:sz w:val="24"/>
          <w:szCs w:val="24"/>
        </w:rPr>
        <w:t xml:space="preserve"> </w:t>
      </w:r>
      <w:r w:rsidR="00FB09DA" w:rsidRPr="002C310E">
        <w:rPr>
          <w:rFonts w:eastAsia="Calibri" w:cstheme="minorHAnsi"/>
          <w:bCs/>
          <w:color w:val="000000" w:themeColor="text1"/>
          <w:sz w:val="24"/>
          <w:szCs w:val="24"/>
        </w:rPr>
        <w:t>MV sice v kontrolovaném období implementační zprávy zpracovávalo</w:t>
      </w:r>
      <w:r w:rsidR="00B67070" w:rsidRPr="002C310E">
        <w:rPr>
          <w:rFonts w:eastAsia="Calibri" w:cstheme="minorHAnsi"/>
          <w:bCs/>
          <w:color w:val="000000" w:themeColor="text1"/>
          <w:sz w:val="24"/>
          <w:szCs w:val="24"/>
        </w:rPr>
        <w:t xml:space="preserve">, ty ale </w:t>
      </w:r>
      <w:r w:rsidR="00FB09DA" w:rsidRPr="002C310E">
        <w:rPr>
          <w:rFonts w:eastAsia="Calibri" w:cstheme="minorHAnsi"/>
          <w:bCs/>
          <w:color w:val="000000" w:themeColor="text1"/>
          <w:sz w:val="24"/>
          <w:szCs w:val="24"/>
        </w:rPr>
        <w:t>obsahovaly</w:t>
      </w:r>
      <w:r w:rsidR="00B67070" w:rsidRPr="002C310E">
        <w:rPr>
          <w:rFonts w:eastAsia="Calibri" w:cstheme="minorHAnsi"/>
          <w:bCs/>
          <w:color w:val="000000" w:themeColor="text1"/>
          <w:sz w:val="24"/>
          <w:szCs w:val="24"/>
        </w:rPr>
        <w:t xml:space="preserve"> pouze přehled </w:t>
      </w:r>
      <w:r w:rsidR="00FB09DA" w:rsidRPr="002C310E">
        <w:rPr>
          <w:rFonts w:eastAsia="Calibri" w:cstheme="minorHAnsi"/>
          <w:bCs/>
          <w:color w:val="000000" w:themeColor="text1"/>
          <w:sz w:val="24"/>
          <w:szCs w:val="24"/>
        </w:rPr>
        <w:t>projektů</w:t>
      </w:r>
      <w:r w:rsidR="00B67070" w:rsidRPr="002C310E">
        <w:rPr>
          <w:rFonts w:eastAsia="Calibri" w:cstheme="minorHAnsi"/>
          <w:bCs/>
          <w:color w:val="000000" w:themeColor="text1"/>
          <w:sz w:val="24"/>
          <w:szCs w:val="24"/>
        </w:rPr>
        <w:t xml:space="preserve"> daného roku a</w:t>
      </w:r>
      <w:r w:rsidR="00A20856">
        <w:rPr>
          <w:rFonts w:eastAsia="Calibri" w:cstheme="minorHAnsi"/>
          <w:bCs/>
          <w:color w:val="000000" w:themeColor="text1"/>
          <w:sz w:val="24"/>
          <w:szCs w:val="24"/>
        </w:rPr>
        <w:t> </w:t>
      </w:r>
      <w:r w:rsidR="00B67070" w:rsidRPr="002C310E">
        <w:rPr>
          <w:rFonts w:eastAsia="Calibri" w:cstheme="minorHAnsi"/>
          <w:bCs/>
          <w:color w:val="000000" w:themeColor="text1"/>
          <w:sz w:val="24"/>
          <w:szCs w:val="24"/>
        </w:rPr>
        <w:t xml:space="preserve">stav jejich implementace, nikoliv </w:t>
      </w:r>
      <w:r w:rsidR="00FB09DA" w:rsidRPr="002C310E">
        <w:rPr>
          <w:rFonts w:eastAsia="Calibri" w:cstheme="minorHAnsi"/>
          <w:bCs/>
          <w:color w:val="000000" w:themeColor="text1"/>
          <w:sz w:val="24"/>
          <w:szCs w:val="24"/>
        </w:rPr>
        <w:t xml:space="preserve">vyhodnocení výsledků </w:t>
      </w:r>
      <w:r w:rsidR="00B67070" w:rsidRPr="002C310E">
        <w:rPr>
          <w:rFonts w:eastAsia="Calibri" w:cstheme="minorHAnsi"/>
          <w:bCs/>
          <w:color w:val="000000" w:themeColor="text1"/>
          <w:sz w:val="24"/>
          <w:szCs w:val="24"/>
        </w:rPr>
        <w:t>a </w:t>
      </w:r>
      <w:r w:rsidR="00FB09DA" w:rsidRPr="00A758FF">
        <w:rPr>
          <w:rFonts w:eastAsia="Calibri" w:cstheme="minorHAnsi"/>
          <w:bCs/>
          <w:color w:val="000000" w:themeColor="text1"/>
          <w:sz w:val="24"/>
          <w:szCs w:val="24"/>
        </w:rPr>
        <w:t>dosažených cílů</w:t>
      </w:r>
      <w:r w:rsidR="00AA7960" w:rsidRPr="00A758FF">
        <w:rPr>
          <w:rFonts w:eastAsia="Calibri" w:cstheme="minorHAnsi"/>
          <w:bCs/>
          <w:color w:val="000000" w:themeColor="text1"/>
          <w:sz w:val="24"/>
          <w:szCs w:val="24"/>
        </w:rPr>
        <w:t xml:space="preserve"> </w:t>
      </w:r>
      <w:r w:rsidR="00DA727A" w:rsidRPr="00A758FF">
        <w:rPr>
          <w:rFonts w:eastAsia="Calibri" w:cstheme="minorHAnsi"/>
          <w:bCs/>
          <w:color w:val="000000" w:themeColor="text1"/>
          <w:sz w:val="24"/>
          <w:szCs w:val="24"/>
        </w:rPr>
        <w:t>projektů</w:t>
      </w:r>
      <w:r w:rsidR="00B67070" w:rsidRPr="00A758FF">
        <w:rPr>
          <w:rFonts w:eastAsia="Calibri" w:cstheme="minorHAnsi"/>
          <w:bCs/>
          <w:color w:val="000000" w:themeColor="text1"/>
          <w:sz w:val="24"/>
          <w:szCs w:val="24"/>
        </w:rPr>
        <w:t>.</w:t>
      </w:r>
      <w:r w:rsidR="00271624" w:rsidRPr="00A758FF">
        <w:rPr>
          <w:rFonts w:eastAsia="Calibri" w:cstheme="minorHAnsi"/>
          <w:bCs/>
          <w:color w:val="000000" w:themeColor="text1"/>
          <w:sz w:val="24"/>
          <w:szCs w:val="24"/>
        </w:rPr>
        <w:t xml:space="preserve"> </w:t>
      </w:r>
      <w:r w:rsidR="00017F62">
        <w:rPr>
          <w:rFonts w:eastAsia="Calibri" w:cstheme="minorHAnsi"/>
          <w:bCs/>
          <w:color w:val="000000" w:themeColor="text1"/>
          <w:sz w:val="24"/>
          <w:szCs w:val="24"/>
        </w:rPr>
        <w:t>Ani v</w:t>
      </w:r>
      <w:r w:rsidR="00271624" w:rsidRPr="00A758FF">
        <w:rPr>
          <w:rFonts w:cstheme="minorHAnsi"/>
          <w:sz w:val="24"/>
          <w:szCs w:val="24"/>
          <w:lang w:eastAsia="cs-CZ"/>
        </w:rPr>
        <w:t>láda</w:t>
      </w:r>
      <w:r w:rsidR="00017F62">
        <w:rPr>
          <w:rFonts w:cstheme="minorHAnsi"/>
          <w:sz w:val="24"/>
          <w:szCs w:val="24"/>
          <w:lang w:eastAsia="cs-CZ"/>
        </w:rPr>
        <w:t>, která</w:t>
      </w:r>
      <w:r w:rsidR="00271624" w:rsidRPr="00A758FF">
        <w:rPr>
          <w:rFonts w:cstheme="minorHAnsi"/>
          <w:sz w:val="24"/>
          <w:szCs w:val="24"/>
          <w:lang w:eastAsia="cs-CZ"/>
        </w:rPr>
        <w:t xml:space="preserve"> projekty schvaluje, </w:t>
      </w:r>
      <w:r w:rsidR="00847AE8">
        <w:rPr>
          <w:rFonts w:cstheme="minorHAnsi"/>
          <w:sz w:val="24"/>
          <w:szCs w:val="24"/>
          <w:lang w:eastAsia="cs-CZ"/>
        </w:rPr>
        <w:t>nedostává</w:t>
      </w:r>
      <w:r w:rsidR="00D051D8">
        <w:rPr>
          <w:rFonts w:cstheme="minorHAnsi"/>
          <w:sz w:val="24"/>
          <w:szCs w:val="24"/>
          <w:lang w:eastAsia="cs-CZ"/>
        </w:rPr>
        <w:t xml:space="preserve"> </w:t>
      </w:r>
      <w:r w:rsidR="00271624" w:rsidRPr="00A758FF">
        <w:rPr>
          <w:rFonts w:cstheme="minorHAnsi"/>
          <w:sz w:val="24"/>
          <w:szCs w:val="24"/>
          <w:lang w:eastAsia="cs-CZ"/>
        </w:rPr>
        <w:t>zpětnou vazbu o </w:t>
      </w:r>
      <w:r w:rsidR="00847AE8">
        <w:rPr>
          <w:rFonts w:cstheme="minorHAnsi"/>
          <w:sz w:val="24"/>
          <w:szCs w:val="24"/>
          <w:lang w:eastAsia="cs-CZ"/>
        </w:rPr>
        <w:t>účelnosti a efektivnosti</w:t>
      </w:r>
      <w:r w:rsidR="00D051D8">
        <w:rPr>
          <w:rFonts w:cstheme="minorHAnsi"/>
          <w:sz w:val="24"/>
          <w:szCs w:val="24"/>
          <w:lang w:eastAsia="cs-CZ"/>
        </w:rPr>
        <w:t xml:space="preserve"> jejich realizace</w:t>
      </w:r>
      <w:r w:rsidR="00017F62">
        <w:rPr>
          <w:rFonts w:cstheme="minorHAnsi"/>
          <w:sz w:val="24"/>
          <w:szCs w:val="24"/>
          <w:lang w:eastAsia="cs-CZ"/>
        </w:rPr>
        <w:t xml:space="preserve"> (viz odst. 4.54)</w:t>
      </w:r>
      <w:r w:rsidR="00271624" w:rsidRPr="00A758FF">
        <w:rPr>
          <w:rFonts w:cstheme="minorHAnsi"/>
          <w:sz w:val="24"/>
          <w:szCs w:val="24"/>
          <w:lang w:eastAsia="cs-CZ"/>
        </w:rPr>
        <w:t>.</w:t>
      </w:r>
    </w:p>
    <w:p w14:paraId="4DE07D45" w14:textId="0DAFC2CE" w:rsidR="005F2A68" w:rsidRDefault="00F04DCF" w:rsidP="0063115A">
      <w:pPr>
        <w:spacing w:after="120" w:line="240" w:lineRule="auto"/>
        <w:jc w:val="both"/>
        <w:rPr>
          <w:rFonts w:eastAsia="Calibri" w:cstheme="minorHAnsi"/>
          <w:bCs/>
          <w:color w:val="000000" w:themeColor="text1"/>
          <w:sz w:val="24"/>
          <w:szCs w:val="24"/>
        </w:rPr>
      </w:pPr>
      <w:r w:rsidRPr="00E310A1">
        <w:rPr>
          <w:rFonts w:eastAsia="Calibri" w:cstheme="minorHAnsi"/>
          <w:b/>
          <w:color w:val="000000" w:themeColor="text1"/>
          <w:sz w:val="24"/>
          <w:szCs w:val="24"/>
        </w:rPr>
        <w:t>4.</w:t>
      </w:r>
      <w:r w:rsidR="000B1625" w:rsidRPr="00E310A1">
        <w:rPr>
          <w:rFonts w:eastAsia="Calibri" w:cstheme="minorHAnsi"/>
          <w:b/>
          <w:color w:val="000000" w:themeColor="text1"/>
          <w:sz w:val="24"/>
          <w:szCs w:val="24"/>
        </w:rPr>
        <w:t>59</w:t>
      </w:r>
      <w:r w:rsidRPr="002C310E">
        <w:rPr>
          <w:rFonts w:eastAsia="Calibri" w:cstheme="minorHAnsi"/>
          <w:color w:val="000000" w:themeColor="text1"/>
          <w:sz w:val="24"/>
          <w:szCs w:val="24"/>
        </w:rPr>
        <w:t xml:space="preserve"> </w:t>
      </w:r>
      <w:r w:rsidR="001966DD" w:rsidRPr="002C310E">
        <w:rPr>
          <w:rFonts w:eastAsia="Calibri" w:cstheme="minorHAnsi"/>
          <w:color w:val="000000" w:themeColor="text1"/>
          <w:sz w:val="24"/>
          <w:szCs w:val="24"/>
        </w:rPr>
        <w:t xml:space="preserve">NKÚ zjistil, </w:t>
      </w:r>
      <w:r w:rsidR="001966DD" w:rsidRPr="002C310E">
        <w:rPr>
          <w:rFonts w:eastAsia="Calibri" w:cstheme="minorHAnsi"/>
          <w:bCs/>
          <w:color w:val="000000" w:themeColor="text1"/>
          <w:sz w:val="24"/>
          <w:szCs w:val="24"/>
        </w:rPr>
        <w:t>že MV v Koncepci stanov</w:t>
      </w:r>
      <w:r w:rsidR="008A5AC0" w:rsidRPr="002C310E">
        <w:rPr>
          <w:rFonts w:eastAsia="Calibri" w:cstheme="minorHAnsi"/>
          <w:bCs/>
          <w:color w:val="000000" w:themeColor="text1"/>
          <w:sz w:val="24"/>
          <w:szCs w:val="24"/>
        </w:rPr>
        <w:t>ilo jako jednu z povinností mezi</w:t>
      </w:r>
      <w:r w:rsidR="001966DD" w:rsidRPr="002C310E">
        <w:rPr>
          <w:rFonts w:eastAsia="Calibri" w:cstheme="minorHAnsi"/>
          <w:bCs/>
          <w:color w:val="000000" w:themeColor="text1"/>
          <w:sz w:val="24"/>
          <w:szCs w:val="24"/>
        </w:rPr>
        <w:t>resortní pracovní skupiny evaluovat dopady impl</w:t>
      </w:r>
      <w:r w:rsidRPr="002C310E">
        <w:rPr>
          <w:rFonts w:eastAsia="Calibri" w:cstheme="minorHAnsi"/>
          <w:bCs/>
          <w:color w:val="000000" w:themeColor="text1"/>
          <w:sz w:val="24"/>
          <w:szCs w:val="24"/>
        </w:rPr>
        <w:t xml:space="preserve">ementace jednotlivých projektů. </w:t>
      </w:r>
      <w:r w:rsidR="008A5AC0" w:rsidRPr="002C310E">
        <w:rPr>
          <w:rFonts w:eastAsia="Calibri" w:cstheme="minorHAnsi"/>
          <w:bCs/>
          <w:color w:val="000000" w:themeColor="text1"/>
          <w:sz w:val="24"/>
          <w:szCs w:val="24"/>
        </w:rPr>
        <w:t xml:space="preserve">Ta však </w:t>
      </w:r>
      <w:r w:rsidR="008A5469" w:rsidRPr="002C310E">
        <w:rPr>
          <w:rFonts w:eastAsia="Calibri" w:cstheme="minorHAnsi"/>
          <w:bCs/>
          <w:color w:val="000000" w:themeColor="text1"/>
          <w:sz w:val="24"/>
          <w:szCs w:val="24"/>
        </w:rPr>
        <w:t xml:space="preserve">žádnou </w:t>
      </w:r>
      <w:r w:rsidR="001966DD" w:rsidRPr="002C310E">
        <w:rPr>
          <w:rFonts w:eastAsia="Calibri" w:cstheme="minorHAnsi"/>
          <w:bCs/>
          <w:color w:val="000000" w:themeColor="text1"/>
          <w:sz w:val="24"/>
          <w:szCs w:val="24"/>
        </w:rPr>
        <w:t>evaluaci zatím neprov</w:t>
      </w:r>
      <w:r w:rsidR="008A5AC0" w:rsidRPr="002C310E">
        <w:rPr>
          <w:rFonts w:eastAsia="Calibri" w:cstheme="minorHAnsi"/>
          <w:bCs/>
          <w:color w:val="000000" w:themeColor="text1"/>
          <w:sz w:val="24"/>
          <w:szCs w:val="24"/>
        </w:rPr>
        <w:t>edla</w:t>
      </w:r>
      <w:r w:rsidR="00FD3A32" w:rsidRPr="002C310E">
        <w:rPr>
          <w:rFonts w:eastAsia="Calibri" w:cstheme="minorHAnsi"/>
          <w:bCs/>
          <w:color w:val="000000" w:themeColor="text1"/>
          <w:sz w:val="24"/>
          <w:szCs w:val="24"/>
        </w:rPr>
        <w:t xml:space="preserve">. Důvodem je dle MV skutečnost, že program je realizován pouze </w:t>
      </w:r>
      <w:r w:rsidR="008A5AC0" w:rsidRPr="002C310E">
        <w:rPr>
          <w:rFonts w:eastAsia="Calibri" w:cstheme="minorHAnsi"/>
          <w:bCs/>
          <w:color w:val="000000" w:themeColor="text1"/>
          <w:sz w:val="24"/>
          <w:szCs w:val="24"/>
        </w:rPr>
        <w:t>k</w:t>
      </w:r>
      <w:r w:rsidR="001966DD" w:rsidRPr="002C310E">
        <w:rPr>
          <w:rFonts w:eastAsia="Calibri" w:cstheme="minorHAnsi"/>
          <w:bCs/>
          <w:color w:val="000000" w:themeColor="text1"/>
          <w:sz w:val="24"/>
          <w:szCs w:val="24"/>
        </w:rPr>
        <w:t>rátkou dobu</w:t>
      </w:r>
      <w:r w:rsidR="00FD3A32" w:rsidRPr="002C310E">
        <w:rPr>
          <w:rFonts w:eastAsia="Calibri" w:cstheme="minorHAnsi"/>
          <w:bCs/>
          <w:color w:val="000000" w:themeColor="text1"/>
          <w:sz w:val="24"/>
          <w:szCs w:val="24"/>
        </w:rPr>
        <w:t xml:space="preserve">. </w:t>
      </w:r>
      <w:r w:rsidR="001966DD" w:rsidRPr="002C310E">
        <w:rPr>
          <w:rFonts w:eastAsia="Calibri" w:cstheme="minorHAnsi"/>
          <w:bCs/>
          <w:color w:val="000000" w:themeColor="text1"/>
          <w:sz w:val="24"/>
          <w:szCs w:val="24"/>
        </w:rPr>
        <w:t xml:space="preserve">Podle NKÚ však byl program </w:t>
      </w:r>
      <w:r w:rsidR="001966DD" w:rsidRPr="00222605">
        <w:rPr>
          <w:rFonts w:eastAsia="Calibri" w:cstheme="minorHAnsi"/>
          <w:bCs/>
          <w:color w:val="000000" w:themeColor="text1"/>
          <w:sz w:val="24"/>
          <w:szCs w:val="24"/>
        </w:rPr>
        <w:t>Pomoc na místě</w:t>
      </w:r>
      <w:r w:rsidR="001966DD" w:rsidRPr="002C310E">
        <w:rPr>
          <w:rFonts w:eastAsia="Calibri" w:cstheme="minorHAnsi"/>
          <w:bCs/>
          <w:color w:val="000000" w:themeColor="text1"/>
          <w:sz w:val="24"/>
          <w:szCs w:val="24"/>
        </w:rPr>
        <w:t xml:space="preserve"> </w:t>
      </w:r>
      <w:r w:rsidR="002246A2" w:rsidRPr="002C310E">
        <w:rPr>
          <w:rFonts w:eastAsia="Calibri" w:cstheme="minorHAnsi"/>
          <w:bCs/>
          <w:color w:val="000000" w:themeColor="text1"/>
          <w:sz w:val="24"/>
          <w:szCs w:val="24"/>
        </w:rPr>
        <w:t xml:space="preserve">v době kontroly </w:t>
      </w:r>
      <w:r w:rsidR="001966DD" w:rsidRPr="002C310E">
        <w:rPr>
          <w:rFonts w:eastAsia="Calibri" w:cstheme="minorHAnsi"/>
          <w:bCs/>
          <w:color w:val="000000" w:themeColor="text1"/>
          <w:sz w:val="24"/>
          <w:szCs w:val="24"/>
        </w:rPr>
        <w:t>v realizaci již šestým rokem (od roku 2015), což z hlediska evaluace dopadů realizov</w:t>
      </w:r>
      <w:r w:rsidR="00FD3A32" w:rsidRPr="002C310E">
        <w:rPr>
          <w:rFonts w:eastAsia="Calibri" w:cstheme="minorHAnsi"/>
          <w:bCs/>
          <w:color w:val="000000" w:themeColor="text1"/>
          <w:sz w:val="24"/>
          <w:szCs w:val="24"/>
        </w:rPr>
        <w:t xml:space="preserve">aných projektů NKÚ považuje za </w:t>
      </w:r>
      <w:r w:rsidR="008A5469" w:rsidRPr="002C310E">
        <w:rPr>
          <w:rFonts w:eastAsia="Calibri" w:cstheme="minorHAnsi"/>
          <w:bCs/>
          <w:color w:val="000000" w:themeColor="text1"/>
          <w:sz w:val="24"/>
          <w:szCs w:val="24"/>
        </w:rPr>
        <w:t xml:space="preserve">nedůvodně </w:t>
      </w:r>
      <w:r w:rsidR="001966DD" w:rsidRPr="002C310E">
        <w:rPr>
          <w:rFonts w:eastAsia="Calibri" w:cstheme="minorHAnsi"/>
          <w:bCs/>
          <w:color w:val="000000" w:themeColor="text1"/>
          <w:sz w:val="24"/>
          <w:szCs w:val="24"/>
        </w:rPr>
        <w:t xml:space="preserve">dlouhou dobu bez </w:t>
      </w:r>
      <w:r w:rsidR="002246A2" w:rsidRPr="002C310E">
        <w:rPr>
          <w:rFonts w:eastAsia="Calibri" w:cstheme="minorHAnsi"/>
          <w:bCs/>
          <w:color w:val="000000" w:themeColor="text1"/>
          <w:sz w:val="24"/>
          <w:szCs w:val="24"/>
        </w:rPr>
        <w:t xml:space="preserve">získání </w:t>
      </w:r>
      <w:r w:rsidR="001966DD" w:rsidRPr="002C310E">
        <w:rPr>
          <w:rFonts w:eastAsia="Calibri" w:cstheme="minorHAnsi"/>
          <w:bCs/>
          <w:color w:val="000000" w:themeColor="text1"/>
          <w:sz w:val="24"/>
          <w:szCs w:val="24"/>
        </w:rPr>
        <w:t>zpětné vazby. Pro srovnání lze uvést sedmil</w:t>
      </w:r>
      <w:r w:rsidR="00FD3A32" w:rsidRPr="002C310E">
        <w:rPr>
          <w:rFonts w:eastAsia="Calibri" w:cstheme="minorHAnsi"/>
          <w:bCs/>
          <w:color w:val="000000" w:themeColor="text1"/>
          <w:sz w:val="24"/>
          <w:szCs w:val="24"/>
        </w:rPr>
        <w:t>eté programy spolufinancované z </w:t>
      </w:r>
      <w:r w:rsidR="001966DD" w:rsidRPr="002C310E">
        <w:rPr>
          <w:rFonts w:eastAsia="Calibri" w:cstheme="minorHAnsi"/>
          <w:bCs/>
          <w:color w:val="000000" w:themeColor="text1"/>
          <w:sz w:val="24"/>
          <w:szCs w:val="24"/>
        </w:rPr>
        <w:t>fondů EU</w:t>
      </w:r>
      <w:r w:rsidRPr="002C310E">
        <w:rPr>
          <w:rFonts w:eastAsia="Calibri" w:cstheme="minorHAnsi"/>
          <w:bCs/>
          <w:color w:val="000000" w:themeColor="text1"/>
          <w:sz w:val="24"/>
          <w:szCs w:val="24"/>
        </w:rPr>
        <w:t xml:space="preserve">, </w:t>
      </w:r>
      <w:r w:rsidR="001966DD" w:rsidRPr="002C310E">
        <w:rPr>
          <w:rFonts w:eastAsia="Calibri" w:cstheme="minorHAnsi"/>
          <w:bCs/>
          <w:color w:val="000000" w:themeColor="text1"/>
          <w:sz w:val="24"/>
          <w:szCs w:val="24"/>
        </w:rPr>
        <w:t>kde je nastaveno provádění evaluací v polovině a na konci programového období, tj. vždy po 3,5 letech realizace program</w:t>
      </w:r>
      <w:r w:rsidRPr="002C310E">
        <w:rPr>
          <w:rFonts w:eastAsia="Calibri" w:cstheme="minorHAnsi"/>
          <w:bCs/>
          <w:color w:val="000000" w:themeColor="text1"/>
          <w:sz w:val="24"/>
          <w:szCs w:val="24"/>
        </w:rPr>
        <w:t>u</w:t>
      </w:r>
      <w:r w:rsidR="001966DD" w:rsidRPr="002C310E">
        <w:rPr>
          <w:rFonts w:eastAsia="Calibri" w:cstheme="minorHAnsi"/>
          <w:bCs/>
          <w:color w:val="000000" w:themeColor="text1"/>
          <w:sz w:val="24"/>
          <w:szCs w:val="24"/>
        </w:rPr>
        <w:t>.</w:t>
      </w:r>
      <w:r w:rsidRPr="002C310E">
        <w:rPr>
          <w:rFonts w:eastAsia="Calibri" w:cstheme="minorHAnsi"/>
          <w:bCs/>
          <w:color w:val="000000" w:themeColor="text1"/>
          <w:sz w:val="24"/>
          <w:szCs w:val="24"/>
        </w:rPr>
        <w:t xml:space="preserve"> </w:t>
      </w:r>
    </w:p>
    <w:p w14:paraId="38329F27" w14:textId="77777777" w:rsidR="00CF5C3E" w:rsidRDefault="00CF5C3E">
      <w:pPr>
        <w:rPr>
          <w:rFonts w:eastAsia="Calibri" w:cstheme="minorHAnsi"/>
          <w:bCs/>
          <w:color w:val="000000" w:themeColor="text1"/>
          <w:sz w:val="24"/>
          <w:szCs w:val="24"/>
        </w:rPr>
      </w:pPr>
      <w:r>
        <w:rPr>
          <w:rFonts w:eastAsia="Calibri" w:cstheme="minorHAnsi"/>
          <w:bCs/>
          <w:color w:val="000000" w:themeColor="text1"/>
          <w:sz w:val="24"/>
          <w:szCs w:val="24"/>
        </w:rPr>
        <w:br w:type="page"/>
      </w:r>
    </w:p>
    <w:p w14:paraId="091061E7" w14:textId="20C53104" w:rsidR="00772803" w:rsidRPr="002C310E" w:rsidRDefault="00F04DCF" w:rsidP="0068267D">
      <w:pPr>
        <w:pStyle w:val="Nadpis1"/>
        <w:keepLines w:val="0"/>
        <w:spacing w:before="0" w:after="120" w:line="240" w:lineRule="auto"/>
        <w:rPr>
          <w:rFonts w:asciiTheme="minorHAnsi" w:hAnsiTheme="minorHAnsi" w:cstheme="minorHAnsi"/>
          <w:b/>
          <w:color w:val="auto"/>
          <w:sz w:val="24"/>
          <w:szCs w:val="24"/>
        </w:rPr>
      </w:pPr>
      <w:r w:rsidRPr="002C310E">
        <w:rPr>
          <w:rFonts w:asciiTheme="minorHAnsi" w:hAnsiTheme="minorHAnsi" w:cstheme="minorHAnsi"/>
          <w:b/>
          <w:color w:val="auto"/>
          <w:sz w:val="24"/>
          <w:szCs w:val="24"/>
        </w:rPr>
        <w:lastRenderedPageBreak/>
        <w:t>Seznam zkratek</w:t>
      </w:r>
    </w:p>
    <w:p w14:paraId="5488A060" w14:textId="65AFA050" w:rsidR="00772803"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 xml:space="preserve">ČR </w:t>
      </w:r>
      <w:r w:rsidRPr="002C310E">
        <w:rPr>
          <w:rFonts w:cstheme="minorHAnsi"/>
          <w:color w:val="000000" w:themeColor="text1"/>
          <w:sz w:val="24"/>
          <w:szCs w:val="24"/>
        </w:rPr>
        <w:tab/>
        <w:t xml:space="preserve">Česká republika </w:t>
      </w:r>
    </w:p>
    <w:p w14:paraId="187D6B54" w14:textId="0476D66E" w:rsidR="00717999"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EK</w:t>
      </w:r>
      <w:r w:rsidRPr="002C310E">
        <w:rPr>
          <w:rFonts w:cstheme="minorHAnsi"/>
          <w:color w:val="000000" w:themeColor="text1"/>
          <w:sz w:val="24"/>
          <w:szCs w:val="24"/>
        </w:rPr>
        <w:tab/>
        <w:t>Evropská komise</w:t>
      </w:r>
    </w:p>
    <w:p w14:paraId="1E8B30F0" w14:textId="7A1C4EC1" w:rsidR="00772803"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EU</w:t>
      </w:r>
      <w:r w:rsidRPr="002C310E">
        <w:rPr>
          <w:rFonts w:cstheme="minorHAnsi"/>
          <w:color w:val="000000" w:themeColor="text1"/>
          <w:sz w:val="24"/>
          <w:szCs w:val="24"/>
        </w:rPr>
        <w:tab/>
        <w:t xml:space="preserve">Evropská unie </w:t>
      </w:r>
    </w:p>
    <w:p w14:paraId="5CE11C3C" w14:textId="7C19B4FD" w:rsidR="00772803"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integrační plány</w:t>
      </w:r>
      <w:r w:rsidRPr="002C310E">
        <w:rPr>
          <w:rFonts w:cstheme="minorHAnsi"/>
          <w:color w:val="000000" w:themeColor="text1"/>
          <w:sz w:val="24"/>
          <w:szCs w:val="24"/>
        </w:rPr>
        <w:tab/>
        <w:t>individuální integrační plány držitelů mezinárodní ochrany</w:t>
      </w:r>
    </w:p>
    <w:p w14:paraId="43051AB7" w14:textId="392EBB3B" w:rsidR="00D063A8"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KIC</w:t>
      </w:r>
      <w:r w:rsidR="00717999" w:rsidRPr="002C310E">
        <w:rPr>
          <w:rFonts w:cstheme="minorHAnsi"/>
          <w:color w:val="000000" w:themeColor="text1"/>
          <w:sz w:val="24"/>
          <w:szCs w:val="24"/>
        </w:rPr>
        <w:tab/>
      </w:r>
      <w:r w:rsidR="00717999" w:rsidRPr="0066166F">
        <w:rPr>
          <w:rFonts w:cstheme="minorHAnsi"/>
          <w:i/>
          <w:color w:val="000000" w:themeColor="text1"/>
          <w:sz w:val="24"/>
          <w:szCs w:val="24"/>
        </w:rPr>
        <w:t>Koncepce integrace cizinců – Ve vzájemném respektu</w:t>
      </w:r>
    </w:p>
    <w:p w14:paraId="35DEAE0E" w14:textId="13803A1B" w:rsidR="00675E32" w:rsidRPr="002C310E" w:rsidRDefault="00F04DCF" w:rsidP="0068267D">
      <w:pPr>
        <w:keepNext/>
        <w:tabs>
          <w:tab w:val="left" w:pos="284"/>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Koncepce</w:t>
      </w:r>
      <w:r w:rsidR="00717999" w:rsidRPr="002C310E">
        <w:rPr>
          <w:rFonts w:cstheme="minorHAnsi"/>
          <w:color w:val="000000" w:themeColor="text1"/>
          <w:sz w:val="24"/>
          <w:szCs w:val="24"/>
        </w:rPr>
        <w:tab/>
      </w:r>
      <w:r w:rsidR="00717999" w:rsidRPr="0066166F">
        <w:rPr>
          <w:rFonts w:cstheme="minorHAnsi"/>
          <w:i/>
          <w:color w:val="000000" w:themeColor="text1"/>
          <w:sz w:val="24"/>
          <w:szCs w:val="24"/>
        </w:rPr>
        <w:t>Koncepce Ministerstva vnitra pro asistenci uprchlíkům a státům pod silnými migračními tlaky</w:t>
      </w:r>
    </w:p>
    <w:p w14:paraId="3AC8252E" w14:textId="77777777" w:rsidR="00675E32" w:rsidRPr="002C310E" w:rsidRDefault="00F04DCF" w:rsidP="0068267D">
      <w:pPr>
        <w:keepNext/>
        <w:tabs>
          <w:tab w:val="left" w:pos="284"/>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kontrolované programy</w:t>
      </w:r>
      <w:r w:rsidRPr="002C310E">
        <w:rPr>
          <w:rFonts w:cstheme="minorHAnsi"/>
          <w:color w:val="000000" w:themeColor="text1"/>
          <w:sz w:val="24"/>
          <w:szCs w:val="24"/>
        </w:rPr>
        <w:tab/>
      </w:r>
      <w:r w:rsidRPr="0066166F">
        <w:rPr>
          <w:rFonts w:cstheme="minorHAnsi"/>
          <w:i/>
          <w:color w:val="000000" w:themeColor="text1"/>
          <w:sz w:val="24"/>
          <w:szCs w:val="24"/>
        </w:rPr>
        <w:t>Národní program – Fond pro vnitřní bezpečnost</w:t>
      </w:r>
      <w:r w:rsidRPr="002C310E">
        <w:rPr>
          <w:rFonts w:cstheme="minorHAnsi"/>
          <w:color w:val="000000" w:themeColor="text1"/>
          <w:sz w:val="24"/>
          <w:szCs w:val="24"/>
        </w:rPr>
        <w:t xml:space="preserve"> – část </w:t>
      </w:r>
      <w:r w:rsidRPr="0066166F">
        <w:rPr>
          <w:rFonts w:cstheme="minorHAnsi"/>
          <w:i/>
          <w:color w:val="000000" w:themeColor="text1"/>
          <w:sz w:val="24"/>
          <w:szCs w:val="24"/>
        </w:rPr>
        <w:t>Hranice</w:t>
      </w:r>
      <w:r w:rsidRPr="002C310E">
        <w:rPr>
          <w:rFonts w:cstheme="minorHAnsi"/>
          <w:color w:val="000000" w:themeColor="text1"/>
          <w:sz w:val="24"/>
          <w:szCs w:val="24"/>
        </w:rPr>
        <w:t xml:space="preserve">, </w:t>
      </w:r>
      <w:r w:rsidRPr="0066166F">
        <w:rPr>
          <w:rFonts w:cstheme="minorHAnsi"/>
          <w:i/>
          <w:color w:val="000000" w:themeColor="text1"/>
          <w:sz w:val="24"/>
          <w:szCs w:val="24"/>
        </w:rPr>
        <w:t>Národní program – Azylový, migrační a integrační fond</w:t>
      </w:r>
      <w:r w:rsidRPr="002C310E">
        <w:rPr>
          <w:rFonts w:cstheme="minorHAnsi"/>
          <w:color w:val="000000" w:themeColor="text1"/>
          <w:sz w:val="24"/>
          <w:szCs w:val="24"/>
        </w:rPr>
        <w:t xml:space="preserve">, </w:t>
      </w:r>
      <w:r w:rsidRPr="0066166F">
        <w:rPr>
          <w:rFonts w:cstheme="minorHAnsi"/>
          <w:i/>
          <w:color w:val="000000" w:themeColor="text1"/>
          <w:sz w:val="24"/>
          <w:szCs w:val="24"/>
        </w:rPr>
        <w:t>Státní integrační program</w:t>
      </w:r>
      <w:r w:rsidRPr="002C310E">
        <w:rPr>
          <w:rFonts w:cstheme="minorHAnsi"/>
          <w:color w:val="000000" w:themeColor="text1"/>
          <w:sz w:val="24"/>
          <w:szCs w:val="24"/>
        </w:rPr>
        <w:t xml:space="preserve">, </w:t>
      </w:r>
      <w:r w:rsidRPr="0066166F">
        <w:rPr>
          <w:rFonts w:cstheme="minorHAnsi"/>
          <w:i/>
          <w:color w:val="000000" w:themeColor="text1"/>
          <w:sz w:val="24"/>
          <w:szCs w:val="24"/>
        </w:rPr>
        <w:t>Program Ministerstva vnitra na asistenci uprchlíkům v regionech původu a prevenci velkých migračních pohybů</w:t>
      </w:r>
    </w:p>
    <w:p w14:paraId="2B47243D" w14:textId="18CB12B8" w:rsidR="00717999"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MV</w:t>
      </w:r>
      <w:r w:rsidRPr="002C310E">
        <w:rPr>
          <w:rFonts w:cstheme="minorHAnsi"/>
          <w:color w:val="000000" w:themeColor="text1"/>
          <w:sz w:val="24"/>
          <w:szCs w:val="24"/>
        </w:rPr>
        <w:tab/>
        <w:t>Ministerstvo vnitra</w:t>
      </w:r>
    </w:p>
    <w:p w14:paraId="6345F96C" w14:textId="1ECB07FD" w:rsidR="00717999"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NKÚ</w:t>
      </w:r>
      <w:r w:rsidRPr="002C310E">
        <w:rPr>
          <w:rFonts w:cstheme="minorHAnsi"/>
          <w:color w:val="000000" w:themeColor="text1"/>
          <w:sz w:val="24"/>
          <w:szCs w:val="24"/>
        </w:rPr>
        <w:tab/>
        <w:t>Nejvyšší kontrolní úřad</w:t>
      </w:r>
    </w:p>
    <w:p w14:paraId="0E7E8618" w14:textId="7317FA39" w:rsidR="00717999"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NP AMIF</w:t>
      </w:r>
      <w:r w:rsidRPr="002C310E">
        <w:rPr>
          <w:rFonts w:cstheme="minorHAnsi"/>
          <w:color w:val="000000" w:themeColor="text1"/>
          <w:sz w:val="24"/>
          <w:szCs w:val="24"/>
        </w:rPr>
        <w:tab/>
      </w:r>
      <w:r w:rsidRPr="0066166F">
        <w:rPr>
          <w:rFonts w:cstheme="minorHAnsi"/>
          <w:i/>
          <w:color w:val="000000" w:themeColor="text1"/>
          <w:sz w:val="24"/>
          <w:szCs w:val="24"/>
        </w:rPr>
        <w:t>Národní program – Azylový, migrační a integrační fond</w:t>
      </w:r>
    </w:p>
    <w:p w14:paraId="26EB02BD" w14:textId="1EF1AC82" w:rsidR="00717999"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NP ISF</w:t>
      </w:r>
      <w:r w:rsidRPr="002C310E">
        <w:rPr>
          <w:rFonts w:cstheme="minorHAnsi"/>
          <w:color w:val="000000" w:themeColor="text1"/>
          <w:sz w:val="24"/>
          <w:szCs w:val="24"/>
        </w:rPr>
        <w:tab/>
      </w:r>
      <w:r w:rsidRPr="0066166F">
        <w:rPr>
          <w:rFonts w:cstheme="minorHAnsi"/>
          <w:i/>
          <w:color w:val="000000" w:themeColor="text1"/>
          <w:sz w:val="24"/>
          <w:szCs w:val="24"/>
        </w:rPr>
        <w:t>Národní program – Fond pro vnitřní bezpečnost</w:t>
      </w:r>
    </w:p>
    <w:p w14:paraId="20D4D318" w14:textId="107387B3" w:rsidR="00717999"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NSP2014</w:t>
      </w:r>
      <w:r w:rsidRPr="002C310E">
        <w:rPr>
          <w:rFonts w:cstheme="minorHAnsi"/>
          <w:color w:val="000000" w:themeColor="text1"/>
          <w:sz w:val="24"/>
          <w:szCs w:val="24"/>
        </w:rPr>
        <w:tab/>
        <w:t>Národní schengenský plán 2014</w:t>
      </w:r>
    </w:p>
    <w:p w14:paraId="1FB30FAB" w14:textId="02347A56" w:rsidR="00717999" w:rsidRPr="002C310E" w:rsidRDefault="00F04DCF" w:rsidP="0068267D">
      <w:pPr>
        <w:keepNext/>
        <w:tabs>
          <w:tab w:val="left" w:pos="284"/>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program Pomoc na místě</w:t>
      </w:r>
      <w:r w:rsidRPr="002C310E">
        <w:rPr>
          <w:rFonts w:cstheme="minorHAnsi"/>
          <w:color w:val="000000" w:themeColor="text1"/>
          <w:sz w:val="24"/>
          <w:szCs w:val="24"/>
        </w:rPr>
        <w:tab/>
      </w:r>
      <w:r w:rsidRPr="0066166F">
        <w:rPr>
          <w:rFonts w:cstheme="minorHAnsi"/>
          <w:i/>
          <w:color w:val="000000" w:themeColor="text1"/>
          <w:sz w:val="24"/>
          <w:szCs w:val="24"/>
        </w:rPr>
        <w:t>Program Ministerstva vnitra na asistenci uprchlíkům v</w:t>
      </w:r>
      <w:r w:rsidR="0068267D" w:rsidRPr="0066166F">
        <w:rPr>
          <w:rFonts w:cstheme="minorHAnsi"/>
          <w:i/>
          <w:color w:val="000000" w:themeColor="text1"/>
          <w:sz w:val="24"/>
          <w:szCs w:val="24"/>
        </w:rPr>
        <w:t> </w:t>
      </w:r>
      <w:r w:rsidRPr="0066166F">
        <w:rPr>
          <w:rFonts w:cstheme="minorHAnsi"/>
          <w:i/>
          <w:color w:val="000000" w:themeColor="text1"/>
          <w:sz w:val="24"/>
          <w:szCs w:val="24"/>
        </w:rPr>
        <w:t>regionech původu a prevenci velkých migračních pohybů</w:t>
      </w:r>
    </w:p>
    <w:p w14:paraId="336CE5B1" w14:textId="77777777" w:rsidR="00675E32"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schengenská spolupráce</w:t>
      </w:r>
      <w:r w:rsidRPr="002C310E">
        <w:rPr>
          <w:rFonts w:cstheme="minorHAnsi"/>
          <w:color w:val="000000" w:themeColor="text1"/>
          <w:sz w:val="24"/>
          <w:szCs w:val="24"/>
        </w:rPr>
        <w:tab/>
        <w:t>volný pohyb osob v Evropské unii a schengenská spolupráce</w:t>
      </w:r>
    </w:p>
    <w:p w14:paraId="73B49795" w14:textId="1C911B1B" w:rsidR="00717999"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SIP</w:t>
      </w:r>
      <w:r w:rsidRPr="002C310E">
        <w:rPr>
          <w:rFonts w:cstheme="minorHAnsi"/>
          <w:color w:val="000000" w:themeColor="text1"/>
          <w:sz w:val="24"/>
          <w:szCs w:val="24"/>
        </w:rPr>
        <w:tab/>
      </w:r>
      <w:r w:rsidRPr="0066166F">
        <w:rPr>
          <w:rFonts w:cstheme="minorHAnsi"/>
          <w:i/>
          <w:color w:val="000000" w:themeColor="text1"/>
          <w:sz w:val="24"/>
          <w:szCs w:val="24"/>
        </w:rPr>
        <w:t>Státní integrační program</w:t>
      </w:r>
    </w:p>
    <w:p w14:paraId="722818A0" w14:textId="2F27EFEB" w:rsidR="004E0960"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SR</w:t>
      </w:r>
      <w:r w:rsidRPr="002C310E">
        <w:rPr>
          <w:rFonts w:cstheme="minorHAnsi"/>
          <w:color w:val="000000" w:themeColor="text1"/>
          <w:sz w:val="24"/>
          <w:szCs w:val="24"/>
        </w:rPr>
        <w:tab/>
        <w:t>státní rozpočet</w:t>
      </w:r>
    </w:p>
    <w:p w14:paraId="0745A8BE" w14:textId="6BEE287D" w:rsidR="00D063A8"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Pr>
          <w:rFonts w:cstheme="minorHAnsi"/>
          <w:color w:val="000000" w:themeColor="text1"/>
          <w:sz w:val="24"/>
          <w:szCs w:val="24"/>
        </w:rPr>
        <w:t>Strategie</w:t>
      </w:r>
      <w:r>
        <w:rPr>
          <w:rFonts w:cstheme="minorHAnsi"/>
          <w:color w:val="000000" w:themeColor="text1"/>
          <w:sz w:val="24"/>
          <w:szCs w:val="24"/>
        </w:rPr>
        <w:tab/>
      </w:r>
      <w:r w:rsidRPr="0066166F">
        <w:rPr>
          <w:rFonts w:cstheme="minorHAnsi"/>
          <w:i/>
          <w:color w:val="000000" w:themeColor="text1"/>
          <w:sz w:val="24"/>
          <w:szCs w:val="24"/>
        </w:rPr>
        <w:t>Strategie migrační politiky České republiky</w:t>
      </w:r>
    </w:p>
    <w:p w14:paraId="166722D2" w14:textId="369190E5" w:rsidR="00675E32"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SUZ MV</w:t>
      </w:r>
      <w:r w:rsidRPr="002C310E">
        <w:rPr>
          <w:rFonts w:cstheme="minorHAnsi"/>
          <w:color w:val="000000" w:themeColor="text1"/>
          <w:sz w:val="24"/>
          <w:szCs w:val="24"/>
        </w:rPr>
        <w:tab/>
        <w:t>Správa uprchlických zařízení Ministerstva vnitra</w:t>
      </w:r>
    </w:p>
    <w:p w14:paraId="0DAF82B2" w14:textId="4576A70B" w:rsidR="00675E32"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vnější migrace</w:t>
      </w:r>
      <w:r w:rsidRPr="002C310E">
        <w:rPr>
          <w:rFonts w:cstheme="minorHAnsi"/>
          <w:color w:val="000000" w:themeColor="text1"/>
          <w:sz w:val="24"/>
          <w:szCs w:val="24"/>
        </w:rPr>
        <w:tab/>
        <w:t>vnější dimenze migrační politiky</w:t>
      </w:r>
    </w:p>
    <w:p w14:paraId="2135A72E" w14:textId="77777777" w:rsidR="00D063A8" w:rsidRPr="002C310E"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vybrané integrační plány</w:t>
      </w:r>
      <w:r w:rsidRPr="002C310E">
        <w:rPr>
          <w:rFonts w:cstheme="minorHAnsi"/>
          <w:color w:val="000000" w:themeColor="text1"/>
          <w:sz w:val="24"/>
          <w:szCs w:val="24"/>
        </w:rPr>
        <w:tab/>
        <w:t>vzorek 39 integračních plánů vybraných ke kontrole NKÚ</w:t>
      </w:r>
    </w:p>
    <w:p w14:paraId="225B5240" w14:textId="230B8948" w:rsidR="004F0F17" w:rsidRDefault="00F04DCF" w:rsidP="0068267D">
      <w:pPr>
        <w:keepNext/>
        <w:tabs>
          <w:tab w:val="left" w:pos="2835"/>
        </w:tabs>
        <w:spacing w:after="120" w:line="240" w:lineRule="auto"/>
        <w:ind w:left="2835" w:hanging="2835"/>
        <w:rPr>
          <w:rFonts w:cstheme="minorHAnsi"/>
          <w:color w:val="000000" w:themeColor="text1"/>
          <w:sz w:val="24"/>
          <w:szCs w:val="24"/>
        </w:rPr>
      </w:pPr>
      <w:r w:rsidRPr="002C310E">
        <w:rPr>
          <w:rFonts w:cstheme="minorHAnsi"/>
          <w:color w:val="000000" w:themeColor="text1"/>
          <w:sz w:val="24"/>
          <w:szCs w:val="24"/>
        </w:rPr>
        <w:t>vybrané projekty</w:t>
      </w:r>
      <w:r w:rsidRPr="002C310E">
        <w:rPr>
          <w:rFonts w:cstheme="minorHAnsi"/>
          <w:color w:val="000000" w:themeColor="text1"/>
          <w:sz w:val="24"/>
          <w:szCs w:val="24"/>
        </w:rPr>
        <w:tab/>
        <w:t xml:space="preserve">vzorek </w:t>
      </w:r>
      <w:r w:rsidR="004E0960" w:rsidRPr="002C310E">
        <w:rPr>
          <w:rFonts w:cstheme="minorHAnsi"/>
          <w:color w:val="000000" w:themeColor="text1"/>
          <w:sz w:val="24"/>
          <w:szCs w:val="24"/>
        </w:rPr>
        <w:t>33</w:t>
      </w:r>
      <w:r w:rsidRPr="002C310E">
        <w:rPr>
          <w:rFonts w:cstheme="minorHAnsi"/>
          <w:color w:val="000000" w:themeColor="text1"/>
          <w:sz w:val="24"/>
          <w:szCs w:val="24"/>
        </w:rPr>
        <w:t xml:space="preserve"> projektů vybraných ke kontrole NKÚ</w:t>
      </w:r>
    </w:p>
    <w:p w14:paraId="246F201E" w14:textId="77777777" w:rsidR="004F0F17" w:rsidRDefault="00F04DCF">
      <w:pPr>
        <w:rPr>
          <w:rFonts w:cstheme="minorHAnsi"/>
          <w:color w:val="000000" w:themeColor="text1"/>
          <w:sz w:val="24"/>
          <w:szCs w:val="24"/>
        </w:rPr>
      </w:pPr>
      <w:r>
        <w:rPr>
          <w:rFonts w:cstheme="minorHAnsi"/>
          <w:color w:val="000000" w:themeColor="text1"/>
          <w:sz w:val="24"/>
          <w:szCs w:val="24"/>
        </w:rPr>
        <w:br w:type="page"/>
      </w:r>
    </w:p>
    <w:p w14:paraId="05EE044C" w14:textId="77777777" w:rsidR="004D32C2" w:rsidRPr="002C310E" w:rsidRDefault="00F04DCF" w:rsidP="00E97BCB">
      <w:pPr>
        <w:pStyle w:val="Nadpis1"/>
        <w:spacing w:before="0" w:after="120" w:line="240" w:lineRule="auto"/>
        <w:jc w:val="right"/>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P</w:t>
      </w:r>
      <w:r w:rsidRPr="002C310E">
        <w:rPr>
          <w:rFonts w:asciiTheme="minorHAnsi" w:hAnsiTheme="minorHAnsi" w:cstheme="minorHAnsi"/>
          <w:b/>
          <w:color w:val="auto"/>
          <w:sz w:val="24"/>
          <w:szCs w:val="24"/>
        </w:rPr>
        <w:t>říloha č. 1</w:t>
      </w:r>
    </w:p>
    <w:p w14:paraId="1727920E" w14:textId="1A213CDA" w:rsidR="00E97BCB" w:rsidRPr="002C310E" w:rsidRDefault="00F04DCF" w:rsidP="004D32C2">
      <w:pPr>
        <w:tabs>
          <w:tab w:val="right" w:pos="9072"/>
        </w:tabs>
        <w:spacing w:after="40" w:line="240" w:lineRule="auto"/>
        <w:rPr>
          <w:rFonts w:eastAsia="Calibri" w:cstheme="minorHAnsi"/>
          <w:b/>
          <w:sz w:val="24"/>
          <w:szCs w:val="24"/>
        </w:rPr>
      </w:pPr>
      <w:r w:rsidRPr="002C310E">
        <w:rPr>
          <w:rFonts w:eastAsia="Calibri" w:cstheme="minorHAnsi"/>
          <w:b/>
          <w:sz w:val="24"/>
          <w:szCs w:val="24"/>
        </w:rPr>
        <w:t>Výdaje čerp</w:t>
      </w:r>
      <w:r w:rsidR="00054A41">
        <w:rPr>
          <w:rFonts w:eastAsia="Calibri" w:cstheme="minorHAnsi"/>
          <w:b/>
          <w:sz w:val="24"/>
          <w:szCs w:val="24"/>
        </w:rPr>
        <w:t xml:space="preserve">ané z rozpočtové kapitoly 314 </w:t>
      </w:r>
      <w:r w:rsidR="00054A41" w:rsidRPr="002C310E">
        <w:rPr>
          <w:rFonts w:eastAsia="Calibri" w:cstheme="minorHAnsi"/>
          <w:b/>
          <w:i/>
          <w:sz w:val="24"/>
          <w:szCs w:val="24"/>
        </w:rPr>
        <w:t>–</w:t>
      </w:r>
      <w:r w:rsidRPr="002C310E">
        <w:rPr>
          <w:rFonts w:eastAsia="Calibri" w:cstheme="minorHAnsi"/>
          <w:b/>
          <w:sz w:val="24"/>
          <w:szCs w:val="24"/>
        </w:rPr>
        <w:t xml:space="preserve"> </w:t>
      </w:r>
      <w:r w:rsidRPr="002C310E">
        <w:rPr>
          <w:rFonts w:eastAsia="Calibri" w:cstheme="minorHAnsi"/>
          <w:b/>
          <w:i/>
          <w:sz w:val="24"/>
          <w:szCs w:val="24"/>
        </w:rPr>
        <w:t>Ministerstvo vnitra</w:t>
      </w:r>
      <w:r w:rsidRPr="002C310E">
        <w:rPr>
          <w:rFonts w:eastAsia="Calibri" w:cstheme="minorHAnsi"/>
          <w:b/>
          <w:sz w:val="24"/>
          <w:szCs w:val="24"/>
        </w:rPr>
        <w:t xml:space="preserve"> na migrační politiku</w:t>
      </w:r>
    </w:p>
    <w:p w14:paraId="641AF0A3" w14:textId="77777777" w:rsidR="004D32C2" w:rsidRPr="002C310E" w:rsidRDefault="00F04DCF" w:rsidP="004D32C2">
      <w:pPr>
        <w:tabs>
          <w:tab w:val="right" w:pos="9072"/>
        </w:tabs>
        <w:spacing w:after="40" w:line="240" w:lineRule="auto"/>
        <w:rPr>
          <w:rFonts w:cstheme="minorHAnsi"/>
          <w:b/>
          <w:sz w:val="24"/>
        </w:rPr>
      </w:pPr>
      <w:r w:rsidRPr="002C310E">
        <w:rPr>
          <w:rFonts w:cstheme="minorHAnsi"/>
          <w:b/>
        </w:rPr>
        <w:tab/>
        <w:t>(</w:t>
      </w:r>
      <w:r w:rsidRPr="002C310E">
        <w:rPr>
          <w:rFonts w:cstheme="minorHAnsi"/>
          <w:b/>
          <w:sz w:val="24"/>
        </w:rPr>
        <w:t>v tis. Kč)</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3"/>
        <w:gridCol w:w="1170"/>
        <w:gridCol w:w="1170"/>
        <w:gridCol w:w="1170"/>
        <w:gridCol w:w="1170"/>
      </w:tblGrid>
      <w:tr w:rsidR="00C72C9E" w14:paraId="4D188243" w14:textId="77777777" w:rsidTr="00395EBF">
        <w:trPr>
          <w:trHeight w:val="255"/>
        </w:trPr>
        <w:tc>
          <w:tcPr>
            <w:tcW w:w="4503" w:type="dxa"/>
            <w:shd w:val="clear" w:color="auto" w:fill="E5F1FF"/>
            <w:tcMar>
              <w:top w:w="0" w:type="dxa"/>
              <w:left w:w="108" w:type="dxa"/>
              <w:bottom w:w="0" w:type="dxa"/>
              <w:right w:w="108" w:type="dxa"/>
            </w:tcMar>
            <w:vAlign w:val="center"/>
            <w:hideMark/>
          </w:tcPr>
          <w:p w14:paraId="788E76FA"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Rok</w:t>
            </w:r>
          </w:p>
        </w:tc>
        <w:tc>
          <w:tcPr>
            <w:tcW w:w="1170" w:type="dxa"/>
            <w:shd w:val="clear" w:color="auto" w:fill="E5F1FF"/>
            <w:tcMar>
              <w:top w:w="0" w:type="dxa"/>
              <w:left w:w="108" w:type="dxa"/>
              <w:bottom w:w="0" w:type="dxa"/>
              <w:right w:w="108" w:type="dxa"/>
            </w:tcMar>
            <w:vAlign w:val="center"/>
            <w:hideMark/>
          </w:tcPr>
          <w:p w14:paraId="0C7745E4"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2017</w:t>
            </w:r>
          </w:p>
        </w:tc>
        <w:tc>
          <w:tcPr>
            <w:tcW w:w="1170" w:type="dxa"/>
            <w:shd w:val="clear" w:color="auto" w:fill="E5F1FF"/>
            <w:tcMar>
              <w:top w:w="0" w:type="dxa"/>
              <w:left w:w="108" w:type="dxa"/>
              <w:bottom w:w="0" w:type="dxa"/>
              <w:right w:w="108" w:type="dxa"/>
            </w:tcMar>
            <w:vAlign w:val="center"/>
            <w:hideMark/>
          </w:tcPr>
          <w:p w14:paraId="56C0F30D"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2018</w:t>
            </w:r>
          </w:p>
        </w:tc>
        <w:tc>
          <w:tcPr>
            <w:tcW w:w="1170" w:type="dxa"/>
            <w:shd w:val="clear" w:color="auto" w:fill="E5F1FF"/>
            <w:tcMar>
              <w:top w:w="0" w:type="dxa"/>
              <w:left w:w="108" w:type="dxa"/>
              <w:bottom w:w="0" w:type="dxa"/>
              <w:right w:w="108" w:type="dxa"/>
            </w:tcMar>
            <w:vAlign w:val="center"/>
            <w:hideMark/>
          </w:tcPr>
          <w:p w14:paraId="43390E8B"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2019</w:t>
            </w:r>
          </w:p>
        </w:tc>
        <w:tc>
          <w:tcPr>
            <w:tcW w:w="1170" w:type="dxa"/>
            <w:shd w:val="clear" w:color="auto" w:fill="E5F1FF"/>
            <w:vAlign w:val="center"/>
          </w:tcPr>
          <w:p w14:paraId="7EEFB5A5"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Celkem</w:t>
            </w:r>
          </w:p>
        </w:tc>
      </w:tr>
      <w:tr w:rsidR="00C72C9E" w14:paraId="39445D3D" w14:textId="77777777" w:rsidTr="00395EBF">
        <w:trPr>
          <w:trHeight w:val="255"/>
        </w:trPr>
        <w:tc>
          <w:tcPr>
            <w:tcW w:w="4503" w:type="dxa"/>
            <w:shd w:val="clear" w:color="auto" w:fill="auto"/>
            <w:tcMar>
              <w:top w:w="0" w:type="dxa"/>
              <w:left w:w="108" w:type="dxa"/>
              <w:bottom w:w="0" w:type="dxa"/>
              <w:right w:w="108" w:type="dxa"/>
            </w:tcMar>
            <w:vAlign w:val="center"/>
            <w:hideMark/>
          </w:tcPr>
          <w:p w14:paraId="404A1FFA" w14:textId="77777777" w:rsidR="004D32C2" w:rsidRPr="002C310E" w:rsidRDefault="00F04DCF" w:rsidP="004D32C2">
            <w:pPr>
              <w:spacing w:after="0" w:line="240" w:lineRule="auto"/>
              <w:rPr>
                <w:rFonts w:eastAsia="Calibri" w:cstheme="minorHAnsi"/>
              </w:rPr>
            </w:pPr>
            <w:r w:rsidRPr="002C310E">
              <w:rPr>
                <w:rFonts w:eastAsia="Calibri" w:cstheme="minorHAnsi"/>
              </w:rPr>
              <w:t>Celkem prostředky EU</w:t>
            </w:r>
            <w:r w:rsidR="009518D1">
              <w:rPr>
                <w:rFonts w:eastAsia="Calibri" w:cstheme="minorHAnsi"/>
              </w:rPr>
              <w:t>*</w:t>
            </w:r>
          </w:p>
        </w:tc>
        <w:tc>
          <w:tcPr>
            <w:tcW w:w="1170" w:type="dxa"/>
            <w:shd w:val="clear" w:color="auto" w:fill="auto"/>
            <w:tcMar>
              <w:top w:w="0" w:type="dxa"/>
              <w:left w:w="108" w:type="dxa"/>
              <w:bottom w:w="0" w:type="dxa"/>
              <w:right w:w="108" w:type="dxa"/>
            </w:tcMar>
            <w:vAlign w:val="center"/>
            <w:hideMark/>
          </w:tcPr>
          <w:p w14:paraId="76B99947"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58 564</w:t>
            </w:r>
          </w:p>
        </w:tc>
        <w:tc>
          <w:tcPr>
            <w:tcW w:w="1170" w:type="dxa"/>
            <w:shd w:val="clear" w:color="auto" w:fill="auto"/>
            <w:tcMar>
              <w:top w:w="0" w:type="dxa"/>
              <w:left w:w="108" w:type="dxa"/>
              <w:bottom w:w="0" w:type="dxa"/>
              <w:right w:w="108" w:type="dxa"/>
            </w:tcMar>
            <w:vAlign w:val="center"/>
            <w:hideMark/>
          </w:tcPr>
          <w:p w14:paraId="493A225E"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94 017</w:t>
            </w:r>
          </w:p>
        </w:tc>
        <w:tc>
          <w:tcPr>
            <w:tcW w:w="1170" w:type="dxa"/>
            <w:shd w:val="clear" w:color="auto" w:fill="auto"/>
            <w:tcMar>
              <w:top w:w="0" w:type="dxa"/>
              <w:left w:w="108" w:type="dxa"/>
              <w:bottom w:w="0" w:type="dxa"/>
              <w:right w:w="108" w:type="dxa"/>
            </w:tcMar>
            <w:vAlign w:val="center"/>
            <w:hideMark/>
          </w:tcPr>
          <w:p w14:paraId="56454770"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164 539</w:t>
            </w:r>
          </w:p>
        </w:tc>
        <w:tc>
          <w:tcPr>
            <w:tcW w:w="1170" w:type="dxa"/>
            <w:shd w:val="clear" w:color="auto" w:fill="auto"/>
            <w:vAlign w:val="center"/>
          </w:tcPr>
          <w:p w14:paraId="3AD284FB" w14:textId="7BA3276E" w:rsidR="004D32C2" w:rsidRPr="002C310E" w:rsidRDefault="00F04DCF" w:rsidP="004D32C2">
            <w:pPr>
              <w:spacing w:after="0" w:line="240" w:lineRule="auto"/>
              <w:jc w:val="center"/>
              <w:rPr>
                <w:rFonts w:eastAsia="Calibri" w:cstheme="minorHAnsi"/>
                <w:bCs/>
              </w:rPr>
            </w:pPr>
            <w:r w:rsidRPr="002C310E">
              <w:rPr>
                <w:rFonts w:eastAsia="Calibri" w:cstheme="minorHAnsi"/>
              </w:rPr>
              <w:t>317 120</w:t>
            </w:r>
          </w:p>
        </w:tc>
      </w:tr>
      <w:tr w:rsidR="00C72C9E" w14:paraId="45AA3F69" w14:textId="77777777" w:rsidTr="00395EBF">
        <w:trPr>
          <w:trHeight w:val="255"/>
        </w:trPr>
        <w:tc>
          <w:tcPr>
            <w:tcW w:w="4503" w:type="dxa"/>
            <w:shd w:val="clear" w:color="auto" w:fill="auto"/>
            <w:tcMar>
              <w:top w:w="0" w:type="dxa"/>
              <w:left w:w="108" w:type="dxa"/>
              <w:bottom w:w="0" w:type="dxa"/>
              <w:right w:w="108" w:type="dxa"/>
            </w:tcMar>
            <w:vAlign w:val="center"/>
            <w:hideMark/>
          </w:tcPr>
          <w:p w14:paraId="0EB9AEA7" w14:textId="77777777" w:rsidR="004D32C2" w:rsidRPr="002C310E" w:rsidRDefault="00F04DCF" w:rsidP="004D32C2">
            <w:pPr>
              <w:spacing w:after="0" w:line="240" w:lineRule="auto"/>
              <w:rPr>
                <w:rFonts w:eastAsia="Calibri" w:cstheme="minorHAnsi"/>
              </w:rPr>
            </w:pPr>
            <w:r w:rsidRPr="002C310E">
              <w:rPr>
                <w:rFonts w:eastAsia="Calibri" w:cstheme="minorHAnsi"/>
              </w:rPr>
              <w:t>Celkem prostředky SR</w:t>
            </w:r>
          </w:p>
        </w:tc>
        <w:tc>
          <w:tcPr>
            <w:tcW w:w="1170" w:type="dxa"/>
            <w:shd w:val="clear" w:color="auto" w:fill="auto"/>
            <w:tcMar>
              <w:top w:w="0" w:type="dxa"/>
              <w:left w:w="108" w:type="dxa"/>
              <w:bottom w:w="0" w:type="dxa"/>
              <w:right w:w="108" w:type="dxa"/>
            </w:tcMar>
            <w:vAlign w:val="center"/>
            <w:hideMark/>
          </w:tcPr>
          <w:p w14:paraId="046DE6B5"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1 865 749</w:t>
            </w:r>
          </w:p>
        </w:tc>
        <w:tc>
          <w:tcPr>
            <w:tcW w:w="1170" w:type="dxa"/>
            <w:shd w:val="clear" w:color="auto" w:fill="auto"/>
            <w:tcMar>
              <w:top w:w="0" w:type="dxa"/>
              <w:left w:w="108" w:type="dxa"/>
              <w:bottom w:w="0" w:type="dxa"/>
              <w:right w:w="108" w:type="dxa"/>
            </w:tcMar>
            <w:vAlign w:val="center"/>
            <w:hideMark/>
          </w:tcPr>
          <w:p w14:paraId="07385D69"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1 876 944</w:t>
            </w:r>
          </w:p>
        </w:tc>
        <w:tc>
          <w:tcPr>
            <w:tcW w:w="1170" w:type="dxa"/>
            <w:shd w:val="clear" w:color="auto" w:fill="auto"/>
            <w:tcMar>
              <w:top w:w="0" w:type="dxa"/>
              <w:left w:w="108" w:type="dxa"/>
              <w:bottom w:w="0" w:type="dxa"/>
              <w:right w:w="108" w:type="dxa"/>
            </w:tcMar>
            <w:vAlign w:val="center"/>
            <w:hideMark/>
          </w:tcPr>
          <w:p w14:paraId="18644CB4"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1 991 084</w:t>
            </w:r>
          </w:p>
        </w:tc>
        <w:tc>
          <w:tcPr>
            <w:tcW w:w="1170" w:type="dxa"/>
            <w:shd w:val="clear" w:color="auto" w:fill="auto"/>
            <w:vAlign w:val="center"/>
          </w:tcPr>
          <w:p w14:paraId="5ADF5AC6" w14:textId="6799E41D" w:rsidR="004D32C2" w:rsidRPr="002C310E" w:rsidRDefault="00F04DCF" w:rsidP="004D32C2">
            <w:pPr>
              <w:spacing w:after="0" w:line="240" w:lineRule="auto"/>
              <w:jc w:val="center"/>
              <w:rPr>
                <w:rFonts w:eastAsia="Calibri" w:cstheme="minorHAnsi"/>
                <w:bCs/>
              </w:rPr>
            </w:pPr>
            <w:r w:rsidRPr="002C310E">
              <w:rPr>
                <w:rFonts w:eastAsia="Calibri" w:cstheme="minorHAnsi"/>
                <w:bCs/>
              </w:rPr>
              <w:t>5 733 777</w:t>
            </w:r>
          </w:p>
        </w:tc>
      </w:tr>
      <w:tr w:rsidR="00C72C9E" w14:paraId="46601A3D" w14:textId="77777777" w:rsidTr="00395EBF">
        <w:trPr>
          <w:trHeight w:val="255"/>
        </w:trPr>
        <w:tc>
          <w:tcPr>
            <w:tcW w:w="4503" w:type="dxa"/>
            <w:shd w:val="clear" w:color="auto" w:fill="F2C6C9"/>
            <w:tcMar>
              <w:top w:w="0" w:type="dxa"/>
              <w:left w:w="108" w:type="dxa"/>
              <w:bottom w:w="0" w:type="dxa"/>
              <w:right w:w="108" w:type="dxa"/>
            </w:tcMar>
            <w:vAlign w:val="center"/>
            <w:hideMark/>
          </w:tcPr>
          <w:p w14:paraId="2F4F850C" w14:textId="77777777" w:rsidR="004D32C2" w:rsidRPr="002C310E" w:rsidRDefault="00F04DCF" w:rsidP="004D32C2">
            <w:pPr>
              <w:spacing w:after="0" w:line="240" w:lineRule="auto"/>
              <w:rPr>
                <w:rFonts w:eastAsia="Calibri" w:cstheme="minorHAnsi"/>
                <w:b/>
              </w:rPr>
            </w:pPr>
            <w:r w:rsidRPr="002C310E">
              <w:rPr>
                <w:rFonts w:eastAsia="Calibri" w:cstheme="minorHAnsi"/>
                <w:b/>
              </w:rPr>
              <w:t>Celkem za kapitolu MV</w:t>
            </w:r>
          </w:p>
        </w:tc>
        <w:tc>
          <w:tcPr>
            <w:tcW w:w="1170" w:type="dxa"/>
            <w:shd w:val="clear" w:color="auto" w:fill="F2C6C9"/>
            <w:tcMar>
              <w:top w:w="0" w:type="dxa"/>
              <w:left w:w="108" w:type="dxa"/>
              <w:bottom w:w="0" w:type="dxa"/>
              <w:right w:w="108" w:type="dxa"/>
            </w:tcMar>
            <w:vAlign w:val="center"/>
            <w:hideMark/>
          </w:tcPr>
          <w:p w14:paraId="18AFF866" w14:textId="77777777" w:rsidR="004D32C2" w:rsidRPr="002C310E" w:rsidRDefault="00F04DCF" w:rsidP="004D32C2">
            <w:pPr>
              <w:spacing w:after="0" w:line="240" w:lineRule="auto"/>
              <w:jc w:val="right"/>
              <w:rPr>
                <w:rFonts w:eastAsia="Calibri" w:cstheme="minorHAnsi"/>
                <w:b/>
              </w:rPr>
            </w:pPr>
            <w:r w:rsidRPr="002C310E">
              <w:rPr>
                <w:rFonts w:eastAsia="Calibri" w:cstheme="minorHAnsi"/>
                <w:b/>
              </w:rPr>
              <w:t>1 924 313</w:t>
            </w:r>
          </w:p>
        </w:tc>
        <w:tc>
          <w:tcPr>
            <w:tcW w:w="1170" w:type="dxa"/>
            <w:shd w:val="clear" w:color="auto" w:fill="F2C6C9"/>
            <w:tcMar>
              <w:top w:w="0" w:type="dxa"/>
              <w:left w:w="108" w:type="dxa"/>
              <w:bottom w:w="0" w:type="dxa"/>
              <w:right w:w="108" w:type="dxa"/>
            </w:tcMar>
            <w:vAlign w:val="center"/>
            <w:hideMark/>
          </w:tcPr>
          <w:p w14:paraId="31D92F22" w14:textId="77777777" w:rsidR="004D32C2" w:rsidRPr="002C310E" w:rsidRDefault="00F04DCF" w:rsidP="004D32C2">
            <w:pPr>
              <w:spacing w:after="0" w:line="240" w:lineRule="auto"/>
              <w:jc w:val="right"/>
              <w:rPr>
                <w:rFonts w:eastAsia="Calibri" w:cstheme="minorHAnsi"/>
                <w:b/>
              </w:rPr>
            </w:pPr>
            <w:r w:rsidRPr="002C310E">
              <w:rPr>
                <w:rFonts w:eastAsia="Calibri" w:cstheme="minorHAnsi"/>
                <w:b/>
              </w:rPr>
              <w:t>1 970 961</w:t>
            </w:r>
          </w:p>
        </w:tc>
        <w:tc>
          <w:tcPr>
            <w:tcW w:w="1170" w:type="dxa"/>
            <w:shd w:val="clear" w:color="auto" w:fill="F2C6C9"/>
            <w:tcMar>
              <w:top w:w="0" w:type="dxa"/>
              <w:left w:w="108" w:type="dxa"/>
              <w:bottom w:w="0" w:type="dxa"/>
              <w:right w:w="108" w:type="dxa"/>
            </w:tcMar>
            <w:vAlign w:val="center"/>
            <w:hideMark/>
          </w:tcPr>
          <w:p w14:paraId="73F1E92A" w14:textId="77777777" w:rsidR="004D32C2" w:rsidRPr="002C310E" w:rsidRDefault="00F04DCF" w:rsidP="004D32C2">
            <w:pPr>
              <w:spacing w:after="0" w:line="240" w:lineRule="auto"/>
              <w:jc w:val="right"/>
              <w:rPr>
                <w:rFonts w:eastAsia="Calibri" w:cstheme="minorHAnsi"/>
                <w:b/>
              </w:rPr>
            </w:pPr>
            <w:r w:rsidRPr="002C310E">
              <w:rPr>
                <w:rFonts w:eastAsia="Calibri" w:cstheme="minorHAnsi"/>
                <w:b/>
              </w:rPr>
              <w:t>2 155 623</w:t>
            </w:r>
          </w:p>
        </w:tc>
        <w:tc>
          <w:tcPr>
            <w:tcW w:w="1170" w:type="dxa"/>
            <w:shd w:val="clear" w:color="auto" w:fill="F2C6C9"/>
            <w:vAlign w:val="center"/>
          </w:tcPr>
          <w:p w14:paraId="228AEAD8" w14:textId="2DA828E6"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6 050 897</w:t>
            </w:r>
          </w:p>
        </w:tc>
      </w:tr>
    </w:tbl>
    <w:p w14:paraId="50A69EB2" w14:textId="19D7EA44" w:rsidR="00A44B06" w:rsidRPr="00A71629" w:rsidRDefault="00F04DCF" w:rsidP="0066166F">
      <w:pPr>
        <w:tabs>
          <w:tab w:val="left" w:pos="142"/>
        </w:tabs>
        <w:spacing w:before="40" w:after="0" w:line="240" w:lineRule="auto"/>
        <w:ind w:left="142" w:hanging="142"/>
        <w:jc w:val="both"/>
        <w:rPr>
          <w:rFonts w:eastAsia="Times New Roman" w:cs="Calibri"/>
          <w:color w:val="000000"/>
          <w:sz w:val="20"/>
          <w:szCs w:val="20"/>
        </w:rPr>
      </w:pPr>
      <w:r w:rsidRPr="00A71629">
        <w:rPr>
          <w:rFonts w:eastAsia="Times New Roman" w:cs="Calibri"/>
          <w:color w:val="000000"/>
          <w:sz w:val="20"/>
          <w:szCs w:val="20"/>
        </w:rPr>
        <w:t>*</w:t>
      </w:r>
      <w:r w:rsidR="00304463">
        <w:rPr>
          <w:rFonts w:eastAsia="Times New Roman" w:cs="Calibri"/>
          <w:color w:val="000000"/>
          <w:sz w:val="20"/>
          <w:szCs w:val="20"/>
        </w:rPr>
        <w:tab/>
      </w:r>
      <w:r w:rsidR="00395EBF">
        <w:rPr>
          <w:rFonts w:eastAsia="Times New Roman" w:cs="Calibri"/>
          <w:color w:val="000000"/>
          <w:sz w:val="20"/>
          <w:szCs w:val="20"/>
        </w:rPr>
        <w:t>N</w:t>
      </w:r>
      <w:r w:rsidRPr="00806A19">
        <w:rPr>
          <w:rFonts w:eastAsia="Times New Roman" w:cs="Calibri"/>
          <w:color w:val="000000"/>
          <w:sz w:val="20"/>
          <w:szCs w:val="20"/>
        </w:rPr>
        <w:t>e</w:t>
      </w:r>
      <w:r w:rsidRPr="00A71629">
        <w:rPr>
          <w:rFonts w:eastAsia="Times New Roman" w:cs="Calibri"/>
          <w:color w:val="000000"/>
          <w:sz w:val="20"/>
          <w:szCs w:val="20"/>
        </w:rPr>
        <w:t>jsou zahrnuty prostředky vynaložené na technickou pomoc</w:t>
      </w:r>
      <w:r>
        <w:rPr>
          <w:rFonts w:eastAsia="Times New Roman" w:cs="Calibri"/>
          <w:color w:val="000000"/>
          <w:sz w:val="20"/>
          <w:szCs w:val="20"/>
        </w:rPr>
        <w:t xml:space="preserve"> NP ISF a NP AMIF; jsou zahrnuty prostředky na projekt </w:t>
      </w:r>
      <w:r w:rsidRPr="008C5F2B">
        <w:rPr>
          <w:rFonts w:eastAsia="Times New Roman" w:cs="Calibri"/>
          <w:i/>
          <w:color w:val="000000"/>
          <w:sz w:val="20"/>
          <w:szCs w:val="20"/>
        </w:rPr>
        <w:t>Evropské migrační sítě</w:t>
      </w:r>
      <w:r>
        <w:rPr>
          <w:rFonts w:eastAsia="Times New Roman" w:cs="Calibri"/>
          <w:color w:val="000000"/>
          <w:sz w:val="20"/>
          <w:szCs w:val="20"/>
        </w:rPr>
        <w:t>.</w:t>
      </w:r>
      <w:r w:rsidRPr="00A71629">
        <w:rPr>
          <w:rFonts w:eastAsia="Times New Roman" w:cs="Calibri"/>
          <w:color w:val="000000"/>
          <w:sz w:val="20"/>
          <w:szCs w:val="20"/>
        </w:rPr>
        <w:t xml:space="preserve"> </w:t>
      </w:r>
    </w:p>
    <w:p w14:paraId="4918E1A7" w14:textId="77777777" w:rsidR="00395EBF" w:rsidRDefault="00395EBF" w:rsidP="00395EBF">
      <w:pPr>
        <w:spacing w:after="0" w:line="240" w:lineRule="auto"/>
        <w:jc w:val="both"/>
        <w:rPr>
          <w:rFonts w:eastAsia="Calibri" w:cstheme="minorHAnsi"/>
          <w:sz w:val="20"/>
          <w:szCs w:val="20"/>
          <w:lang w:eastAsia="cs-CZ"/>
        </w:rPr>
      </w:pPr>
      <w:r w:rsidRPr="002C310E">
        <w:rPr>
          <w:rFonts w:eastAsia="Calibri" w:cstheme="minorHAnsi"/>
          <w:b/>
          <w:sz w:val="20"/>
          <w:szCs w:val="20"/>
          <w:lang w:eastAsia="cs-CZ"/>
        </w:rPr>
        <w:t>Zdroj:</w:t>
      </w:r>
      <w:r w:rsidRPr="002C310E">
        <w:rPr>
          <w:rFonts w:eastAsia="Calibri" w:cstheme="minorHAnsi"/>
          <w:sz w:val="20"/>
          <w:szCs w:val="20"/>
          <w:lang w:eastAsia="cs-CZ"/>
        </w:rPr>
        <w:t xml:space="preserve"> MV. </w:t>
      </w:r>
    </w:p>
    <w:p w14:paraId="23230070" w14:textId="77777777" w:rsidR="007A3B7C" w:rsidRPr="002C310E" w:rsidRDefault="007A3B7C" w:rsidP="004D32C2">
      <w:pPr>
        <w:spacing w:after="0" w:line="240" w:lineRule="auto"/>
        <w:jc w:val="both"/>
        <w:rPr>
          <w:rFonts w:eastAsia="Times New Roman" w:cstheme="minorHAnsi"/>
          <w:sz w:val="20"/>
          <w:szCs w:val="20"/>
          <w:lang w:eastAsia="cs-CZ"/>
        </w:rPr>
      </w:pPr>
    </w:p>
    <w:p w14:paraId="10D48023" w14:textId="77777777" w:rsidR="004D32C2" w:rsidRPr="00304463" w:rsidRDefault="00F04DCF" w:rsidP="00304463">
      <w:pPr>
        <w:tabs>
          <w:tab w:val="right" w:pos="9072"/>
        </w:tabs>
        <w:spacing w:after="0" w:line="240" w:lineRule="auto"/>
        <w:rPr>
          <w:rFonts w:eastAsia="Calibri" w:cstheme="minorHAnsi"/>
          <w:b/>
          <w:iCs/>
          <w:spacing w:val="6"/>
          <w:sz w:val="24"/>
          <w:szCs w:val="24"/>
        </w:rPr>
      </w:pPr>
      <w:r w:rsidRPr="00304463">
        <w:rPr>
          <w:rFonts w:eastAsia="Calibri" w:cstheme="minorHAnsi"/>
          <w:b/>
          <w:iCs/>
          <w:spacing w:val="6"/>
          <w:sz w:val="24"/>
          <w:szCs w:val="24"/>
        </w:rPr>
        <w:t>Peněžní</w:t>
      </w:r>
      <w:r w:rsidR="007A3B7C" w:rsidRPr="00304463">
        <w:rPr>
          <w:rFonts w:eastAsia="Calibri" w:cstheme="minorHAnsi"/>
          <w:b/>
          <w:iCs/>
          <w:spacing w:val="6"/>
          <w:sz w:val="24"/>
          <w:szCs w:val="24"/>
        </w:rPr>
        <w:t xml:space="preserve"> prostředky vynaložené na </w:t>
      </w:r>
      <w:r w:rsidRPr="00304463">
        <w:rPr>
          <w:rFonts w:eastAsia="Calibri" w:cstheme="minorHAnsi"/>
          <w:b/>
          <w:i/>
          <w:spacing w:val="6"/>
          <w:sz w:val="24"/>
          <w:szCs w:val="24"/>
        </w:rPr>
        <w:t>Národní program – Fond pro vnitřní bezpečnost</w:t>
      </w:r>
      <w:r w:rsidR="00E97BCB" w:rsidRPr="00304463">
        <w:rPr>
          <w:rFonts w:eastAsia="Calibri" w:cstheme="minorHAnsi"/>
          <w:b/>
          <w:i/>
          <w:spacing w:val="6"/>
          <w:sz w:val="24"/>
          <w:szCs w:val="24"/>
        </w:rPr>
        <w:t xml:space="preserve"> </w:t>
      </w:r>
      <w:r w:rsidR="00E97BCB" w:rsidRPr="00304463">
        <w:rPr>
          <w:rFonts w:eastAsia="Calibri" w:cstheme="minorHAnsi"/>
          <w:b/>
          <w:spacing w:val="6"/>
          <w:sz w:val="24"/>
          <w:szCs w:val="24"/>
        </w:rPr>
        <w:t>(</w:t>
      </w:r>
      <w:r w:rsidR="009518D1" w:rsidRPr="00304463">
        <w:rPr>
          <w:rFonts w:eastAsia="Calibri" w:cstheme="minorHAnsi"/>
          <w:b/>
          <w:spacing w:val="6"/>
          <w:sz w:val="24"/>
          <w:szCs w:val="24"/>
        </w:rPr>
        <w:t xml:space="preserve">NP </w:t>
      </w:r>
      <w:r w:rsidR="00E97BCB" w:rsidRPr="00304463">
        <w:rPr>
          <w:rFonts w:eastAsia="Calibri" w:cstheme="minorHAnsi"/>
          <w:b/>
          <w:spacing w:val="6"/>
          <w:sz w:val="24"/>
          <w:szCs w:val="24"/>
        </w:rPr>
        <w:t>ISF)</w:t>
      </w:r>
      <w:r w:rsidRPr="00304463">
        <w:rPr>
          <w:rFonts w:eastAsia="Calibri" w:cstheme="minorHAnsi"/>
          <w:b/>
          <w:i/>
          <w:spacing w:val="6"/>
          <w:sz w:val="24"/>
          <w:szCs w:val="24"/>
        </w:rPr>
        <w:t xml:space="preserve"> – část Hranice</w:t>
      </w:r>
      <w:r w:rsidR="00E97BCB" w:rsidRPr="00304463">
        <w:rPr>
          <w:rFonts w:cstheme="minorHAnsi"/>
          <w:b/>
          <w:spacing w:val="6"/>
          <w:sz w:val="24"/>
        </w:rPr>
        <w:t xml:space="preserve"> </w:t>
      </w:r>
    </w:p>
    <w:p w14:paraId="43448213" w14:textId="77777777" w:rsidR="004D32C2" w:rsidRPr="002C310E" w:rsidRDefault="00F04DCF" w:rsidP="004D32C2">
      <w:pPr>
        <w:tabs>
          <w:tab w:val="right" w:pos="9072"/>
        </w:tabs>
        <w:spacing w:after="40" w:line="240" w:lineRule="auto"/>
        <w:rPr>
          <w:rFonts w:cstheme="minorHAnsi"/>
          <w:b/>
          <w:sz w:val="24"/>
        </w:rPr>
      </w:pPr>
      <w:r w:rsidRPr="002C310E">
        <w:rPr>
          <w:rFonts w:cstheme="minorHAnsi"/>
          <w:b/>
        </w:rPr>
        <w:tab/>
        <w:t>(</w:t>
      </w:r>
      <w:r w:rsidRPr="002C310E">
        <w:rPr>
          <w:rFonts w:cstheme="minorHAnsi"/>
          <w:b/>
          <w:sz w:val="24"/>
        </w:rPr>
        <w:t>v tis. Kč)</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3"/>
        <w:gridCol w:w="1170"/>
        <w:gridCol w:w="1170"/>
        <w:gridCol w:w="1170"/>
        <w:gridCol w:w="1170"/>
      </w:tblGrid>
      <w:tr w:rsidR="00C72C9E" w14:paraId="26EE1FC7" w14:textId="77777777" w:rsidTr="00395EBF">
        <w:trPr>
          <w:trHeight w:val="255"/>
        </w:trPr>
        <w:tc>
          <w:tcPr>
            <w:tcW w:w="4503" w:type="dxa"/>
            <w:shd w:val="clear" w:color="auto" w:fill="E5F1FF"/>
            <w:tcMar>
              <w:top w:w="0" w:type="dxa"/>
              <w:left w:w="108" w:type="dxa"/>
              <w:bottom w:w="0" w:type="dxa"/>
              <w:right w:w="108" w:type="dxa"/>
            </w:tcMar>
            <w:vAlign w:val="center"/>
            <w:hideMark/>
          </w:tcPr>
          <w:p w14:paraId="363EF80E"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Rok</w:t>
            </w:r>
          </w:p>
        </w:tc>
        <w:tc>
          <w:tcPr>
            <w:tcW w:w="1170" w:type="dxa"/>
            <w:shd w:val="clear" w:color="auto" w:fill="E5F1FF"/>
            <w:tcMar>
              <w:top w:w="0" w:type="dxa"/>
              <w:left w:w="108" w:type="dxa"/>
              <w:bottom w:w="0" w:type="dxa"/>
              <w:right w:w="108" w:type="dxa"/>
            </w:tcMar>
            <w:vAlign w:val="center"/>
            <w:hideMark/>
          </w:tcPr>
          <w:p w14:paraId="28BF132B"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2017</w:t>
            </w:r>
          </w:p>
        </w:tc>
        <w:tc>
          <w:tcPr>
            <w:tcW w:w="1170" w:type="dxa"/>
            <w:shd w:val="clear" w:color="auto" w:fill="E5F1FF"/>
            <w:tcMar>
              <w:top w:w="0" w:type="dxa"/>
              <w:left w:w="108" w:type="dxa"/>
              <w:bottom w:w="0" w:type="dxa"/>
              <w:right w:w="108" w:type="dxa"/>
            </w:tcMar>
            <w:vAlign w:val="center"/>
            <w:hideMark/>
          </w:tcPr>
          <w:p w14:paraId="454F298B"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2018</w:t>
            </w:r>
          </w:p>
        </w:tc>
        <w:tc>
          <w:tcPr>
            <w:tcW w:w="1170" w:type="dxa"/>
            <w:shd w:val="clear" w:color="auto" w:fill="E5F1FF"/>
            <w:tcMar>
              <w:top w:w="0" w:type="dxa"/>
              <w:left w:w="108" w:type="dxa"/>
              <w:bottom w:w="0" w:type="dxa"/>
              <w:right w:w="108" w:type="dxa"/>
            </w:tcMar>
            <w:vAlign w:val="center"/>
            <w:hideMark/>
          </w:tcPr>
          <w:p w14:paraId="08F999EF"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2019</w:t>
            </w:r>
          </w:p>
        </w:tc>
        <w:tc>
          <w:tcPr>
            <w:tcW w:w="1170" w:type="dxa"/>
            <w:shd w:val="clear" w:color="auto" w:fill="E5F1FF"/>
            <w:vAlign w:val="center"/>
          </w:tcPr>
          <w:p w14:paraId="6A931088"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Celkem</w:t>
            </w:r>
          </w:p>
        </w:tc>
      </w:tr>
      <w:tr w:rsidR="00C72C9E" w14:paraId="2A25FBB9" w14:textId="77777777" w:rsidTr="00395EBF">
        <w:trPr>
          <w:trHeight w:val="255"/>
        </w:trPr>
        <w:tc>
          <w:tcPr>
            <w:tcW w:w="4503" w:type="dxa"/>
            <w:tcMar>
              <w:top w:w="0" w:type="dxa"/>
              <w:left w:w="108" w:type="dxa"/>
              <w:bottom w:w="0" w:type="dxa"/>
              <w:right w:w="108" w:type="dxa"/>
            </w:tcMar>
            <w:vAlign w:val="center"/>
          </w:tcPr>
          <w:p w14:paraId="1845DE20" w14:textId="77777777" w:rsidR="004D32C2" w:rsidRPr="002C310E" w:rsidRDefault="00F04DCF" w:rsidP="004D32C2">
            <w:pPr>
              <w:spacing w:after="0" w:line="240" w:lineRule="auto"/>
              <w:contextualSpacing/>
              <w:rPr>
                <w:rFonts w:eastAsia="Calibri" w:cstheme="minorHAnsi"/>
              </w:rPr>
            </w:pPr>
            <w:r w:rsidRPr="002C310E">
              <w:rPr>
                <w:rFonts w:eastAsia="Calibri" w:cstheme="minorHAnsi"/>
              </w:rPr>
              <w:t>Prostředky EU*</w:t>
            </w:r>
          </w:p>
        </w:tc>
        <w:tc>
          <w:tcPr>
            <w:tcW w:w="1170" w:type="dxa"/>
            <w:tcMar>
              <w:top w:w="0" w:type="dxa"/>
              <w:left w:w="108" w:type="dxa"/>
              <w:bottom w:w="0" w:type="dxa"/>
              <w:right w:w="108" w:type="dxa"/>
            </w:tcMar>
            <w:vAlign w:val="center"/>
          </w:tcPr>
          <w:p w14:paraId="4B673A61"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3 814</w:t>
            </w:r>
          </w:p>
        </w:tc>
        <w:tc>
          <w:tcPr>
            <w:tcW w:w="1170" w:type="dxa"/>
            <w:tcMar>
              <w:top w:w="0" w:type="dxa"/>
              <w:left w:w="108" w:type="dxa"/>
              <w:bottom w:w="0" w:type="dxa"/>
              <w:right w:w="108" w:type="dxa"/>
            </w:tcMar>
            <w:vAlign w:val="center"/>
          </w:tcPr>
          <w:p w14:paraId="52378363"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21 852</w:t>
            </w:r>
          </w:p>
        </w:tc>
        <w:tc>
          <w:tcPr>
            <w:tcW w:w="1170" w:type="dxa"/>
            <w:tcMar>
              <w:top w:w="0" w:type="dxa"/>
              <w:left w:w="108" w:type="dxa"/>
              <w:bottom w:w="0" w:type="dxa"/>
              <w:right w:w="108" w:type="dxa"/>
            </w:tcMar>
            <w:vAlign w:val="center"/>
          </w:tcPr>
          <w:p w14:paraId="36B8593D"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60 746</w:t>
            </w:r>
          </w:p>
        </w:tc>
        <w:tc>
          <w:tcPr>
            <w:tcW w:w="1170" w:type="dxa"/>
            <w:vAlign w:val="center"/>
          </w:tcPr>
          <w:p w14:paraId="59443EB1" w14:textId="1322733B" w:rsidR="004D32C2" w:rsidRPr="002C310E" w:rsidRDefault="00F04DCF" w:rsidP="004D32C2">
            <w:pPr>
              <w:spacing w:after="0" w:line="240" w:lineRule="auto"/>
              <w:jc w:val="center"/>
              <w:rPr>
                <w:rFonts w:eastAsia="Calibri" w:cstheme="minorHAnsi"/>
              </w:rPr>
            </w:pPr>
            <w:r w:rsidRPr="002C310E">
              <w:rPr>
                <w:rFonts w:eastAsia="Calibri" w:cstheme="minorHAnsi"/>
              </w:rPr>
              <w:t>86 412</w:t>
            </w:r>
          </w:p>
        </w:tc>
      </w:tr>
      <w:tr w:rsidR="00C72C9E" w14:paraId="4C8FEE65" w14:textId="77777777" w:rsidTr="00395EBF">
        <w:trPr>
          <w:trHeight w:val="255"/>
        </w:trPr>
        <w:tc>
          <w:tcPr>
            <w:tcW w:w="4503" w:type="dxa"/>
            <w:tcMar>
              <w:top w:w="0" w:type="dxa"/>
              <w:left w:w="108" w:type="dxa"/>
              <w:bottom w:w="0" w:type="dxa"/>
              <w:right w:w="108" w:type="dxa"/>
            </w:tcMar>
            <w:vAlign w:val="center"/>
          </w:tcPr>
          <w:p w14:paraId="0E369F82" w14:textId="77777777" w:rsidR="004D32C2" w:rsidRPr="002C310E" w:rsidRDefault="00F04DCF" w:rsidP="004D32C2">
            <w:pPr>
              <w:spacing w:after="0" w:line="240" w:lineRule="auto"/>
              <w:contextualSpacing/>
              <w:rPr>
                <w:rFonts w:eastAsia="Calibri" w:cstheme="minorHAnsi"/>
              </w:rPr>
            </w:pPr>
            <w:r w:rsidRPr="002C310E">
              <w:rPr>
                <w:rFonts w:eastAsia="Calibri" w:cstheme="minorHAnsi"/>
              </w:rPr>
              <w:t>Prostředky SR</w:t>
            </w:r>
          </w:p>
        </w:tc>
        <w:tc>
          <w:tcPr>
            <w:tcW w:w="1170" w:type="dxa"/>
            <w:tcMar>
              <w:top w:w="0" w:type="dxa"/>
              <w:left w:w="108" w:type="dxa"/>
              <w:bottom w:w="0" w:type="dxa"/>
              <w:right w:w="108" w:type="dxa"/>
            </w:tcMar>
            <w:vAlign w:val="center"/>
          </w:tcPr>
          <w:p w14:paraId="6091F3A6"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1 271</w:t>
            </w:r>
          </w:p>
        </w:tc>
        <w:tc>
          <w:tcPr>
            <w:tcW w:w="1170" w:type="dxa"/>
            <w:tcMar>
              <w:top w:w="0" w:type="dxa"/>
              <w:left w:w="108" w:type="dxa"/>
              <w:bottom w:w="0" w:type="dxa"/>
              <w:right w:w="108" w:type="dxa"/>
            </w:tcMar>
            <w:vAlign w:val="center"/>
          </w:tcPr>
          <w:p w14:paraId="5A3D14B3"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7 284</w:t>
            </w:r>
          </w:p>
        </w:tc>
        <w:tc>
          <w:tcPr>
            <w:tcW w:w="1170" w:type="dxa"/>
            <w:tcMar>
              <w:top w:w="0" w:type="dxa"/>
              <w:left w:w="108" w:type="dxa"/>
              <w:bottom w:w="0" w:type="dxa"/>
              <w:right w:w="108" w:type="dxa"/>
            </w:tcMar>
            <w:vAlign w:val="center"/>
          </w:tcPr>
          <w:p w14:paraId="744FF85B"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20 249</w:t>
            </w:r>
          </w:p>
        </w:tc>
        <w:tc>
          <w:tcPr>
            <w:tcW w:w="1170" w:type="dxa"/>
            <w:vAlign w:val="center"/>
          </w:tcPr>
          <w:p w14:paraId="3AF7B963" w14:textId="1DE07A22" w:rsidR="004D32C2" w:rsidRPr="002C310E" w:rsidRDefault="00F04DCF" w:rsidP="004D32C2">
            <w:pPr>
              <w:spacing w:after="0" w:line="240" w:lineRule="auto"/>
              <w:jc w:val="center"/>
              <w:rPr>
                <w:rFonts w:eastAsia="Calibri" w:cstheme="minorHAnsi"/>
                <w:bCs/>
              </w:rPr>
            </w:pPr>
            <w:r w:rsidRPr="002C310E">
              <w:rPr>
                <w:rFonts w:eastAsia="Calibri" w:cstheme="minorHAnsi"/>
                <w:bCs/>
              </w:rPr>
              <w:t>28 804</w:t>
            </w:r>
          </w:p>
        </w:tc>
      </w:tr>
      <w:tr w:rsidR="00C72C9E" w14:paraId="212DD423" w14:textId="77777777" w:rsidTr="00395EBF">
        <w:trPr>
          <w:trHeight w:val="255"/>
        </w:trPr>
        <w:tc>
          <w:tcPr>
            <w:tcW w:w="4503" w:type="dxa"/>
            <w:shd w:val="clear" w:color="auto" w:fill="auto"/>
            <w:tcMar>
              <w:top w:w="0" w:type="dxa"/>
              <w:left w:w="108" w:type="dxa"/>
              <w:bottom w:w="0" w:type="dxa"/>
              <w:right w:w="108" w:type="dxa"/>
            </w:tcMar>
            <w:vAlign w:val="center"/>
          </w:tcPr>
          <w:p w14:paraId="48B973F4" w14:textId="77777777" w:rsidR="004D32C2" w:rsidRPr="002C310E" w:rsidRDefault="00F04DCF" w:rsidP="004D32C2">
            <w:pPr>
              <w:spacing w:after="0" w:line="240" w:lineRule="auto"/>
              <w:rPr>
                <w:rFonts w:eastAsia="Calibri" w:cstheme="minorHAnsi"/>
              </w:rPr>
            </w:pPr>
            <w:r w:rsidRPr="002C310E">
              <w:rPr>
                <w:rFonts w:eastAsia="Calibri" w:cstheme="minorHAnsi"/>
              </w:rPr>
              <w:t>Vynaložené peněžní prostředky celkem</w:t>
            </w:r>
          </w:p>
        </w:tc>
        <w:tc>
          <w:tcPr>
            <w:tcW w:w="1170" w:type="dxa"/>
            <w:shd w:val="clear" w:color="auto" w:fill="auto"/>
            <w:tcMar>
              <w:top w:w="0" w:type="dxa"/>
              <w:left w:w="108" w:type="dxa"/>
              <w:bottom w:w="0" w:type="dxa"/>
              <w:right w:w="108" w:type="dxa"/>
            </w:tcMar>
            <w:vAlign w:val="center"/>
          </w:tcPr>
          <w:p w14:paraId="0DA23AA0"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5 085</w:t>
            </w:r>
          </w:p>
        </w:tc>
        <w:tc>
          <w:tcPr>
            <w:tcW w:w="1170" w:type="dxa"/>
            <w:shd w:val="clear" w:color="auto" w:fill="auto"/>
            <w:tcMar>
              <w:top w:w="0" w:type="dxa"/>
              <w:left w:w="108" w:type="dxa"/>
              <w:bottom w:w="0" w:type="dxa"/>
              <w:right w:w="108" w:type="dxa"/>
            </w:tcMar>
            <w:vAlign w:val="center"/>
          </w:tcPr>
          <w:p w14:paraId="23AFBD94"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29 136</w:t>
            </w:r>
          </w:p>
        </w:tc>
        <w:tc>
          <w:tcPr>
            <w:tcW w:w="1170" w:type="dxa"/>
            <w:shd w:val="clear" w:color="auto" w:fill="auto"/>
            <w:tcMar>
              <w:top w:w="0" w:type="dxa"/>
              <w:left w:w="108" w:type="dxa"/>
              <w:bottom w:w="0" w:type="dxa"/>
              <w:right w:w="108" w:type="dxa"/>
            </w:tcMar>
            <w:vAlign w:val="center"/>
          </w:tcPr>
          <w:p w14:paraId="2808AC1C"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80 995</w:t>
            </w:r>
          </w:p>
        </w:tc>
        <w:tc>
          <w:tcPr>
            <w:tcW w:w="1170" w:type="dxa"/>
            <w:shd w:val="clear" w:color="auto" w:fill="auto"/>
            <w:vAlign w:val="center"/>
          </w:tcPr>
          <w:p w14:paraId="6FBF83BD" w14:textId="33DDD164" w:rsidR="004D32C2" w:rsidRPr="002C310E" w:rsidRDefault="00F04DCF" w:rsidP="004D32C2">
            <w:pPr>
              <w:spacing w:after="0" w:line="240" w:lineRule="auto"/>
              <w:jc w:val="center"/>
              <w:rPr>
                <w:rFonts w:eastAsia="Calibri" w:cstheme="minorHAnsi"/>
                <w:bCs/>
              </w:rPr>
            </w:pPr>
            <w:r w:rsidRPr="002C310E">
              <w:rPr>
                <w:rFonts w:eastAsia="Calibri" w:cstheme="minorHAnsi"/>
                <w:bCs/>
              </w:rPr>
              <w:t>115 216</w:t>
            </w:r>
          </w:p>
        </w:tc>
      </w:tr>
    </w:tbl>
    <w:p w14:paraId="29AB3FF9" w14:textId="17ABF037" w:rsidR="004D32C2" w:rsidRPr="002C310E" w:rsidRDefault="00F04DCF" w:rsidP="0066166F">
      <w:pPr>
        <w:tabs>
          <w:tab w:val="left" w:pos="57"/>
        </w:tabs>
        <w:spacing w:after="0" w:line="240" w:lineRule="auto"/>
        <w:contextualSpacing/>
        <w:jc w:val="both"/>
        <w:rPr>
          <w:rFonts w:eastAsia="Times New Roman" w:cstheme="minorHAnsi"/>
          <w:color w:val="000000"/>
          <w:sz w:val="20"/>
          <w:szCs w:val="20"/>
        </w:rPr>
      </w:pPr>
      <w:r w:rsidRPr="002C310E">
        <w:rPr>
          <w:rFonts w:eastAsia="Times New Roman" w:cstheme="minorHAnsi"/>
          <w:color w:val="000000"/>
          <w:sz w:val="20"/>
          <w:szCs w:val="20"/>
        </w:rPr>
        <w:t>*</w:t>
      </w:r>
      <w:r w:rsidR="00304463">
        <w:rPr>
          <w:rFonts w:eastAsia="Times New Roman" w:cstheme="minorHAnsi"/>
          <w:color w:val="000000"/>
          <w:sz w:val="20"/>
          <w:szCs w:val="20"/>
        </w:rPr>
        <w:tab/>
      </w:r>
      <w:r w:rsidR="00395EBF">
        <w:rPr>
          <w:rFonts w:eastAsia="Times New Roman" w:cstheme="minorHAnsi"/>
          <w:color w:val="000000"/>
          <w:sz w:val="20"/>
          <w:szCs w:val="20"/>
        </w:rPr>
        <w:t>N</w:t>
      </w:r>
      <w:r w:rsidRPr="002C310E">
        <w:rPr>
          <w:rFonts w:eastAsia="Times New Roman" w:cstheme="minorHAnsi"/>
          <w:color w:val="000000"/>
          <w:sz w:val="20"/>
          <w:szCs w:val="20"/>
        </w:rPr>
        <w:t xml:space="preserve">ejsou zahrnuty prostředky vynaložené na technickou pomoc. </w:t>
      </w:r>
    </w:p>
    <w:p w14:paraId="7F4891EE" w14:textId="77777777" w:rsidR="00395EBF" w:rsidRDefault="00395EBF" w:rsidP="00395EBF">
      <w:pPr>
        <w:spacing w:after="0" w:line="240" w:lineRule="auto"/>
        <w:jc w:val="both"/>
        <w:rPr>
          <w:rFonts w:eastAsia="Calibri" w:cstheme="minorHAnsi"/>
          <w:sz w:val="20"/>
          <w:szCs w:val="20"/>
          <w:lang w:eastAsia="cs-CZ"/>
        </w:rPr>
      </w:pPr>
      <w:r w:rsidRPr="002C310E">
        <w:rPr>
          <w:rFonts w:eastAsia="Calibri" w:cstheme="minorHAnsi"/>
          <w:b/>
          <w:sz w:val="20"/>
          <w:szCs w:val="20"/>
          <w:lang w:eastAsia="cs-CZ"/>
        </w:rPr>
        <w:t>Zdroj:</w:t>
      </w:r>
      <w:r w:rsidRPr="002C310E">
        <w:rPr>
          <w:rFonts w:eastAsia="Calibri" w:cstheme="minorHAnsi"/>
          <w:sz w:val="20"/>
          <w:szCs w:val="20"/>
          <w:lang w:eastAsia="cs-CZ"/>
        </w:rPr>
        <w:t xml:space="preserve"> MV. </w:t>
      </w:r>
    </w:p>
    <w:p w14:paraId="29C20402" w14:textId="77777777" w:rsidR="007A3B7C" w:rsidRPr="002C310E" w:rsidRDefault="007A3B7C" w:rsidP="004D32C2">
      <w:pPr>
        <w:tabs>
          <w:tab w:val="left" w:pos="57"/>
        </w:tabs>
        <w:spacing w:after="0" w:line="240" w:lineRule="auto"/>
        <w:contextualSpacing/>
        <w:jc w:val="both"/>
        <w:rPr>
          <w:rFonts w:eastAsia="Times New Roman" w:cstheme="minorHAnsi"/>
          <w:color w:val="000000"/>
          <w:sz w:val="20"/>
          <w:szCs w:val="20"/>
        </w:rPr>
      </w:pPr>
    </w:p>
    <w:p w14:paraId="13207E52" w14:textId="77777777" w:rsidR="004D32C2" w:rsidRPr="002C310E" w:rsidRDefault="00F04DCF" w:rsidP="00304463">
      <w:pPr>
        <w:tabs>
          <w:tab w:val="right" w:pos="9072"/>
        </w:tabs>
        <w:spacing w:after="0" w:line="240" w:lineRule="auto"/>
        <w:rPr>
          <w:rFonts w:cstheme="minorHAnsi"/>
          <w:b/>
        </w:rPr>
      </w:pPr>
      <w:r w:rsidRPr="002C310E">
        <w:rPr>
          <w:rFonts w:eastAsia="Calibri" w:cstheme="minorHAnsi"/>
          <w:b/>
          <w:iCs/>
          <w:sz w:val="24"/>
          <w:szCs w:val="24"/>
        </w:rPr>
        <w:t>Peněžní</w:t>
      </w:r>
      <w:r w:rsidR="007A3B7C" w:rsidRPr="002C310E">
        <w:rPr>
          <w:rFonts w:eastAsia="Calibri" w:cstheme="minorHAnsi"/>
          <w:b/>
          <w:iCs/>
          <w:sz w:val="24"/>
          <w:szCs w:val="24"/>
        </w:rPr>
        <w:t xml:space="preserve"> prostředky vynaložené na </w:t>
      </w:r>
      <w:r w:rsidRPr="002C310E">
        <w:rPr>
          <w:rFonts w:eastAsia="Calibri" w:cstheme="minorHAnsi"/>
          <w:b/>
          <w:i/>
          <w:sz w:val="24"/>
          <w:szCs w:val="24"/>
        </w:rPr>
        <w:t>Národní program – Azylový, migrační a integrační fond</w:t>
      </w:r>
      <w:r w:rsidRPr="002C310E">
        <w:rPr>
          <w:rFonts w:cstheme="minorHAnsi"/>
          <w:b/>
          <w:sz w:val="24"/>
        </w:rPr>
        <w:t xml:space="preserve"> </w:t>
      </w:r>
      <w:r w:rsidR="00E97BCB" w:rsidRPr="002C310E">
        <w:rPr>
          <w:rFonts w:cstheme="minorHAnsi"/>
          <w:b/>
          <w:sz w:val="24"/>
        </w:rPr>
        <w:t>(</w:t>
      </w:r>
      <w:r w:rsidR="009518D1">
        <w:rPr>
          <w:rFonts w:cstheme="minorHAnsi"/>
          <w:b/>
          <w:sz w:val="24"/>
        </w:rPr>
        <w:t xml:space="preserve">NP </w:t>
      </w:r>
      <w:r w:rsidR="00E97BCB" w:rsidRPr="002C310E">
        <w:rPr>
          <w:rFonts w:cstheme="minorHAnsi"/>
          <w:b/>
          <w:sz w:val="24"/>
        </w:rPr>
        <w:t>AMIF)</w:t>
      </w:r>
    </w:p>
    <w:p w14:paraId="609ACF1A" w14:textId="77777777" w:rsidR="004D32C2" w:rsidRPr="002C310E" w:rsidRDefault="00F04DCF" w:rsidP="004D32C2">
      <w:pPr>
        <w:tabs>
          <w:tab w:val="right" w:pos="9072"/>
        </w:tabs>
        <w:spacing w:after="40" w:line="240" w:lineRule="auto"/>
        <w:rPr>
          <w:rFonts w:cstheme="minorHAnsi"/>
          <w:b/>
          <w:sz w:val="24"/>
        </w:rPr>
      </w:pPr>
      <w:r w:rsidRPr="002C310E">
        <w:rPr>
          <w:rFonts w:cstheme="minorHAnsi"/>
          <w:b/>
        </w:rPr>
        <w:tab/>
        <w:t>(</w:t>
      </w:r>
      <w:r w:rsidRPr="002C310E">
        <w:rPr>
          <w:rFonts w:cstheme="minorHAnsi"/>
          <w:b/>
          <w:sz w:val="24"/>
        </w:rPr>
        <w:t>v tis. Kč)</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3"/>
        <w:gridCol w:w="1170"/>
        <w:gridCol w:w="1170"/>
        <w:gridCol w:w="1170"/>
        <w:gridCol w:w="1170"/>
      </w:tblGrid>
      <w:tr w:rsidR="00C72C9E" w14:paraId="72B9F24A" w14:textId="77777777" w:rsidTr="00395EBF">
        <w:trPr>
          <w:trHeight w:val="255"/>
        </w:trPr>
        <w:tc>
          <w:tcPr>
            <w:tcW w:w="4503" w:type="dxa"/>
            <w:shd w:val="clear" w:color="auto" w:fill="E5F1FF"/>
            <w:tcMar>
              <w:top w:w="0" w:type="dxa"/>
              <w:left w:w="108" w:type="dxa"/>
              <w:bottom w:w="0" w:type="dxa"/>
              <w:right w:w="108" w:type="dxa"/>
            </w:tcMar>
            <w:vAlign w:val="center"/>
            <w:hideMark/>
          </w:tcPr>
          <w:p w14:paraId="2E0804F1"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Rok</w:t>
            </w:r>
          </w:p>
        </w:tc>
        <w:tc>
          <w:tcPr>
            <w:tcW w:w="1170" w:type="dxa"/>
            <w:shd w:val="clear" w:color="auto" w:fill="E5F1FF"/>
            <w:tcMar>
              <w:top w:w="0" w:type="dxa"/>
              <w:left w:w="108" w:type="dxa"/>
              <w:bottom w:w="0" w:type="dxa"/>
              <w:right w:w="108" w:type="dxa"/>
            </w:tcMar>
            <w:vAlign w:val="center"/>
            <w:hideMark/>
          </w:tcPr>
          <w:p w14:paraId="04B26BFE"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2017</w:t>
            </w:r>
          </w:p>
        </w:tc>
        <w:tc>
          <w:tcPr>
            <w:tcW w:w="1170" w:type="dxa"/>
            <w:shd w:val="clear" w:color="auto" w:fill="E5F1FF"/>
            <w:tcMar>
              <w:top w:w="0" w:type="dxa"/>
              <w:left w:w="108" w:type="dxa"/>
              <w:bottom w:w="0" w:type="dxa"/>
              <w:right w:w="108" w:type="dxa"/>
            </w:tcMar>
            <w:vAlign w:val="center"/>
            <w:hideMark/>
          </w:tcPr>
          <w:p w14:paraId="4BE5ABF7"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2018</w:t>
            </w:r>
          </w:p>
        </w:tc>
        <w:tc>
          <w:tcPr>
            <w:tcW w:w="1170" w:type="dxa"/>
            <w:shd w:val="clear" w:color="auto" w:fill="E5F1FF"/>
            <w:tcMar>
              <w:top w:w="0" w:type="dxa"/>
              <w:left w:w="108" w:type="dxa"/>
              <w:bottom w:w="0" w:type="dxa"/>
              <w:right w:w="108" w:type="dxa"/>
            </w:tcMar>
            <w:vAlign w:val="center"/>
            <w:hideMark/>
          </w:tcPr>
          <w:p w14:paraId="45030184"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2019</w:t>
            </w:r>
          </w:p>
        </w:tc>
        <w:tc>
          <w:tcPr>
            <w:tcW w:w="1170" w:type="dxa"/>
            <w:shd w:val="clear" w:color="auto" w:fill="E5F1FF"/>
            <w:vAlign w:val="center"/>
          </w:tcPr>
          <w:p w14:paraId="1F5DF62D"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Celkem</w:t>
            </w:r>
          </w:p>
        </w:tc>
      </w:tr>
      <w:tr w:rsidR="00C72C9E" w14:paraId="088A8D93" w14:textId="77777777" w:rsidTr="00395EBF">
        <w:trPr>
          <w:trHeight w:val="255"/>
        </w:trPr>
        <w:tc>
          <w:tcPr>
            <w:tcW w:w="4503" w:type="dxa"/>
            <w:tcMar>
              <w:top w:w="0" w:type="dxa"/>
              <w:left w:w="108" w:type="dxa"/>
              <w:bottom w:w="0" w:type="dxa"/>
              <w:right w:w="108" w:type="dxa"/>
            </w:tcMar>
            <w:vAlign w:val="center"/>
          </w:tcPr>
          <w:p w14:paraId="6290E7D5" w14:textId="77777777" w:rsidR="004D32C2" w:rsidRPr="002C310E" w:rsidRDefault="00F04DCF" w:rsidP="004D32C2">
            <w:pPr>
              <w:spacing w:after="0" w:line="240" w:lineRule="auto"/>
              <w:contextualSpacing/>
              <w:rPr>
                <w:rFonts w:eastAsia="Calibri" w:cstheme="minorHAnsi"/>
              </w:rPr>
            </w:pPr>
            <w:r w:rsidRPr="002C310E">
              <w:rPr>
                <w:rFonts w:eastAsia="Calibri" w:cstheme="minorHAnsi"/>
              </w:rPr>
              <w:t>Prostředky EU*</w:t>
            </w:r>
          </w:p>
        </w:tc>
        <w:tc>
          <w:tcPr>
            <w:tcW w:w="1170" w:type="dxa"/>
            <w:tcMar>
              <w:top w:w="0" w:type="dxa"/>
              <w:left w:w="108" w:type="dxa"/>
              <w:bottom w:w="0" w:type="dxa"/>
              <w:right w:w="108" w:type="dxa"/>
            </w:tcMar>
            <w:vAlign w:val="center"/>
          </w:tcPr>
          <w:p w14:paraId="6C1AC665"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52 948</w:t>
            </w:r>
          </w:p>
        </w:tc>
        <w:tc>
          <w:tcPr>
            <w:tcW w:w="1170" w:type="dxa"/>
            <w:tcMar>
              <w:top w:w="0" w:type="dxa"/>
              <w:left w:w="108" w:type="dxa"/>
              <w:bottom w:w="0" w:type="dxa"/>
              <w:right w:w="108" w:type="dxa"/>
            </w:tcMar>
            <w:vAlign w:val="center"/>
          </w:tcPr>
          <w:p w14:paraId="5A39FFBC"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70 023</w:t>
            </w:r>
          </w:p>
        </w:tc>
        <w:tc>
          <w:tcPr>
            <w:tcW w:w="1170" w:type="dxa"/>
            <w:tcMar>
              <w:top w:w="0" w:type="dxa"/>
              <w:left w:w="108" w:type="dxa"/>
              <w:bottom w:w="0" w:type="dxa"/>
              <w:right w:w="108" w:type="dxa"/>
            </w:tcMar>
            <w:vAlign w:val="center"/>
          </w:tcPr>
          <w:p w14:paraId="7E14B0A0"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101 732</w:t>
            </w:r>
          </w:p>
        </w:tc>
        <w:tc>
          <w:tcPr>
            <w:tcW w:w="1170" w:type="dxa"/>
            <w:vAlign w:val="center"/>
          </w:tcPr>
          <w:p w14:paraId="7AC8E873" w14:textId="571CD5FE" w:rsidR="004D32C2" w:rsidRPr="002C310E" w:rsidRDefault="00F04DCF" w:rsidP="004D32C2">
            <w:pPr>
              <w:spacing w:after="0" w:line="240" w:lineRule="auto"/>
              <w:jc w:val="center"/>
              <w:rPr>
                <w:rFonts w:eastAsia="Calibri" w:cstheme="minorHAnsi"/>
              </w:rPr>
            </w:pPr>
            <w:r w:rsidRPr="002C310E">
              <w:rPr>
                <w:rFonts w:eastAsia="Calibri" w:cstheme="minorHAnsi"/>
              </w:rPr>
              <w:t>224 703</w:t>
            </w:r>
          </w:p>
        </w:tc>
      </w:tr>
      <w:tr w:rsidR="00C72C9E" w14:paraId="74C3326E" w14:textId="77777777" w:rsidTr="00395EBF">
        <w:trPr>
          <w:trHeight w:val="255"/>
        </w:trPr>
        <w:tc>
          <w:tcPr>
            <w:tcW w:w="4503" w:type="dxa"/>
            <w:tcMar>
              <w:top w:w="0" w:type="dxa"/>
              <w:left w:w="108" w:type="dxa"/>
              <w:bottom w:w="0" w:type="dxa"/>
              <w:right w:w="108" w:type="dxa"/>
            </w:tcMar>
            <w:vAlign w:val="center"/>
          </w:tcPr>
          <w:p w14:paraId="4665F560" w14:textId="77777777" w:rsidR="004D32C2" w:rsidRPr="002C310E" w:rsidRDefault="00F04DCF" w:rsidP="004D32C2">
            <w:pPr>
              <w:spacing w:after="0" w:line="240" w:lineRule="auto"/>
              <w:contextualSpacing/>
              <w:rPr>
                <w:rFonts w:eastAsia="Calibri" w:cstheme="minorHAnsi"/>
              </w:rPr>
            </w:pPr>
            <w:r w:rsidRPr="002C310E">
              <w:rPr>
                <w:rFonts w:eastAsia="Calibri" w:cstheme="minorHAnsi"/>
              </w:rPr>
              <w:t>Prostředky SR</w:t>
            </w:r>
          </w:p>
        </w:tc>
        <w:tc>
          <w:tcPr>
            <w:tcW w:w="1170" w:type="dxa"/>
            <w:tcMar>
              <w:top w:w="0" w:type="dxa"/>
              <w:left w:w="108" w:type="dxa"/>
              <w:bottom w:w="0" w:type="dxa"/>
              <w:right w:w="108" w:type="dxa"/>
            </w:tcMar>
            <w:vAlign w:val="center"/>
          </w:tcPr>
          <w:p w14:paraId="50834DD3"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17 259</w:t>
            </w:r>
          </w:p>
        </w:tc>
        <w:tc>
          <w:tcPr>
            <w:tcW w:w="1170" w:type="dxa"/>
            <w:tcMar>
              <w:top w:w="0" w:type="dxa"/>
              <w:left w:w="108" w:type="dxa"/>
              <w:bottom w:w="0" w:type="dxa"/>
              <w:right w:w="108" w:type="dxa"/>
            </w:tcMar>
            <w:vAlign w:val="center"/>
          </w:tcPr>
          <w:p w14:paraId="584D6B59"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22 911</w:t>
            </w:r>
          </w:p>
        </w:tc>
        <w:tc>
          <w:tcPr>
            <w:tcW w:w="1170" w:type="dxa"/>
            <w:tcMar>
              <w:top w:w="0" w:type="dxa"/>
              <w:left w:w="108" w:type="dxa"/>
              <w:bottom w:w="0" w:type="dxa"/>
              <w:right w:w="108" w:type="dxa"/>
            </w:tcMar>
            <w:vAlign w:val="center"/>
          </w:tcPr>
          <w:p w14:paraId="2D1C0B0D"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32 417</w:t>
            </w:r>
          </w:p>
        </w:tc>
        <w:tc>
          <w:tcPr>
            <w:tcW w:w="1170" w:type="dxa"/>
            <w:vAlign w:val="center"/>
          </w:tcPr>
          <w:p w14:paraId="27E0C3C5" w14:textId="5F75BAE1" w:rsidR="004D32C2" w:rsidRPr="002C310E" w:rsidRDefault="00F04DCF" w:rsidP="004D32C2">
            <w:pPr>
              <w:spacing w:after="0" w:line="240" w:lineRule="auto"/>
              <w:jc w:val="center"/>
              <w:rPr>
                <w:rFonts w:eastAsia="Calibri" w:cstheme="minorHAnsi"/>
                <w:bCs/>
              </w:rPr>
            </w:pPr>
            <w:r w:rsidRPr="002C310E">
              <w:rPr>
                <w:rFonts w:eastAsia="Calibri" w:cstheme="minorHAnsi"/>
                <w:bCs/>
              </w:rPr>
              <w:t>72 587</w:t>
            </w:r>
          </w:p>
        </w:tc>
      </w:tr>
      <w:tr w:rsidR="00C72C9E" w14:paraId="5007A1AD" w14:textId="77777777" w:rsidTr="00395EBF">
        <w:trPr>
          <w:trHeight w:val="255"/>
        </w:trPr>
        <w:tc>
          <w:tcPr>
            <w:tcW w:w="4503" w:type="dxa"/>
            <w:shd w:val="clear" w:color="auto" w:fill="auto"/>
            <w:tcMar>
              <w:top w:w="0" w:type="dxa"/>
              <w:left w:w="108" w:type="dxa"/>
              <w:bottom w:w="0" w:type="dxa"/>
              <w:right w:w="108" w:type="dxa"/>
            </w:tcMar>
            <w:vAlign w:val="center"/>
            <w:hideMark/>
          </w:tcPr>
          <w:p w14:paraId="7F72AC4E" w14:textId="77777777" w:rsidR="004D32C2" w:rsidRPr="002C310E" w:rsidRDefault="00F04DCF" w:rsidP="004D32C2">
            <w:pPr>
              <w:spacing w:after="0" w:line="240" w:lineRule="auto"/>
              <w:rPr>
                <w:rFonts w:eastAsia="Calibri" w:cstheme="minorHAnsi"/>
              </w:rPr>
            </w:pPr>
            <w:r w:rsidRPr="002C310E">
              <w:rPr>
                <w:rFonts w:eastAsia="Calibri" w:cstheme="minorHAnsi"/>
              </w:rPr>
              <w:t>Vynaložené peněžní prostředky celkem</w:t>
            </w:r>
          </w:p>
        </w:tc>
        <w:tc>
          <w:tcPr>
            <w:tcW w:w="1170" w:type="dxa"/>
            <w:shd w:val="clear" w:color="auto" w:fill="auto"/>
            <w:tcMar>
              <w:top w:w="0" w:type="dxa"/>
              <w:left w:w="108" w:type="dxa"/>
              <w:bottom w:w="0" w:type="dxa"/>
              <w:right w:w="108" w:type="dxa"/>
            </w:tcMar>
            <w:vAlign w:val="center"/>
          </w:tcPr>
          <w:p w14:paraId="6D492066"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70 207</w:t>
            </w:r>
          </w:p>
        </w:tc>
        <w:tc>
          <w:tcPr>
            <w:tcW w:w="1170" w:type="dxa"/>
            <w:shd w:val="clear" w:color="auto" w:fill="auto"/>
            <w:tcMar>
              <w:top w:w="0" w:type="dxa"/>
              <w:left w:w="108" w:type="dxa"/>
              <w:bottom w:w="0" w:type="dxa"/>
              <w:right w:w="108" w:type="dxa"/>
            </w:tcMar>
            <w:vAlign w:val="center"/>
          </w:tcPr>
          <w:p w14:paraId="296CD0D5"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92 934</w:t>
            </w:r>
          </w:p>
        </w:tc>
        <w:tc>
          <w:tcPr>
            <w:tcW w:w="1170" w:type="dxa"/>
            <w:shd w:val="clear" w:color="auto" w:fill="auto"/>
            <w:tcMar>
              <w:top w:w="0" w:type="dxa"/>
              <w:left w:w="108" w:type="dxa"/>
              <w:bottom w:w="0" w:type="dxa"/>
              <w:right w:w="108" w:type="dxa"/>
            </w:tcMar>
            <w:vAlign w:val="center"/>
          </w:tcPr>
          <w:p w14:paraId="4E9444E2"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134 149</w:t>
            </w:r>
          </w:p>
        </w:tc>
        <w:tc>
          <w:tcPr>
            <w:tcW w:w="1170" w:type="dxa"/>
            <w:shd w:val="clear" w:color="auto" w:fill="auto"/>
            <w:vAlign w:val="center"/>
          </w:tcPr>
          <w:p w14:paraId="29237336" w14:textId="7CF97F52" w:rsidR="004D32C2" w:rsidRPr="002C310E" w:rsidRDefault="00F04DCF" w:rsidP="004D32C2">
            <w:pPr>
              <w:spacing w:after="0" w:line="240" w:lineRule="auto"/>
              <w:jc w:val="center"/>
              <w:rPr>
                <w:rFonts w:eastAsia="Calibri" w:cstheme="minorHAnsi"/>
                <w:bCs/>
              </w:rPr>
            </w:pPr>
            <w:r w:rsidRPr="002C310E">
              <w:rPr>
                <w:rFonts w:eastAsia="Calibri" w:cstheme="minorHAnsi"/>
                <w:bCs/>
              </w:rPr>
              <w:t>297 290</w:t>
            </w:r>
          </w:p>
        </w:tc>
      </w:tr>
    </w:tbl>
    <w:p w14:paraId="53C002FA" w14:textId="69D8E4E0" w:rsidR="004D32C2" w:rsidRPr="002C310E" w:rsidRDefault="00F04DCF" w:rsidP="0066166F">
      <w:pPr>
        <w:spacing w:after="0" w:line="240" w:lineRule="auto"/>
        <w:jc w:val="both"/>
        <w:rPr>
          <w:rFonts w:eastAsia="Times New Roman" w:cstheme="minorHAnsi"/>
          <w:color w:val="000000"/>
          <w:sz w:val="20"/>
          <w:szCs w:val="20"/>
        </w:rPr>
      </w:pPr>
      <w:r w:rsidRPr="002C310E">
        <w:rPr>
          <w:rFonts w:eastAsia="Times New Roman" w:cstheme="minorHAnsi"/>
          <w:color w:val="000000"/>
          <w:sz w:val="20"/>
          <w:szCs w:val="20"/>
        </w:rPr>
        <w:t>*</w:t>
      </w:r>
      <w:r w:rsidR="00304463">
        <w:rPr>
          <w:rFonts w:eastAsia="Times New Roman" w:cstheme="minorHAnsi"/>
          <w:color w:val="000000"/>
          <w:sz w:val="20"/>
          <w:szCs w:val="20"/>
        </w:rPr>
        <w:tab/>
      </w:r>
      <w:r w:rsidR="00395EBF">
        <w:rPr>
          <w:rFonts w:eastAsia="Times New Roman" w:cstheme="minorHAnsi"/>
          <w:color w:val="000000"/>
          <w:sz w:val="20"/>
          <w:szCs w:val="20"/>
        </w:rPr>
        <w:t>N</w:t>
      </w:r>
      <w:r w:rsidRPr="002C310E">
        <w:rPr>
          <w:rFonts w:eastAsia="Times New Roman" w:cstheme="minorHAnsi"/>
          <w:color w:val="000000"/>
          <w:sz w:val="20"/>
          <w:szCs w:val="20"/>
        </w:rPr>
        <w:t xml:space="preserve">ejsou zahrnuty prostředky vynaložené na technickou pomoc. </w:t>
      </w:r>
    </w:p>
    <w:p w14:paraId="1A3B230F" w14:textId="77777777" w:rsidR="00395EBF" w:rsidRDefault="00395EBF" w:rsidP="00395EBF">
      <w:pPr>
        <w:spacing w:after="0" w:line="240" w:lineRule="auto"/>
        <w:jc w:val="both"/>
        <w:rPr>
          <w:rFonts w:eastAsia="Calibri" w:cstheme="minorHAnsi"/>
          <w:sz w:val="20"/>
          <w:szCs w:val="20"/>
          <w:lang w:eastAsia="cs-CZ"/>
        </w:rPr>
      </w:pPr>
      <w:r w:rsidRPr="002C310E">
        <w:rPr>
          <w:rFonts w:eastAsia="Calibri" w:cstheme="minorHAnsi"/>
          <w:b/>
          <w:sz w:val="20"/>
          <w:szCs w:val="20"/>
          <w:lang w:eastAsia="cs-CZ"/>
        </w:rPr>
        <w:t>Zdroj:</w:t>
      </w:r>
      <w:r w:rsidRPr="002C310E">
        <w:rPr>
          <w:rFonts w:eastAsia="Calibri" w:cstheme="minorHAnsi"/>
          <w:sz w:val="20"/>
          <w:szCs w:val="20"/>
          <w:lang w:eastAsia="cs-CZ"/>
        </w:rPr>
        <w:t xml:space="preserve"> MV. </w:t>
      </w:r>
    </w:p>
    <w:p w14:paraId="083F003F" w14:textId="77777777" w:rsidR="007A3B7C" w:rsidRPr="002C310E" w:rsidRDefault="007A3B7C" w:rsidP="004D32C2">
      <w:pPr>
        <w:tabs>
          <w:tab w:val="left" w:pos="57"/>
        </w:tabs>
        <w:spacing w:after="0" w:line="240" w:lineRule="auto"/>
        <w:contextualSpacing/>
        <w:jc w:val="both"/>
        <w:rPr>
          <w:rFonts w:eastAsia="Times New Roman" w:cstheme="minorHAnsi"/>
          <w:color w:val="000000"/>
          <w:sz w:val="20"/>
          <w:szCs w:val="20"/>
        </w:rPr>
      </w:pPr>
    </w:p>
    <w:p w14:paraId="73F9390A" w14:textId="77777777" w:rsidR="004D32C2" w:rsidRPr="009518D1" w:rsidRDefault="00F04DCF" w:rsidP="007A3B7C">
      <w:pPr>
        <w:tabs>
          <w:tab w:val="right" w:pos="9072"/>
        </w:tabs>
        <w:spacing w:after="0" w:line="240" w:lineRule="auto"/>
        <w:rPr>
          <w:rFonts w:cstheme="minorHAnsi"/>
          <w:b/>
          <w:sz w:val="24"/>
          <w:szCs w:val="24"/>
        </w:rPr>
      </w:pPr>
      <w:r w:rsidRPr="009518D1">
        <w:rPr>
          <w:rFonts w:eastAsia="Calibri" w:cstheme="minorHAnsi"/>
          <w:b/>
          <w:iCs/>
          <w:sz w:val="24"/>
          <w:szCs w:val="24"/>
        </w:rPr>
        <w:t>Peněžní</w:t>
      </w:r>
      <w:r w:rsidR="007A3B7C" w:rsidRPr="009518D1">
        <w:rPr>
          <w:rFonts w:eastAsia="Calibri" w:cstheme="minorHAnsi"/>
          <w:b/>
          <w:iCs/>
          <w:sz w:val="24"/>
          <w:szCs w:val="24"/>
        </w:rPr>
        <w:t xml:space="preserve"> prostředky vynaložené na </w:t>
      </w:r>
      <w:r w:rsidRPr="009518D1">
        <w:rPr>
          <w:rFonts w:eastAsia="Calibri" w:cstheme="minorHAnsi"/>
          <w:b/>
          <w:i/>
          <w:sz w:val="24"/>
          <w:szCs w:val="24"/>
        </w:rPr>
        <w:t>Státní integrační program</w:t>
      </w:r>
      <w:r w:rsidRPr="009518D1">
        <w:rPr>
          <w:rFonts w:cstheme="minorHAnsi"/>
          <w:b/>
          <w:sz w:val="24"/>
          <w:szCs w:val="24"/>
        </w:rPr>
        <w:t xml:space="preserve"> </w:t>
      </w:r>
      <w:r w:rsidR="00E97BCB" w:rsidRPr="009518D1">
        <w:rPr>
          <w:rFonts w:cstheme="minorHAnsi"/>
          <w:b/>
          <w:sz w:val="24"/>
          <w:szCs w:val="24"/>
        </w:rPr>
        <w:t>(SIP)</w:t>
      </w:r>
    </w:p>
    <w:p w14:paraId="3B0E31C4" w14:textId="77777777" w:rsidR="004D32C2" w:rsidRPr="002C310E" w:rsidRDefault="00F04DCF" w:rsidP="004D32C2">
      <w:pPr>
        <w:tabs>
          <w:tab w:val="right" w:pos="9072"/>
        </w:tabs>
        <w:spacing w:after="40" w:line="240" w:lineRule="auto"/>
        <w:rPr>
          <w:rFonts w:cstheme="minorHAnsi"/>
          <w:b/>
          <w:sz w:val="24"/>
        </w:rPr>
      </w:pPr>
      <w:r w:rsidRPr="002C310E">
        <w:rPr>
          <w:rFonts w:cstheme="minorHAnsi"/>
          <w:b/>
        </w:rPr>
        <w:tab/>
        <w:t>(</w:t>
      </w:r>
      <w:r w:rsidRPr="002C310E">
        <w:rPr>
          <w:rFonts w:cstheme="minorHAnsi"/>
          <w:b/>
          <w:sz w:val="24"/>
        </w:rPr>
        <w:t>v tis. Kč)</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3"/>
        <w:gridCol w:w="1170"/>
        <w:gridCol w:w="1170"/>
        <w:gridCol w:w="1170"/>
        <w:gridCol w:w="1170"/>
      </w:tblGrid>
      <w:tr w:rsidR="00C72C9E" w14:paraId="50CBDC20" w14:textId="77777777" w:rsidTr="00B41468">
        <w:trPr>
          <w:trHeight w:val="255"/>
        </w:trPr>
        <w:tc>
          <w:tcPr>
            <w:tcW w:w="4503" w:type="dxa"/>
            <w:shd w:val="clear" w:color="auto" w:fill="E5F1FF"/>
            <w:tcMar>
              <w:top w:w="0" w:type="dxa"/>
              <w:left w:w="108" w:type="dxa"/>
              <w:bottom w:w="0" w:type="dxa"/>
              <w:right w:w="108" w:type="dxa"/>
            </w:tcMar>
            <w:vAlign w:val="center"/>
            <w:hideMark/>
          </w:tcPr>
          <w:p w14:paraId="2A97ECDE"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Rok</w:t>
            </w:r>
          </w:p>
        </w:tc>
        <w:tc>
          <w:tcPr>
            <w:tcW w:w="1170" w:type="dxa"/>
            <w:shd w:val="clear" w:color="auto" w:fill="E5F1FF"/>
            <w:tcMar>
              <w:top w:w="0" w:type="dxa"/>
              <w:left w:w="108" w:type="dxa"/>
              <w:bottom w:w="0" w:type="dxa"/>
              <w:right w:w="108" w:type="dxa"/>
            </w:tcMar>
            <w:vAlign w:val="center"/>
            <w:hideMark/>
          </w:tcPr>
          <w:p w14:paraId="2166D120"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2017</w:t>
            </w:r>
          </w:p>
        </w:tc>
        <w:tc>
          <w:tcPr>
            <w:tcW w:w="1170" w:type="dxa"/>
            <w:shd w:val="clear" w:color="auto" w:fill="E5F1FF"/>
            <w:tcMar>
              <w:top w:w="0" w:type="dxa"/>
              <w:left w:w="108" w:type="dxa"/>
              <w:bottom w:w="0" w:type="dxa"/>
              <w:right w:w="108" w:type="dxa"/>
            </w:tcMar>
            <w:vAlign w:val="center"/>
            <w:hideMark/>
          </w:tcPr>
          <w:p w14:paraId="00716F40"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2018</w:t>
            </w:r>
          </w:p>
        </w:tc>
        <w:tc>
          <w:tcPr>
            <w:tcW w:w="1170" w:type="dxa"/>
            <w:shd w:val="clear" w:color="auto" w:fill="E5F1FF"/>
            <w:tcMar>
              <w:top w:w="0" w:type="dxa"/>
              <w:left w:w="108" w:type="dxa"/>
              <w:bottom w:w="0" w:type="dxa"/>
              <w:right w:w="108" w:type="dxa"/>
            </w:tcMar>
            <w:vAlign w:val="center"/>
            <w:hideMark/>
          </w:tcPr>
          <w:p w14:paraId="1AC5ADB0"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2019</w:t>
            </w:r>
          </w:p>
        </w:tc>
        <w:tc>
          <w:tcPr>
            <w:tcW w:w="1170" w:type="dxa"/>
            <w:shd w:val="clear" w:color="auto" w:fill="E5F1FF"/>
            <w:vAlign w:val="center"/>
          </w:tcPr>
          <w:p w14:paraId="2CA4FEB3"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Celkem</w:t>
            </w:r>
          </w:p>
        </w:tc>
      </w:tr>
      <w:tr w:rsidR="00C72C9E" w14:paraId="729EBCBB" w14:textId="77777777" w:rsidTr="00B41468">
        <w:trPr>
          <w:trHeight w:val="255"/>
        </w:trPr>
        <w:tc>
          <w:tcPr>
            <w:tcW w:w="4503" w:type="dxa"/>
            <w:tcMar>
              <w:top w:w="0" w:type="dxa"/>
              <w:left w:w="108" w:type="dxa"/>
              <w:bottom w:w="0" w:type="dxa"/>
              <w:right w:w="108" w:type="dxa"/>
            </w:tcMar>
            <w:vAlign w:val="center"/>
          </w:tcPr>
          <w:p w14:paraId="37C89792" w14:textId="77777777" w:rsidR="004D32C2" w:rsidRPr="002C310E" w:rsidRDefault="00F04DCF" w:rsidP="004D32C2">
            <w:pPr>
              <w:spacing w:after="0" w:line="240" w:lineRule="auto"/>
              <w:contextualSpacing/>
              <w:rPr>
                <w:rFonts w:eastAsia="Calibri" w:cstheme="minorHAnsi"/>
              </w:rPr>
            </w:pPr>
            <w:r w:rsidRPr="002C310E">
              <w:rPr>
                <w:rFonts w:eastAsia="Calibri" w:cstheme="minorHAnsi"/>
              </w:rPr>
              <w:t>Vynaložené peněžní prostředky celkem</w:t>
            </w:r>
          </w:p>
        </w:tc>
        <w:tc>
          <w:tcPr>
            <w:tcW w:w="1170" w:type="dxa"/>
            <w:tcMar>
              <w:top w:w="0" w:type="dxa"/>
              <w:left w:w="108" w:type="dxa"/>
              <w:bottom w:w="0" w:type="dxa"/>
              <w:right w:w="108" w:type="dxa"/>
            </w:tcMar>
            <w:vAlign w:val="center"/>
          </w:tcPr>
          <w:p w14:paraId="256B9967"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10 041</w:t>
            </w:r>
          </w:p>
        </w:tc>
        <w:tc>
          <w:tcPr>
            <w:tcW w:w="1170" w:type="dxa"/>
            <w:tcMar>
              <w:top w:w="0" w:type="dxa"/>
              <w:left w:w="108" w:type="dxa"/>
              <w:bottom w:w="0" w:type="dxa"/>
              <w:right w:w="108" w:type="dxa"/>
            </w:tcMar>
            <w:vAlign w:val="center"/>
          </w:tcPr>
          <w:p w14:paraId="2BE8C455"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10 394</w:t>
            </w:r>
          </w:p>
        </w:tc>
        <w:tc>
          <w:tcPr>
            <w:tcW w:w="1170" w:type="dxa"/>
            <w:tcMar>
              <w:top w:w="0" w:type="dxa"/>
              <w:left w:w="108" w:type="dxa"/>
              <w:bottom w:w="0" w:type="dxa"/>
              <w:right w:w="108" w:type="dxa"/>
            </w:tcMar>
            <w:vAlign w:val="center"/>
          </w:tcPr>
          <w:p w14:paraId="1BC0C866"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9 391</w:t>
            </w:r>
          </w:p>
        </w:tc>
        <w:tc>
          <w:tcPr>
            <w:tcW w:w="1170" w:type="dxa"/>
            <w:vAlign w:val="center"/>
          </w:tcPr>
          <w:p w14:paraId="4DD4AA86" w14:textId="2580BE98" w:rsidR="004D32C2" w:rsidRPr="002C310E" w:rsidRDefault="00F04DCF" w:rsidP="004D32C2">
            <w:pPr>
              <w:spacing w:after="0" w:line="240" w:lineRule="auto"/>
              <w:jc w:val="center"/>
              <w:rPr>
                <w:rFonts w:eastAsia="Calibri" w:cstheme="minorHAnsi"/>
                <w:bCs/>
              </w:rPr>
            </w:pPr>
            <w:r w:rsidRPr="002C310E">
              <w:rPr>
                <w:rFonts w:eastAsia="Calibri" w:cstheme="minorHAnsi"/>
                <w:bCs/>
              </w:rPr>
              <w:t>29 826</w:t>
            </w:r>
          </w:p>
        </w:tc>
      </w:tr>
    </w:tbl>
    <w:p w14:paraId="4EBB3AE8" w14:textId="77777777" w:rsidR="004D32C2" w:rsidRPr="002C310E" w:rsidRDefault="00F04DCF" w:rsidP="00343A8D">
      <w:pPr>
        <w:spacing w:before="40" w:after="0" w:line="240" w:lineRule="auto"/>
        <w:jc w:val="both"/>
        <w:rPr>
          <w:rFonts w:eastAsia="Calibri" w:cstheme="minorHAnsi"/>
          <w:sz w:val="20"/>
          <w:szCs w:val="20"/>
          <w:lang w:eastAsia="cs-CZ"/>
        </w:rPr>
      </w:pPr>
      <w:r w:rsidRPr="002C310E">
        <w:rPr>
          <w:rFonts w:eastAsia="Calibri" w:cstheme="minorHAnsi"/>
          <w:b/>
          <w:sz w:val="20"/>
          <w:szCs w:val="20"/>
          <w:lang w:eastAsia="cs-CZ"/>
        </w:rPr>
        <w:t>Zdroj:</w:t>
      </w:r>
      <w:r w:rsidRPr="002C310E">
        <w:rPr>
          <w:rFonts w:eastAsia="Calibri" w:cstheme="minorHAnsi"/>
          <w:sz w:val="20"/>
          <w:szCs w:val="20"/>
          <w:lang w:eastAsia="cs-CZ"/>
        </w:rPr>
        <w:t xml:space="preserve"> MV. </w:t>
      </w:r>
    </w:p>
    <w:p w14:paraId="7FCFC28D" w14:textId="77777777" w:rsidR="007A3B7C" w:rsidRPr="002C310E" w:rsidRDefault="007A3B7C" w:rsidP="004D32C2">
      <w:pPr>
        <w:spacing w:after="0" w:line="240" w:lineRule="auto"/>
        <w:jc w:val="both"/>
        <w:rPr>
          <w:rFonts w:eastAsia="Times New Roman" w:cstheme="minorHAnsi"/>
          <w:sz w:val="20"/>
          <w:szCs w:val="20"/>
          <w:lang w:eastAsia="cs-CZ"/>
        </w:rPr>
      </w:pPr>
    </w:p>
    <w:p w14:paraId="6067871E" w14:textId="40D14DC0" w:rsidR="004D32C2" w:rsidRPr="002C310E" w:rsidRDefault="00F04DCF" w:rsidP="00304463">
      <w:pPr>
        <w:tabs>
          <w:tab w:val="right" w:pos="9072"/>
        </w:tabs>
        <w:spacing w:after="0" w:line="240" w:lineRule="auto"/>
        <w:rPr>
          <w:rFonts w:cstheme="minorHAnsi"/>
          <w:b/>
          <w:sz w:val="24"/>
          <w:szCs w:val="24"/>
        </w:rPr>
      </w:pPr>
      <w:r w:rsidRPr="002C310E">
        <w:rPr>
          <w:rFonts w:eastAsia="Calibri" w:cstheme="minorHAnsi"/>
          <w:b/>
          <w:iCs/>
          <w:sz w:val="24"/>
          <w:szCs w:val="24"/>
        </w:rPr>
        <w:t>Peněžní</w:t>
      </w:r>
      <w:r w:rsidR="007A3B7C" w:rsidRPr="002C310E">
        <w:rPr>
          <w:rFonts w:eastAsia="Calibri" w:cstheme="minorHAnsi"/>
          <w:b/>
          <w:iCs/>
          <w:sz w:val="24"/>
          <w:szCs w:val="24"/>
        </w:rPr>
        <w:t xml:space="preserve"> prostředky vynaložené na </w:t>
      </w:r>
      <w:r w:rsidRPr="002C310E">
        <w:rPr>
          <w:rFonts w:eastAsia="Times New Roman" w:cstheme="minorHAnsi"/>
          <w:b/>
          <w:i/>
          <w:color w:val="000000"/>
          <w:sz w:val="24"/>
          <w:szCs w:val="24"/>
        </w:rPr>
        <w:t>Program</w:t>
      </w:r>
      <w:r w:rsidRPr="002C310E">
        <w:rPr>
          <w:rFonts w:eastAsia="Times New Roman" w:cstheme="minorHAnsi"/>
          <w:b/>
          <w:i/>
          <w:sz w:val="24"/>
          <w:szCs w:val="24"/>
        </w:rPr>
        <w:t xml:space="preserve"> </w:t>
      </w:r>
      <w:r w:rsidRPr="002C310E">
        <w:rPr>
          <w:rFonts w:eastAsia="Times New Roman" w:cstheme="minorHAnsi"/>
          <w:b/>
          <w:i/>
          <w:color w:val="000000"/>
          <w:sz w:val="24"/>
          <w:szCs w:val="24"/>
        </w:rPr>
        <w:t>Ministerstva vnitra na asistenci uprchlíkům v regionech původu a prevenci velkých migračních pohybů</w:t>
      </w:r>
      <w:r w:rsidRPr="002C310E">
        <w:rPr>
          <w:rFonts w:cstheme="minorHAnsi"/>
          <w:b/>
          <w:sz w:val="24"/>
          <w:szCs w:val="24"/>
        </w:rPr>
        <w:t xml:space="preserve"> </w:t>
      </w:r>
      <w:r w:rsidR="00E97BCB" w:rsidRPr="002C310E">
        <w:rPr>
          <w:rFonts w:cstheme="minorHAnsi"/>
          <w:b/>
          <w:sz w:val="24"/>
          <w:szCs w:val="24"/>
        </w:rPr>
        <w:t>(program Pomoc na místě)</w:t>
      </w:r>
    </w:p>
    <w:p w14:paraId="7EB77950" w14:textId="77777777" w:rsidR="004D32C2" w:rsidRPr="002C310E" w:rsidRDefault="00F04DCF" w:rsidP="004D32C2">
      <w:pPr>
        <w:tabs>
          <w:tab w:val="right" w:pos="9072"/>
        </w:tabs>
        <w:spacing w:after="40" w:line="240" w:lineRule="auto"/>
        <w:rPr>
          <w:rFonts w:cstheme="minorHAnsi"/>
          <w:b/>
          <w:sz w:val="24"/>
        </w:rPr>
      </w:pPr>
      <w:r w:rsidRPr="002C310E">
        <w:rPr>
          <w:rFonts w:cstheme="minorHAnsi"/>
          <w:b/>
        </w:rPr>
        <w:tab/>
        <w:t>(</w:t>
      </w:r>
      <w:r w:rsidRPr="002C310E">
        <w:rPr>
          <w:rFonts w:cstheme="minorHAnsi"/>
          <w:b/>
          <w:sz w:val="24"/>
        </w:rPr>
        <w:t>v tis. Kč)</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3"/>
        <w:gridCol w:w="1170"/>
        <w:gridCol w:w="1170"/>
        <w:gridCol w:w="1170"/>
        <w:gridCol w:w="1170"/>
      </w:tblGrid>
      <w:tr w:rsidR="00C72C9E" w14:paraId="7E9030EC" w14:textId="77777777" w:rsidTr="00B41468">
        <w:trPr>
          <w:trHeight w:val="255"/>
        </w:trPr>
        <w:tc>
          <w:tcPr>
            <w:tcW w:w="4503" w:type="dxa"/>
            <w:shd w:val="clear" w:color="auto" w:fill="E5F1FF"/>
            <w:tcMar>
              <w:top w:w="0" w:type="dxa"/>
              <w:left w:w="108" w:type="dxa"/>
              <w:bottom w:w="0" w:type="dxa"/>
              <w:right w:w="108" w:type="dxa"/>
            </w:tcMar>
            <w:vAlign w:val="center"/>
            <w:hideMark/>
          </w:tcPr>
          <w:p w14:paraId="5FB5F616"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Rok</w:t>
            </w:r>
          </w:p>
        </w:tc>
        <w:tc>
          <w:tcPr>
            <w:tcW w:w="1170" w:type="dxa"/>
            <w:shd w:val="clear" w:color="auto" w:fill="E5F1FF"/>
            <w:tcMar>
              <w:top w:w="0" w:type="dxa"/>
              <w:left w:w="108" w:type="dxa"/>
              <w:bottom w:w="0" w:type="dxa"/>
              <w:right w:w="108" w:type="dxa"/>
            </w:tcMar>
            <w:vAlign w:val="center"/>
            <w:hideMark/>
          </w:tcPr>
          <w:p w14:paraId="62AE85ED"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2017</w:t>
            </w:r>
          </w:p>
        </w:tc>
        <w:tc>
          <w:tcPr>
            <w:tcW w:w="1170" w:type="dxa"/>
            <w:shd w:val="clear" w:color="auto" w:fill="E5F1FF"/>
            <w:tcMar>
              <w:top w:w="0" w:type="dxa"/>
              <w:left w:w="108" w:type="dxa"/>
              <w:bottom w:w="0" w:type="dxa"/>
              <w:right w:w="108" w:type="dxa"/>
            </w:tcMar>
            <w:vAlign w:val="center"/>
            <w:hideMark/>
          </w:tcPr>
          <w:p w14:paraId="5C54D06E"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2018</w:t>
            </w:r>
          </w:p>
        </w:tc>
        <w:tc>
          <w:tcPr>
            <w:tcW w:w="1170" w:type="dxa"/>
            <w:shd w:val="clear" w:color="auto" w:fill="E5F1FF"/>
            <w:tcMar>
              <w:top w:w="0" w:type="dxa"/>
              <w:left w:w="108" w:type="dxa"/>
              <w:bottom w:w="0" w:type="dxa"/>
              <w:right w:w="108" w:type="dxa"/>
            </w:tcMar>
            <w:vAlign w:val="center"/>
            <w:hideMark/>
          </w:tcPr>
          <w:p w14:paraId="3CCCE50D"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2019</w:t>
            </w:r>
          </w:p>
        </w:tc>
        <w:tc>
          <w:tcPr>
            <w:tcW w:w="1170" w:type="dxa"/>
            <w:shd w:val="clear" w:color="auto" w:fill="E5F1FF"/>
            <w:vAlign w:val="center"/>
          </w:tcPr>
          <w:p w14:paraId="1B7BFC71" w14:textId="77777777" w:rsidR="004D32C2" w:rsidRPr="002C310E" w:rsidRDefault="00F04DCF" w:rsidP="004D32C2">
            <w:pPr>
              <w:spacing w:after="0" w:line="240" w:lineRule="auto"/>
              <w:jc w:val="center"/>
              <w:rPr>
                <w:rFonts w:eastAsia="Calibri" w:cstheme="minorHAnsi"/>
                <w:b/>
                <w:bCs/>
              </w:rPr>
            </w:pPr>
            <w:r w:rsidRPr="002C310E">
              <w:rPr>
                <w:rFonts w:eastAsia="Calibri" w:cstheme="minorHAnsi"/>
                <w:b/>
                <w:bCs/>
              </w:rPr>
              <w:t>Celkem</w:t>
            </w:r>
          </w:p>
        </w:tc>
      </w:tr>
      <w:tr w:rsidR="00C72C9E" w14:paraId="60FE4750" w14:textId="77777777" w:rsidTr="00B41468">
        <w:trPr>
          <w:trHeight w:val="255"/>
        </w:trPr>
        <w:tc>
          <w:tcPr>
            <w:tcW w:w="4503" w:type="dxa"/>
            <w:tcMar>
              <w:top w:w="0" w:type="dxa"/>
              <w:left w:w="108" w:type="dxa"/>
              <w:bottom w:w="0" w:type="dxa"/>
              <w:right w:w="108" w:type="dxa"/>
            </w:tcMar>
            <w:vAlign w:val="center"/>
          </w:tcPr>
          <w:p w14:paraId="7CB1BE93" w14:textId="77777777" w:rsidR="004D32C2" w:rsidRPr="002C310E" w:rsidRDefault="00F04DCF" w:rsidP="004D32C2">
            <w:pPr>
              <w:spacing w:after="0" w:line="240" w:lineRule="auto"/>
              <w:contextualSpacing/>
              <w:rPr>
                <w:rFonts w:eastAsia="Calibri" w:cstheme="minorHAnsi"/>
              </w:rPr>
            </w:pPr>
            <w:r w:rsidRPr="002C310E">
              <w:rPr>
                <w:rFonts w:eastAsia="Calibri" w:cstheme="minorHAnsi"/>
              </w:rPr>
              <w:t>Vynaložené peněžní prostředky celkem</w:t>
            </w:r>
          </w:p>
        </w:tc>
        <w:tc>
          <w:tcPr>
            <w:tcW w:w="1170" w:type="dxa"/>
            <w:tcMar>
              <w:top w:w="0" w:type="dxa"/>
              <w:left w:w="108" w:type="dxa"/>
              <w:bottom w:w="0" w:type="dxa"/>
              <w:right w:w="108" w:type="dxa"/>
            </w:tcMar>
            <w:vAlign w:val="center"/>
          </w:tcPr>
          <w:p w14:paraId="49E8FC85"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157 240</w:t>
            </w:r>
          </w:p>
        </w:tc>
        <w:tc>
          <w:tcPr>
            <w:tcW w:w="1170" w:type="dxa"/>
            <w:tcMar>
              <w:top w:w="0" w:type="dxa"/>
              <w:left w:w="108" w:type="dxa"/>
              <w:bottom w:w="0" w:type="dxa"/>
              <w:right w:w="108" w:type="dxa"/>
            </w:tcMar>
            <w:vAlign w:val="center"/>
          </w:tcPr>
          <w:p w14:paraId="0A2C628C"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150 178</w:t>
            </w:r>
          </w:p>
        </w:tc>
        <w:tc>
          <w:tcPr>
            <w:tcW w:w="1170" w:type="dxa"/>
            <w:tcMar>
              <w:top w:w="0" w:type="dxa"/>
              <w:left w:w="108" w:type="dxa"/>
              <w:bottom w:w="0" w:type="dxa"/>
              <w:right w:w="108" w:type="dxa"/>
            </w:tcMar>
            <w:vAlign w:val="center"/>
          </w:tcPr>
          <w:p w14:paraId="63CD3B5F" w14:textId="77777777" w:rsidR="004D32C2" w:rsidRPr="002C310E" w:rsidRDefault="00F04DCF" w:rsidP="004D32C2">
            <w:pPr>
              <w:spacing w:after="0" w:line="240" w:lineRule="auto"/>
              <w:jc w:val="right"/>
              <w:rPr>
                <w:rFonts w:eastAsia="Calibri" w:cstheme="minorHAnsi"/>
              </w:rPr>
            </w:pPr>
            <w:r w:rsidRPr="002C310E">
              <w:rPr>
                <w:rFonts w:eastAsia="Calibri" w:cstheme="minorHAnsi"/>
              </w:rPr>
              <w:t>149 864</w:t>
            </w:r>
          </w:p>
        </w:tc>
        <w:tc>
          <w:tcPr>
            <w:tcW w:w="1170" w:type="dxa"/>
            <w:vAlign w:val="center"/>
          </w:tcPr>
          <w:p w14:paraId="536B9349" w14:textId="7E87A938" w:rsidR="004D32C2" w:rsidRPr="002C310E" w:rsidRDefault="00F04DCF" w:rsidP="004D32C2">
            <w:pPr>
              <w:spacing w:after="0" w:line="240" w:lineRule="auto"/>
              <w:jc w:val="center"/>
              <w:rPr>
                <w:rFonts w:eastAsia="Calibri" w:cstheme="minorHAnsi"/>
                <w:bCs/>
              </w:rPr>
            </w:pPr>
            <w:r w:rsidRPr="002C310E">
              <w:rPr>
                <w:rFonts w:eastAsia="Calibri" w:cstheme="minorHAnsi"/>
                <w:bCs/>
              </w:rPr>
              <w:t>457 282</w:t>
            </w:r>
          </w:p>
        </w:tc>
      </w:tr>
    </w:tbl>
    <w:p w14:paraId="1602A234" w14:textId="77777777" w:rsidR="004D32C2" w:rsidRPr="002C310E" w:rsidRDefault="00F04DCF" w:rsidP="00343A8D">
      <w:pPr>
        <w:spacing w:before="40" w:after="0" w:line="240" w:lineRule="auto"/>
        <w:jc w:val="both"/>
        <w:rPr>
          <w:rFonts w:eastAsia="Times New Roman" w:cstheme="minorHAnsi"/>
          <w:sz w:val="20"/>
          <w:szCs w:val="20"/>
          <w:lang w:eastAsia="cs-CZ"/>
        </w:rPr>
      </w:pPr>
      <w:r w:rsidRPr="002C310E">
        <w:rPr>
          <w:rFonts w:eastAsia="Calibri" w:cstheme="minorHAnsi"/>
          <w:b/>
          <w:sz w:val="20"/>
          <w:szCs w:val="20"/>
          <w:lang w:eastAsia="cs-CZ"/>
        </w:rPr>
        <w:t>Zdroj:</w:t>
      </w:r>
      <w:r w:rsidRPr="002C310E">
        <w:rPr>
          <w:rFonts w:eastAsia="Calibri" w:cstheme="minorHAnsi"/>
          <w:sz w:val="20"/>
          <w:szCs w:val="20"/>
          <w:lang w:eastAsia="cs-CZ"/>
        </w:rPr>
        <w:t xml:space="preserve"> MV. </w:t>
      </w:r>
    </w:p>
    <w:p w14:paraId="7E156C12" w14:textId="05905E5A" w:rsidR="006D3643" w:rsidRDefault="006D3643">
      <w:pPr>
        <w:rPr>
          <w:rFonts w:cstheme="minorHAnsi"/>
          <w:sz w:val="20"/>
          <w:szCs w:val="20"/>
        </w:rPr>
      </w:pPr>
      <w:r>
        <w:rPr>
          <w:rFonts w:cstheme="minorHAnsi"/>
          <w:sz w:val="20"/>
          <w:szCs w:val="20"/>
        </w:rPr>
        <w:br w:type="page"/>
      </w:r>
    </w:p>
    <w:p w14:paraId="0CA62DBA" w14:textId="3F9E84CC" w:rsidR="003A0F4D" w:rsidRPr="002C310E" w:rsidRDefault="00F04DCF" w:rsidP="003A0F4D">
      <w:pPr>
        <w:pStyle w:val="Nadpis1"/>
        <w:spacing w:before="0" w:line="240" w:lineRule="auto"/>
        <w:jc w:val="right"/>
        <w:rPr>
          <w:rFonts w:asciiTheme="minorHAnsi" w:hAnsiTheme="minorHAnsi" w:cstheme="minorHAnsi"/>
          <w:b/>
          <w:color w:val="auto"/>
          <w:sz w:val="24"/>
          <w:szCs w:val="24"/>
        </w:rPr>
      </w:pPr>
      <w:r w:rsidRPr="002C310E">
        <w:rPr>
          <w:rFonts w:asciiTheme="minorHAnsi" w:hAnsiTheme="minorHAnsi" w:cstheme="minorHAnsi"/>
          <w:b/>
          <w:color w:val="auto"/>
          <w:sz w:val="24"/>
          <w:szCs w:val="24"/>
        </w:rPr>
        <w:lastRenderedPageBreak/>
        <w:t xml:space="preserve">Příloha č. </w:t>
      </w:r>
      <w:r w:rsidR="001D5D00">
        <w:rPr>
          <w:rFonts w:asciiTheme="minorHAnsi" w:hAnsiTheme="minorHAnsi" w:cstheme="minorHAnsi"/>
          <w:b/>
          <w:color w:val="auto"/>
          <w:sz w:val="24"/>
          <w:szCs w:val="24"/>
        </w:rPr>
        <w:t>2</w:t>
      </w:r>
    </w:p>
    <w:p w14:paraId="5E34E0BB" w14:textId="77777777" w:rsidR="003A0F4D" w:rsidRPr="002C310E" w:rsidRDefault="00F04DCF" w:rsidP="00235C66">
      <w:pPr>
        <w:spacing w:after="40" w:line="240" w:lineRule="auto"/>
        <w:rPr>
          <w:rFonts w:eastAsia="Calibri" w:cstheme="minorHAnsi"/>
          <w:b/>
          <w:sz w:val="24"/>
          <w:szCs w:val="24"/>
        </w:rPr>
      </w:pPr>
      <w:r w:rsidRPr="002C310E">
        <w:rPr>
          <w:rFonts w:eastAsia="Calibri" w:cstheme="minorHAnsi"/>
          <w:b/>
          <w:sz w:val="24"/>
          <w:szCs w:val="24"/>
        </w:rPr>
        <w:t>Vývoj počtu cizinců v ČR v letech 2015 až 2019</w:t>
      </w:r>
    </w:p>
    <w:tbl>
      <w:tblPr>
        <w:tblStyle w:val="Mkatabulky2"/>
        <w:tblW w:w="9125" w:type="dxa"/>
        <w:jc w:val="center"/>
        <w:tblLook w:val="04A0" w:firstRow="1" w:lastRow="0" w:firstColumn="1" w:lastColumn="0" w:noHBand="0" w:noVBand="1"/>
      </w:tblPr>
      <w:tblGrid>
        <w:gridCol w:w="4025"/>
        <w:gridCol w:w="1020"/>
        <w:gridCol w:w="1020"/>
        <w:gridCol w:w="1020"/>
        <w:gridCol w:w="1020"/>
        <w:gridCol w:w="1020"/>
      </w:tblGrid>
      <w:tr w:rsidR="00C72C9E" w:rsidRPr="00235C66" w14:paraId="14E03F01"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D9E4D90" w14:textId="77777777" w:rsidR="003A0F4D" w:rsidRPr="00235C66" w:rsidRDefault="00F04DCF" w:rsidP="00510093">
            <w:pPr>
              <w:jc w:val="center"/>
              <w:rPr>
                <w:rFonts w:ascii="Calibri" w:hAnsi="Calibri" w:cs="Calibri"/>
                <w:b/>
              </w:rPr>
            </w:pPr>
            <w:r w:rsidRPr="00235C66">
              <w:rPr>
                <w:rFonts w:ascii="Calibri" w:eastAsia="Calibri" w:hAnsi="Calibri" w:cs="Calibri"/>
                <w:b/>
                <w:bCs/>
              </w:rPr>
              <w:t>Počet/rok</w:t>
            </w:r>
          </w:p>
        </w:tc>
        <w:tc>
          <w:tcPr>
            <w:tcW w:w="102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D1248CF" w14:textId="77777777" w:rsidR="003A0F4D" w:rsidRPr="00235C66" w:rsidRDefault="00F04DCF" w:rsidP="00510093">
            <w:pPr>
              <w:jc w:val="center"/>
              <w:rPr>
                <w:rFonts w:ascii="Calibri" w:hAnsi="Calibri" w:cs="Calibri"/>
                <w:b/>
              </w:rPr>
            </w:pPr>
            <w:r w:rsidRPr="00235C66">
              <w:rPr>
                <w:rFonts w:ascii="Calibri" w:hAnsi="Calibri" w:cs="Calibri"/>
                <w:b/>
              </w:rPr>
              <w:t>2015</w:t>
            </w:r>
          </w:p>
        </w:tc>
        <w:tc>
          <w:tcPr>
            <w:tcW w:w="102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17FE938" w14:textId="77777777" w:rsidR="003A0F4D" w:rsidRPr="00235C66" w:rsidRDefault="00F04DCF" w:rsidP="00510093">
            <w:pPr>
              <w:jc w:val="center"/>
              <w:rPr>
                <w:rFonts w:ascii="Calibri" w:hAnsi="Calibri" w:cs="Calibri"/>
                <w:b/>
              </w:rPr>
            </w:pPr>
            <w:r w:rsidRPr="00235C66">
              <w:rPr>
                <w:rFonts w:ascii="Calibri" w:hAnsi="Calibri" w:cs="Calibri"/>
                <w:b/>
              </w:rPr>
              <w:t>2016</w:t>
            </w:r>
          </w:p>
        </w:tc>
        <w:tc>
          <w:tcPr>
            <w:tcW w:w="102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1322CFC8" w14:textId="77777777" w:rsidR="003A0F4D" w:rsidRPr="00235C66" w:rsidRDefault="00F04DCF" w:rsidP="00510093">
            <w:pPr>
              <w:jc w:val="center"/>
              <w:rPr>
                <w:rFonts w:ascii="Calibri" w:hAnsi="Calibri" w:cs="Calibri"/>
                <w:b/>
              </w:rPr>
            </w:pPr>
            <w:r w:rsidRPr="00235C66">
              <w:rPr>
                <w:rFonts w:ascii="Calibri" w:eastAsia="Calibri" w:hAnsi="Calibri" w:cs="Calibri"/>
                <w:b/>
                <w:bCs/>
              </w:rPr>
              <w:t>2017</w:t>
            </w:r>
          </w:p>
        </w:tc>
        <w:tc>
          <w:tcPr>
            <w:tcW w:w="102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3989D53E" w14:textId="77777777" w:rsidR="003A0F4D" w:rsidRPr="00235C66" w:rsidRDefault="00F04DCF" w:rsidP="00510093">
            <w:pPr>
              <w:jc w:val="center"/>
              <w:rPr>
                <w:rFonts w:ascii="Calibri" w:hAnsi="Calibri" w:cs="Calibri"/>
                <w:b/>
              </w:rPr>
            </w:pPr>
            <w:r w:rsidRPr="00235C66">
              <w:rPr>
                <w:rFonts w:ascii="Calibri" w:eastAsia="Calibri" w:hAnsi="Calibri" w:cs="Calibri"/>
                <w:b/>
                <w:bCs/>
              </w:rPr>
              <w:t>2018</w:t>
            </w:r>
          </w:p>
        </w:tc>
        <w:tc>
          <w:tcPr>
            <w:tcW w:w="1020"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7C67E17" w14:textId="77777777" w:rsidR="003A0F4D" w:rsidRPr="00235C66" w:rsidRDefault="00F04DCF" w:rsidP="00510093">
            <w:pPr>
              <w:jc w:val="center"/>
              <w:rPr>
                <w:rFonts w:ascii="Calibri" w:hAnsi="Calibri" w:cs="Calibri"/>
                <w:b/>
              </w:rPr>
            </w:pPr>
            <w:r w:rsidRPr="00235C66">
              <w:rPr>
                <w:rFonts w:ascii="Calibri" w:eastAsia="Calibri" w:hAnsi="Calibri" w:cs="Calibri"/>
                <w:b/>
                <w:bCs/>
              </w:rPr>
              <w:t>2019</w:t>
            </w:r>
          </w:p>
        </w:tc>
      </w:tr>
      <w:tr w:rsidR="00C72C9E" w:rsidRPr="00235C66" w14:paraId="22A1C9AE"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79DDCC92" w14:textId="77777777" w:rsidR="003A0F4D" w:rsidRPr="00235C66" w:rsidRDefault="00F04DCF" w:rsidP="00510093">
            <w:pPr>
              <w:rPr>
                <w:rFonts w:ascii="Calibri" w:hAnsi="Calibri" w:cs="Calibri"/>
                <w:b/>
              </w:rPr>
            </w:pPr>
            <w:r w:rsidRPr="00235C66">
              <w:rPr>
                <w:rFonts w:ascii="Calibri" w:hAnsi="Calibri" w:cs="Calibri"/>
                <w:b/>
              </w:rPr>
              <w:t>Počet cizinců s povoleným pobytem*</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CFDFA9E" w14:textId="77777777" w:rsidR="003A0F4D" w:rsidRPr="00235C66" w:rsidRDefault="00F04DCF" w:rsidP="00510093">
            <w:pPr>
              <w:ind w:right="57"/>
              <w:jc w:val="right"/>
              <w:rPr>
                <w:rFonts w:ascii="Calibri" w:hAnsi="Calibri" w:cs="Calibri"/>
                <w:b/>
              </w:rPr>
            </w:pPr>
            <w:r w:rsidRPr="00235C66">
              <w:rPr>
                <w:rFonts w:ascii="Calibri" w:hAnsi="Calibri" w:cs="Calibri"/>
                <w:b/>
              </w:rPr>
              <w:t>467 562</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68469B9" w14:textId="77777777" w:rsidR="003A0F4D" w:rsidRPr="00235C66" w:rsidRDefault="00F04DCF" w:rsidP="00510093">
            <w:pPr>
              <w:ind w:right="57"/>
              <w:jc w:val="right"/>
              <w:rPr>
                <w:rFonts w:ascii="Calibri" w:hAnsi="Calibri" w:cs="Calibri"/>
                <w:b/>
              </w:rPr>
            </w:pPr>
            <w:r w:rsidRPr="00235C66">
              <w:rPr>
                <w:rFonts w:ascii="Calibri" w:hAnsi="Calibri" w:cs="Calibri"/>
                <w:b/>
              </w:rPr>
              <w:t>496 413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0D8AE61" w14:textId="77777777" w:rsidR="003A0F4D" w:rsidRPr="00235C66" w:rsidRDefault="00F04DCF" w:rsidP="00510093">
            <w:pPr>
              <w:ind w:right="57"/>
              <w:jc w:val="right"/>
              <w:rPr>
                <w:rFonts w:ascii="Calibri" w:hAnsi="Calibri" w:cs="Calibri"/>
                <w:b/>
              </w:rPr>
            </w:pPr>
            <w:r w:rsidRPr="00235C66">
              <w:rPr>
                <w:rFonts w:ascii="Calibri" w:hAnsi="Calibri" w:cs="Calibri"/>
                <w:b/>
              </w:rPr>
              <w:t>526 811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3A6A6B6" w14:textId="77777777" w:rsidR="003A0F4D" w:rsidRPr="00235C66" w:rsidRDefault="00F04DCF" w:rsidP="00510093">
            <w:pPr>
              <w:ind w:right="57"/>
              <w:jc w:val="right"/>
              <w:rPr>
                <w:rFonts w:ascii="Calibri" w:hAnsi="Calibri" w:cs="Calibri"/>
                <w:b/>
              </w:rPr>
            </w:pPr>
            <w:r w:rsidRPr="00235C66">
              <w:rPr>
                <w:rFonts w:ascii="Calibri" w:hAnsi="Calibri" w:cs="Calibri"/>
                <w:b/>
              </w:rPr>
              <w:t>566 931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B568E66" w14:textId="77777777" w:rsidR="003A0F4D" w:rsidRPr="00235C66" w:rsidRDefault="00F04DCF" w:rsidP="00510093">
            <w:pPr>
              <w:ind w:right="57"/>
              <w:jc w:val="right"/>
              <w:rPr>
                <w:rFonts w:ascii="Calibri" w:hAnsi="Calibri" w:cs="Calibri"/>
                <w:b/>
              </w:rPr>
            </w:pPr>
            <w:r w:rsidRPr="00235C66">
              <w:rPr>
                <w:rFonts w:ascii="Calibri" w:hAnsi="Calibri" w:cs="Calibri"/>
                <w:b/>
              </w:rPr>
              <w:t>595 881</w:t>
            </w:r>
          </w:p>
        </w:tc>
      </w:tr>
      <w:tr w:rsidR="00C72C9E" w:rsidRPr="00235C66" w14:paraId="667A51F7"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33C2DDE5" w14:textId="77777777" w:rsidR="003A0F4D" w:rsidRPr="00235C66" w:rsidRDefault="00F04DCF" w:rsidP="00510093">
            <w:pPr>
              <w:numPr>
                <w:ilvl w:val="0"/>
                <w:numId w:val="6"/>
              </w:numPr>
              <w:ind w:left="357" w:hanging="357"/>
              <w:rPr>
                <w:rFonts w:ascii="Calibri" w:hAnsi="Calibri" w:cs="Calibri"/>
                <w:b/>
              </w:rPr>
            </w:pPr>
            <w:r w:rsidRPr="00235C66">
              <w:rPr>
                <w:rFonts w:ascii="Calibri" w:hAnsi="Calibri" w:cs="Calibri"/>
                <w:b/>
              </w:rPr>
              <w:t>poměr k celkové populaci ČR (v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5C7712F" w14:textId="77777777" w:rsidR="003A0F4D" w:rsidRPr="00235C66" w:rsidRDefault="00F04DCF" w:rsidP="00510093">
            <w:pPr>
              <w:ind w:right="57"/>
              <w:jc w:val="center"/>
              <w:rPr>
                <w:rFonts w:ascii="Calibri" w:hAnsi="Calibri" w:cs="Calibri"/>
                <w:b/>
              </w:rPr>
            </w:pPr>
            <w:r w:rsidRPr="00235C66">
              <w:rPr>
                <w:rFonts w:ascii="Calibri" w:hAnsi="Calibri" w:cs="Calibri"/>
                <w:b/>
              </w:rPr>
              <w:t>4,4 %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F4DED7E" w14:textId="77777777" w:rsidR="003A0F4D" w:rsidRPr="00235C66" w:rsidRDefault="00F04DCF" w:rsidP="00510093">
            <w:pPr>
              <w:ind w:right="57"/>
              <w:jc w:val="center"/>
              <w:rPr>
                <w:rFonts w:ascii="Calibri" w:hAnsi="Calibri" w:cs="Calibri"/>
                <w:b/>
              </w:rPr>
            </w:pPr>
            <w:r w:rsidRPr="00235C66">
              <w:rPr>
                <w:rFonts w:ascii="Calibri" w:hAnsi="Calibri" w:cs="Calibri"/>
                <w:b/>
              </w:rPr>
              <w:t>4,7 %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B9CD74F" w14:textId="77777777" w:rsidR="003A0F4D" w:rsidRPr="00235C66" w:rsidRDefault="00F04DCF" w:rsidP="00510093">
            <w:pPr>
              <w:ind w:right="57"/>
              <w:jc w:val="center"/>
              <w:rPr>
                <w:rFonts w:ascii="Calibri" w:hAnsi="Calibri" w:cs="Calibri"/>
                <w:b/>
              </w:rPr>
            </w:pPr>
            <w:r w:rsidRPr="00235C66">
              <w:rPr>
                <w:rFonts w:ascii="Calibri" w:hAnsi="Calibri" w:cs="Calibri"/>
                <w:b/>
              </w:rPr>
              <w:t>4,9 %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AFCD80D" w14:textId="77777777" w:rsidR="003A0F4D" w:rsidRPr="00235C66" w:rsidRDefault="00F04DCF" w:rsidP="00510093">
            <w:pPr>
              <w:ind w:right="57"/>
              <w:jc w:val="center"/>
              <w:rPr>
                <w:rFonts w:ascii="Calibri" w:hAnsi="Calibri" w:cs="Calibri"/>
                <w:b/>
              </w:rPr>
            </w:pPr>
            <w:r w:rsidRPr="00235C66">
              <w:rPr>
                <w:rFonts w:ascii="Calibri" w:hAnsi="Calibri" w:cs="Calibri"/>
                <w:b/>
              </w:rPr>
              <w:t>5,3 %</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0F94935" w14:textId="77777777" w:rsidR="003A0F4D" w:rsidRPr="00235C66" w:rsidRDefault="00F04DCF" w:rsidP="00510093">
            <w:pPr>
              <w:ind w:right="57"/>
              <w:jc w:val="center"/>
              <w:rPr>
                <w:rFonts w:ascii="Calibri" w:hAnsi="Calibri" w:cs="Calibri"/>
                <w:b/>
              </w:rPr>
            </w:pPr>
            <w:r w:rsidRPr="00235C66">
              <w:rPr>
                <w:rFonts w:ascii="Calibri" w:hAnsi="Calibri" w:cs="Calibri"/>
                <w:b/>
              </w:rPr>
              <w:t>5,6 %</w:t>
            </w:r>
          </w:p>
        </w:tc>
      </w:tr>
      <w:tr w:rsidR="00C72C9E" w:rsidRPr="00235C66" w14:paraId="467C9910"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7DA75727" w14:textId="77777777" w:rsidR="003A0F4D" w:rsidRPr="00235C66" w:rsidRDefault="00F04DCF" w:rsidP="00510093">
            <w:pPr>
              <w:numPr>
                <w:ilvl w:val="0"/>
                <w:numId w:val="6"/>
              </w:numPr>
              <w:ind w:left="357" w:hanging="357"/>
              <w:rPr>
                <w:rFonts w:ascii="Calibri" w:hAnsi="Calibri" w:cs="Calibri"/>
              </w:rPr>
            </w:pPr>
            <w:r w:rsidRPr="00235C66">
              <w:rPr>
                <w:rFonts w:ascii="Calibri" w:hAnsi="Calibri" w:cs="Calibri"/>
              </w:rPr>
              <w:t>z toho občanů EU</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7C77EFD" w14:textId="77777777" w:rsidR="003A0F4D" w:rsidRPr="00235C66" w:rsidRDefault="00F04DCF" w:rsidP="00510093">
            <w:pPr>
              <w:ind w:right="57"/>
              <w:jc w:val="right"/>
              <w:rPr>
                <w:rFonts w:ascii="Calibri" w:hAnsi="Calibri" w:cs="Calibri"/>
              </w:rPr>
            </w:pPr>
            <w:r w:rsidRPr="00235C66">
              <w:rPr>
                <w:rFonts w:ascii="Calibri" w:hAnsi="Calibri" w:cs="Calibri"/>
              </w:rPr>
              <w:t>196 378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B5F6149" w14:textId="77777777" w:rsidR="003A0F4D" w:rsidRPr="00235C66" w:rsidRDefault="00F04DCF" w:rsidP="00510093">
            <w:pPr>
              <w:ind w:right="57"/>
              <w:jc w:val="right"/>
              <w:rPr>
                <w:rFonts w:ascii="Calibri" w:hAnsi="Calibri" w:cs="Calibri"/>
              </w:rPr>
            </w:pPr>
            <w:r w:rsidRPr="00235C66">
              <w:rPr>
                <w:rFonts w:ascii="Calibri" w:hAnsi="Calibri" w:cs="Calibri"/>
              </w:rPr>
              <w:t>209 078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5242241" w14:textId="77777777" w:rsidR="003A0F4D" w:rsidRPr="00235C66" w:rsidRDefault="00F04DCF" w:rsidP="00510093">
            <w:pPr>
              <w:ind w:right="57"/>
              <w:jc w:val="right"/>
              <w:rPr>
                <w:rFonts w:ascii="Calibri" w:hAnsi="Calibri" w:cs="Calibri"/>
              </w:rPr>
            </w:pPr>
            <w:r w:rsidRPr="00235C66">
              <w:rPr>
                <w:rFonts w:ascii="Calibri" w:hAnsi="Calibri" w:cs="Calibri"/>
              </w:rPr>
              <w:t>220 677</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64317AB" w14:textId="77777777" w:rsidR="003A0F4D" w:rsidRPr="00235C66" w:rsidRDefault="00F04DCF" w:rsidP="00510093">
            <w:pPr>
              <w:ind w:right="57"/>
              <w:jc w:val="right"/>
              <w:rPr>
                <w:rFonts w:ascii="Calibri" w:hAnsi="Calibri" w:cs="Calibri"/>
              </w:rPr>
            </w:pPr>
            <w:r w:rsidRPr="00235C66">
              <w:rPr>
                <w:rFonts w:ascii="Calibri" w:hAnsi="Calibri" w:cs="Calibri"/>
              </w:rPr>
              <w:t>232 493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6EFBEEE" w14:textId="77777777" w:rsidR="003A0F4D" w:rsidRPr="00235C66" w:rsidRDefault="00F04DCF" w:rsidP="00510093">
            <w:pPr>
              <w:ind w:right="57"/>
              <w:jc w:val="right"/>
              <w:rPr>
                <w:rFonts w:ascii="Calibri" w:hAnsi="Calibri" w:cs="Calibri"/>
              </w:rPr>
            </w:pPr>
            <w:r w:rsidRPr="00235C66">
              <w:rPr>
                <w:rFonts w:ascii="Calibri" w:hAnsi="Calibri" w:cs="Calibri"/>
              </w:rPr>
              <w:t>246 321</w:t>
            </w:r>
          </w:p>
        </w:tc>
      </w:tr>
      <w:tr w:rsidR="00C72C9E" w:rsidRPr="00235C66" w14:paraId="4F655A93"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3508C42B" w14:textId="77777777" w:rsidR="003A0F4D" w:rsidRPr="00235C66" w:rsidRDefault="00F04DCF" w:rsidP="00510093">
            <w:pPr>
              <w:numPr>
                <w:ilvl w:val="0"/>
                <w:numId w:val="6"/>
              </w:numPr>
              <w:ind w:left="357" w:hanging="357"/>
              <w:rPr>
                <w:rFonts w:ascii="Calibri" w:hAnsi="Calibri" w:cs="Calibri"/>
              </w:rPr>
            </w:pPr>
            <w:r w:rsidRPr="00235C66">
              <w:rPr>
                <w:rFonts w:ascii="Calibri" w:hAnsi="Calibri" w:cs="Calibri"/>
              </w:rPr>
              <w:t>z toho státních příslušníků třetích zemí</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C5A78CB" w14:textId="77777777" w:rsidR="003A0F4D" w:rsidRPr="00235C66" w:rsidRDefault="00F04DCF" w:rsidP="00510093">
            <w:pPr>
              <w:ind w:right="57"/>
              <w:jc w:val="right"/>
              <w:rPr>
                <w:rFonts w:ascii="Calibri" w:hAnsi="Calibri" w:cs="Calibri"/>
              </w:rPr>
            </w:pPr>
            <w:r w:rsidRPr="00235C66">
              <w:rPr>
                <w:rFonts w:ascii="Calibri" w:hAnsi="Calibri" w:cs="Calibri"/>
              </w:rPr>
              <w:t>271 184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5D8CF0D" w14:textId="77777777" w:rsidR="003A0F4D" w:rsidRPr="00235C66" w:rsidRDefault="00F04DCF" w:rsidP="00510093">
            <w:pPr>
              <w:ind w:right="57"/>
              <w:jc w:val="right"/>
              <w:rPr>
                <w:rFonts w:ascii="Calibri" w:hAnsi="Calibri" w:cs="Calibri"/>
              </w:rPr>
            </w:pPr>
            <w:r w:rsidRPr="00235C66">
              <w:rPr>
                <w:rFonts w:ascii="Calibri" w:hAnsi="Calibri" w:cs="Calibri"/>
              </w:rPr>
              <w:t>287 335</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98BEE42" w14:textId="77777777" w:rsidR="003A0F4D" w:rsidRPr="00235C66" w:rsidRDefault="00F04DCF" w:rsidP="00510093">
            <w:pPr>
              <w:ind w:right="57"/>
              <w:jc w:val="right"/>
              <w:rPr>
                <w:rFonts w:ascii="Calibri" w:hAnsi="Calibri" w:cs="Calibri"/>
              </w:rPr>
            </w:pPr>
            <w:r w:rsidRPr="00235C66">
              <w:rPr>
                <w:rFonts w:ascii="Calibri" w:hAnsi="Calibri" w:cs="Calibri"/>
              </w:rPr>
              <w:t>306 134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84006DC" w14:textId="77777777" w:rsidR="003A0F4D" w:rsidRPr="00235C66" w:rsidRDefault="00F04DCF" w:rsidP="00510093">
            <w:pPr>
              <w:ind w:right="57"/>
              <w:jc w:val="right"/>
              <w:rPr>
                <w:rFonts w:ascii="Calibri" w:hAnsi="Calibri" w:cs="Calibri"/>
              </w:rPr>
            </w:pPr>
            <w:r w:rsidRPr="00235C66">
              <w:rPr>
                <w:rFonts w:ascii="Calibri" w:hAnsi="Calibri" w:cs="Calibri"/>
              </w:rPr>
              <w:t>334 438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B53F832" w14:textId="77777777" w:rsidR="003A0F4D" w:rsidRPr="00235C66" w:rsidRDefault="00F04DCF" w:rsidP="00510093">
            <w:pPr>
              <w:ind w:right="57"/>
              <w:jc w:val="right"/>
              <w:rPr>
                <w:rFonts w:ascii="Calibri" w:hAnsi="Calibri" w:cs="Calibri"/>
              </w:rPr>
            </w:pPr>
            <w:r w:rsidRPr="00235C66">
              <w:rPr>
                <w:rFonts w:ascii="Calibri" w:hAnsi="Calibri" w:cs="Calibri"/>
              </w:rPr>
              <w:t>349 560</w:t>
            </w:r>
          </w:p>
        </w:tc>
      </w:tr>
      <w:tr w:rsidR="00C72C9E" w:rsidRPr="00235C66" w14:paraId="02C263CC"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7E508D05" w14:textId="77777777" w:rsidR="003A0F4D" w:rsidRPr="00235C66" w:rsidRDefault="00F04DCF" w:rsidP="00510093">
            <w:pPr>
              <w:rPr>
                <w:rFonts w:ascii="Calibri" w:hAnsi="Calibri" w:cs="Calibri"/>
                <w:b/>
              </w:rPr>
            </w:pPr>
            <w:r w:rsidRPr="00235C66">
              <w:rPr>
                <w:rFonts w:ascii="Calibri" w:hAnsi="Calibri" w:cs="Calibri"/>
                <w:b/>
              </w:rPr>
              <w:t>Počet zjištěných cizinců bez povoleného pobytu (nelegální pobyt)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33EEDED" w14:textId="77777777" w:rsidR="003A0F4D" w:rsidRPr="00235C66" w:rsidRDefault="00F04DCF" w:rsidP="00510093">
            <w:pPr>
              <w:ind w:right="57"/>
              <w:jc w:val="right"/>
              <w:rPr>
                <w:rFonts w:ascii="Calibri" w:hAnsi="Calibri" w:cs="Calibri"/>
                <w:b/>
              </w:rPr>
            </w:pPr>
            <w:r w:rsidRPr="00235C66">
              <w:rPr>
                <w:rFonts w:ascii="Calibri" w:hAnsi="Calibri" w:cs="Calibri"/>
                <w:b/>
              </w:rPr>
              <w:t>8 563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03A99B4" w14:textId="77777777" w:rsidR="003A0F4D" w:rsidRPr="00235C66" w:rsidRDefault="00F04DCF" w:rsidP="00510093">
            <w:pPr>
              <w:ind w:right="57"/>
              <w:jc w:val="right"/>
              <w:rPr>
                <w:rFonts w:ascii="Calibri" w:hAnsi="Calibri" w:cs="Calibri"/>
                <w:b/>
              </w:rPr>
            </w:pPr>
            <w:r w:rsidRPr="00235C66">
              <w:rPr>
                <w:rFonts w:ascii="Calibri" w:hAnsi="Calibri" w:cs="Calibri"/>
                <w:b/>
              </w:rPr>
              <w:t>5 261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3276AED" w14:textId="77777777" w:rsidR="003A0F4D" w:rsidRPr="00235C66" w:rsidRDefault="00F04DCF" w:rsidP="00510093">
            <w:pPr>
              <w:ind w:right="57"/>
              <w:jc w:val="right"/>
              <w:rPr>
                <w:rFonts w:ascii="Calibri" w:hAnsi="Calibri" w:cs="Calibri"/>
                <w:b/>
              </w:rPr>
            </w:pPr>
            <w:r w:rsidRPr="00235C66">
              <w:rPr>
                <w:rFonts w:ascii="Calibri" w:hAnsi="Calibri" w:cs="Calibri"/>
                <w:b/>
              </w:rPr>
              <w:t>4 738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A3DEC73" w14:textId="77777777" w:rsidR="003A0F4D" w:rsidRPr="00235C66" w:rsidRDefault="00F04DCF" w:rsidP="00510093">
            <w:pPr>
              <w:ind w:right="57"/>
              <w:jc w:val="right"/>
              <w:rPr>
                <w:rFonts w:ascii="Calibri" w:hAnsi="Calibri" w:cs="Calibri"/>
                <w:b/>
              </w:rPr>
            </w:pPr>
            <w:r w:rsidRPr="00235C66">
              <w:rPr>
                <w:rFonts w:ascii="Calibri" w:hAnsi="Calibri" w:cs="Calibri"/>
                <w:b/>
              </w:rPr>
              <w:t>4 992</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4A4D669" w14:textId="77777777" w:rsidR="003A0F4D" w:rsidRPr="00235C66" w:rsidRDefault="00F04DCF" w:rsidP="00510093">
            <w:pPr>
              <w:ind w:right="57"/>
              <w:jc w:val="right"/>
              <w:rPr>
                <w:rFonts w:ascii="Calibri" w:hAnsi="Calibri" w:cs="Calibri"/>
                <w:b/>
              </w:rPr>
            </w:pPr>
            <w:r w:rsidRPr="00235C66">
              <w:rPr>
                <w:rFonts w:ascii="Calibri" w:hAnsi="Calibri" w:cs="Calibri"/>
                <w:b/>
              </w:rPr>
              <w:t>5 677</w:t>
            </w:r>
          </w:p>
        </w:tc>
      </w:tr>
      <w:tr w:rsidR="00C72C9E" w:rsidRPr="00235C66" w14:paraId="2ECD3399"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767B40EE" w14:textId="77777777" w:rsidR="003A0F4D" w:rsidRPr="00235C66" w:rsidRDefault="00F04DCF" w:rsidP="00510093">
            <w:pPr>
              <w:numPr>
                <w:ilvl w:val="0"/>
                <w:numId w:val="6"/>
              </w:numPr>
              <w:ind w:left="357" w:hanging="357"/>
              <w:rPr>
                <w:rFonts w:ascii="Calibri" w:hAnsi="Calibri" w:cs="Calibri"/>
              </w:rPr>
            </w:pPr>
            <w:r w:rsidRPr="00235C66">
              <w:rPr>
                <w:rFonts w:ascii="Calibri" w:hAnsi="Calibri" w:cs="Calibri"/>
              </w:rPr>
              <w:t>z toho na vnější schengenské hranici**</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176D0AA" w14:textId="77777777" w:rsidR="003A0F4D" w:rsidRPr="00235C66" w:rsidRDefault="00F04DCF" w:rsidP="00510093">
            <w:pPr>
              <w:ind w:right="57"/>
              <w:jc w:val="right"/>
              <w:rPr>
                <w:rFonts w:ascii="Calibri" w:hAnsi="Calibri" w:cs="Calibri"/>
              </w:rPr>
            </w:pPr>
            <w:r w:rsidRPr="00235C66">
              <w:rPr>
                <w:rFonts w:ascii="Calibri" w:hAnsi="Calibri" w:cs="Calibri"/>
              </w:rPr>
              <w:t>240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62FF161" w14:textId="77777777" w:rsidR="003A0F4D" w:rsidRPr="00235C66" w:rsidRDefault="00F04DCF" w:rsidP="00510093">
            <w:pPr>
              <w:ind w:right="57"/>
              <w:jc w:val="right"/>
              <w:rPr>
                <w:rFonts w:ascii="Calibri" w:hAnsi="Calibri" w:cs="Calibri"/>
              </w:rPr>
            </w:pPr>
            <w:r w:rsidRPr="00235C66">
              <w:rPr>
                <w:rFonts w:ascii="Calibri" w:hAnsi="Calibri" w:cs="Calibri"/>
              </w:rPr>
              <w:t>222</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84C1E89" w14:textId="77777777" w:rsidR="003A0F4D" w:rsidRPr="00235C66" w:rsidRDefault="00F04DCF" w:rsidP="00510093">
            <w:pPr>
              <w:ind w:right="57"/>
              <w:jc w:val="right"/>
              <w:rPr>
                <w:rFonts w:ascii="Calibri" w:hAnsi="Calibri" w:cs="Calibri"/>
              </w:rPr>
            </w:pPr>
            <w:r w:rsidRPr="00235C66">
              <w:rPr>
                <w:rFonts w:ascii="Calibri" w:hAnsi="Calibri" w:cs="Calibri"/>
              </w:rPr>
              <w:t>250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B3C30D5" w14:textId="77777777" w:rsidR="003A0F4D" w:rsidRPr="00235C66" w:rsidRDefault="00F04DCF" w:rsidP="00510093">
            <w:pPr>
              <w:ind w:right="57"/>
              <w:jc w:val="right"/>
              <w:rPr>
                <w:rFonts w:ascii="Calibri" w:hAnsi="Calibri" w:cs="Calibri"/>
              </w:rPr>
            </w:pPr>
            <w:r w:rsidRPr="00235C66">
              <w:rPr>
                <w:rFonts w:ascii="Calibri" w:hAnsi="Calibri" w:cs="Calibri"/>
              </w:rPr>
              <w:t>339</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F2A24A9" w14:textId="77777777" w:rsidR="003A0F4D" w:rsidRPr="00235C66" w:rsidRDefault="00F04DCF" w:rsidP="00510093">
            <w:pPr>
              <w:ind w:right="57"/>
              <w:jc w:val="right"/>
              <w:rPr>
                <w:rFonts w:ascii="Calibri" w:hAnsi="Calibri" w:cs="Calibri"/>
              </w:rPr>
            </w:pPr>
            <w:r w:rsidRPr="00235C66">
              <w:rPr>
                <w:rFonts w:ascii="Calibri" w:hAnsi="Calibri" w:cs="Calibri"/>
              </w:rPr>
              <w:t>503</w:t>
            </w:r>
          </w:p>
        </w:tc>
      </w:tr>
      <w:tr w:rsidR="00C72C9E" w:rsidRPr="00235C66" w14:paraId="64C31B52"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11414402" w14:textId="77777777" w:rsidR="003A0F4D" w:rsidRPr="00235C66" w:rsidRDefault="00F04DCF" w:rsidP="00510093">
            <w:pPr>
              <w:rPr>
                <w:rFonts w:ascii="Calibri" w:hAnsi="Calibri" w:cs="Calibri"/>
                <w:b/>
              </w:rPr>
            </w:pPr>
            <w:r w:rsidRPr="00235C66">
              <w:rPr>
                <w:rFonts w:ascii="Calibri" w:hAnsi="Calibri" w:cs="Calibri"/>
                <w:b/>
              </w:rPr>
              <w:t>Počet cizinců – zaměstnanců*</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FDAC8E3" w14:textId="77777777" w:rsidR="003A0F4D" w:rsidRPr="00235C66" w:rsidRDefault="00F04DCF" w:rsidP="00510093">
            <w:pPr>
              <w:ind w:right="57"/>
              <w:jc w:val="right"/>
              <w:rPr>
                <w:rFonts w:ascii="Calibri" w:hAnsi="Calibri" w:cs="Calibri"/>
                <w:b/>
              </w:rPr>
            </w:pPr>
            <w:r w:rsidRPr="00235C66">
              <w:rPr>
                <w:rFonts w:ascii="Calibri" w:hAnsi="Calibri" w:cs="Calibri"/>
                <w:b/>
              </w:rPr>
              <w:t>323 244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7595CDE" w14:textId="77777777" w:rsidR="003A0F4D" w:rsidRPr="00235C66" w:rsidRDefault="00F04DCF" w:rsidP="00510093">
            <w:pPr>
              <w:ind w:right="57"/>
              <w:jc w:val="right"/>
              <w:rPr>
                <w:rFonts w:ascii="Calibri" w:hAnsi="Calibri" w:cs="Calibri"/>
                <w:b/>
              </w:rPr>
            </w:pPr>
            <w:r w:rsidRPr="00235C66">
              <w:rPr>
                <w:rFonts w:ascii="Calibri" w:hAnsi="Calibri" w:cs="Calibri"/>
                <w:b/>
              </w:rPr>
              <w:t>382 889</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A4C9787" w14:textId="77777777" w:rsidR="003A0F4D" w:rsidRPr="00235C66" w:rsidRDefault="00F04DCF" w:rsidP="00510093">
            <w:pPr>
              <w:ind w:right="57"/>
              <w:jc w:val="right"/>
              <w:rPr>
                <w:rFonts w:ascii="Calibri" w:hAnsi="Calibri" w:cs="Calibri"/>
                <w:b/>
              </w:rPr>
            </w:pPr>
            <w:r w:rsidRPr="00235C66">
              <w:rPr>
                <w:rFonts w:ascii="Calibri" w:hAnsi="Calibri" w:cs="Calibri"/>
                <w:b/>
              </w:rPr>
              <w:t>472 354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75DD895" w14:textId="77777777" w:rsidR="003A0F4D" w:rsidRPr="00235C66" w:rsidRDefault="00F04DCF" w:rsidP="00510093">
            <w:pPr>
              <w:ind w:right="57"/>
              <w:jc w:val="right"/>
              <w:rPr>
                <w:rFonts w:ascii="Calibri" w:hAnsi="Calibri" w:cs="Calibri"/>
                <w:b/>
              </w:rPr>
            </w:pPr>
            <w:r w:rsidRPr="00235C66">
              <w:rPr>
                <w:rFonts w:ascii="Calibri" w:hAnsi="Calibri" w:cs="Calibri"/>
                <w:b/>
              </w:rPr>
              <w:t>568 676</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64A8AFF" w14:textId="77777777" w:rsidR="003A0F4D" w:rsidRPr="00235C66" w:rsidRDefault="00F04DCF" w:rsidP="00510093">
            <w:pPr>
              <w:ind w:right="57"/>
              <w:jc w:val="right"/>
              <w:rPr>
                <w:rFonts w:ascii="Calibri" w:hAnsi="Calibri" w:cs="Calibri"/>
                <w:b/>
              </w:rPr>
            </w:pPr>
            <w:r w:rsidRPr="00235C66">
              <w:rPr>
                <w:rFonts w:ascii="Calibri" w:hAnsi="Calibri" w:cs="Calibri"/>
                <w:b/>
              </w:rPr>
              <w:t>621 870</w:t>
            </w:r>
          </w:p>
        </w:tc>
      </w:tr>
      <w:tr w:rsidR="00C72C9E" w:rsidRPr="00235C66" w14:paraId="0AE78E62"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2BFC0BF5" w14:textId="77777777" w:rsidR="003A0F4D" w:rsidRPr="00235C66" w:rsidRDefault="00F04DCF" w:rsidP="00510093">
            <w:pPr>
              <w:rPr>
                <w:rFonts w:ascii="Calibri" w:hAnsi="Calibri" w:cs="Calibri"/>
                <w:b/>
              </w:rPr>
            </w:pPr>
            <w:r w:rsidRPr="00235C66">
              <w:rPr>
                <w:rFonts w:ascii="Calibri" w:hAnsi="Calibri" w:cs="Calibri"/>
                <w:b/>
              </w:rPr>
              <w:t>Počet cizinců – podnikatelů*</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F637072" w14:textId="77777777" w:rsidR="003A0F4D" w:rsidRPr="00235C66" w:rsidRDefault="00F04DCF" w:rsidP="00510093">
            <w:pPr>
              <w:ind w:right="57"/>
              <w:jc w:val="right"/>
              <w:rPr>
                <w:rFonts w:ascii="Calibri" w:hAnsi="Calibri" w:cs="Calibri"/>
                <w:b/>
              </w:rPr>
            </w:pPr>
            <w:r w:rsidRPr="00235C66">
              <w:rPr>
                <w:rFonts w:ascii="Calibri" w:hAnsi="Calibri" w:cs="Calibri"/>
                <w:b/>
              </w:rPr>
              <w:t>83 862</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4DDB955" w14:textId="77777777" w:rsidR="003A0F4D" w:rsidRPr="00235C66" w:rsidRDefault="00F04DCF" w:rsidP="00510093">
            <w:pPr>
              <w:ind w:right="57"/>
              <w:jc w:val="right"/>
              <w:rPr>
                <w:rFonts w:ascii="Calibri" w:hAnsi="Calibri" w:cs="Calibri"/>
                <w:b/>
              </w:rPr>
            </w:pPr>
            <w:r w:rsidRPr="00235C66">
              <w:rPr>
                <w:rFonts w:ascii="Calibri" w:hAnsi="Calibri" w:cs="Calibri"/>
                <w:b/>
              </w:rPr>
              <w:t>85 628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91BA55A" w14:textId="77777777" w:rsidR="003A0F4D" w:rsidRPr="00235C66" w:rsidRDefault="00F04DCF" w:rsidP="00510093">
            <w:pPr>
              <w:ind w:right="57"/>
              <w:jc w:val="right"/>
              <w:rPr>
                <w:rFonts w:ascii="Calibri" w:hAnsi="Calibri" w:cs="Calibri"/>
                <w:b/>
              </w:rPr>
            </w:pPr>
            <w:r w:rsidRPr="00235C66">
              <w:rPr>
                <w:rFonts w:ascii="Calibri" w:hAnsi="Calibri" w:cs="Calibri"/>
                <w:b/>
              </w:rPr>
              <w:t>87 228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4A365BB" w14:textId="77777777" w:rsidR="003A0F4D" w:rsidRPr="00235C66" w:rsidRDefault="00F04DCF" w:rsidP="00510093">
            <w:pPr>
              <w:ind w:right="57"/>
              <w:jc w:val="right"/>
              <w:rPr>
                <w:rFonts w:ascii="Calibri" w:hAnsi="Calibri" w:cs="Calibri"/>
                <w:b/>
              </w:rPr>
            </w:pPr>
            <w:r w:rsidRPr="00235C66">
              <w:rPr>
                <w:rFonts w:ascii="Calibri" w:hAnsi="Calibri" w:cs="Calibri"/>
                <w:b/>
              </w:rPr>
              <w:t>89 843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B829052" w14:textId="77777777" w:rsidR="003A0F4D" w:rsidRPr="00235C66" w:rsidRDefault="00F04DCF" w:rsidP="00510093">
            <w:pPr>
              <w:ind w:right="57"/>
              <w:jc w:val="right"/>
              <w:rPr>
                <w:rFonts w:ascii="Calibri" w:hAnsi="Calibri" w:cs="Calibri"/>
                <w:b/>
              </w:rPr>
            </w:pPr>
            <w:r w:rsidRPr="00235C66">
              <w:rPr>
                <w:rFonts w:ascii="Calibri" w:hAnsi="Calibri" w:cs="Calibri"/>
                <w:b/>
              </w:rPr>
              <w:t>93 781</w:t>
            </w:r>
          </w:p>
        </w:tc>
      </w:tr>
      <w:tr w:rsidR="00C72C9E" w:rsidRPr="00235C66" w14:paraId="02857D1B"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704DEAFD" w14:textId="77777777" w:rsidR="003A0F4D" w:rsidRPr="00235C66" w:rsidRDefault="00F04DCF" w:rsidP="00510093">
            <w:pPr>
              <w:rPr>
                <w:rFonts w:ascii="Calibri" w:hAnsi="Calibri" w:cs="Calibri"/>
              </w:rPr>
            </w:pPr>
            <w:r w:rsidRPr="00235C66">
              <w:rPr>
                <w:rFonts w:ascii="Calibri" w:hAnsi="Calibri" w:cs="Calibri"/>
              </w:rPr>
              <w:t>Počet žadatelů o mezinárodní ochranu</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83CDE3F" w14:textId="77777777" w:rsidR="003A0F4D" w:rsidRPr="00235C66" w:rsidRDefault="00F04DCF" w:rsidP="00510093">
            <w:pPr>
              <w:ind w:right="57"/>
              <w:jc w:val="right"/>
              <w:rPr>
                <w:rFonts w:ascii="Calibri" w:hAnsi="Calibri" w:cs="Calibri"/>
              </w:rPr>
            </w:pPr>
            <w:r w:rsidRPr="00235C66">
              <w:rPr>
                <w:rFonts w:ascii="Calibri" w:hAnsi="Calibri" w:cs="Calibri"/>
              </w:rPr>
              <w:t>1 525</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2271E48" w14:textId="77777777" w:rsidR="003A0F4D" w:rsidRPr="00235C66" w:rsidRDefault="00F04DCF" w:rsidP="00510093">
            <w:pPr>
              <w:ind w:right="57"/>
              <w:jc w:val="right"/>
              <w:rPr>
                <w:rFonts w:ascii="Calibri" w:hAnsi="Calibri" w:cs="Calibri"/>
              </w:rPr>
            </w:pPr>
            <w:r w:rsidRPr="00235C66">
              <w:rPr>
                <w:rFonts w:ascii="Calibri" w:hAnsi="Calibri" w:cs="Calibri"/>
              </w:rPr>
              <w:t>1 478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1C192B0" w14:textId="77777777" w:rsidR="003A0F4D" w:rsidRPr="00235C66" w:rsidRDefault="00F04DCF" w:rsidP="00510093">
            <w:pPr>
              <w:ind w:right="57"/>
              <w:jc w:val="right"/>
              <w:rPr>
                <w:rFonts w:ascii="Calibri" w:hAnsi="Calibri" w:cs="Calibri"/>
              </w:rPr>
            </w:pPr>
            <w:r w:rsidRPr="00235C66">
              <w:rPr>
                <w:rFonts w:ascii="Calibri" w:hAnsi="Calibri" w:cs="Calibri"/>
              </w:rPr>
              <w:t>1 450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A253E4F" w14:textId="77777777" w:rsidR="003A0F4D" w:rsidRPr="00235C66" w:rsidRDefault="00F04DCF" w:rsidP="00510093">
            <w:pPr>
              <w:ind w:right="57"/>
              <w:jc w:val="right"/>
              <w:rPr>
                <w:rFonts w:ascii="Calibri" w:hAnsi="Calibri" w:cs="Calibri"/>
              </w:rPr>
            </w:pPr>
            <w:r w:rsidRPr="00235C66">
              <w:rPr>
                <w:rFonts w:ascii="Calibri" w:hAnsi="Calibri" w:cs="Calibri"/>
              </w:rPr>
              <w:t>1 701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1D42468" w14:textId="77777777" w:rsidR="003A0F4D" w:rsidRPr="00235C66" w:rsidRDefault="00F04DCF" w:rsidP="00510093">
            <w:pPr>
              <w:ind w:right="57"/>
              <w:jc w:val="right"/>
              <w:rPr>
                <w:rFonts w:ascii="Calibri" w:hAnsi="Calibri" w:cs="Calibri"/>
              </w:rPr>
            </w:pPr>
            <w:r w:rsidRPr="00235C66">
              <w:rPr>
                <w:rFonts w:ascii="Calibri" w:hAnsi="Calibri" w:cs="Calibri"/>
              </w:rPr>
              <w:t>1 922</w:t>
            </w:r>
          </w:p>
        </w:tc>
      </w:tr>
      <w:tr w:rsidR="00C72C9E" w:rsidRPr="00235C66" w14:paraId="7D0304B7"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561D27AF" w14:textId="77777777" w:rsidR="003A0F4D" w:rsidRPr="00235C66" w:rsidRDefault="00F04DCF" w:rsidP="00510093">
            <w:pPr>
              <w:rPr>
                <w:rFonts w:ascii="Calibri" w:hAnsi="Calibri" w:cs="Calibri"/>
              </w:rPr>
            </w:pPr>
            <w:r w:rsidRPr="00235C66">
              <w:rPr>
                <w:rFonts w:ascii="Calibri" w:hAnsi="Calibri" w:cs="Calibri"/>
              </w:rPr>
              <w:t>Počet přidělených azylů</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7884B3B" w14:textId="77777777" w:rsidR="003A0F4D" w:rsidRPr="00235C66" w:rsidRDefault="00F04DCF" w:rsidP="00510093">
            <w:pPr>
              <w:ind w:right="57"/>
              <w:jc w:val="right"/>
              <w:rPr>
                <w:rFonts w:ascii="Calibri" w:hAnsi="Calibri" w:cs="Calibri"/>
              </w:rPr>
            </w:pPr>
            <w:r w:rsidRPr="00235C66">
              <w:rPr>
                <w:rFonts w:ascii="Calibri" w:hAnsi="Calibri" w:cs="Calibri"/>
              </w:rPr>
              <w:t>71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2BADB12" w14:textId="77777777" w:rsidR="003A0F4D" w:rsidRPr="00235C66" w:rsidRDefault="00F04DCF" w:rsidP="00510093">
            <w:pPr>
              <w:ind w:right="57"/>
              <w:jc w:val="right"/>
              <w:rPr>
                <w:rFonts w:ascii="Calibri" w:hAnsi="Calibri" w:cs="Calibri"/>
              </w:rPr>
            </w:pPr>
            <w:r w:rsidRPr="00235C66">
              <w:rPr>
                <w:rFonts w:ascii="Calibri" w:hAnsi="Calibri" w:cs="Calibri"/>
              </w:rPr>
              <w:t>148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57303B3" w14:textId="77777777" w:rsidR="003A0F4D" w:rsidRPr="00235C66" w:rsidRDefault="00F04DCF" w:rsidP="00510093">
            <w:pPr>
              <w:ind w:right="57"/>
              <w:jc w:val="right"/>
              <w:rPr>
                <w:rFonts w:ascii="Calibri" w:hAnsi="Calibri" w:cs="Calibri"/>
              </w:rPr>
            </w:pPr>
            <w:r w:rsidRPr="00235C66">
              <w:rPr>
                <w:rFonts w:ascii="Calibri" w:hAnsi="Calibri" w:cs="Calibri"/>
              </w:rPr>
              <w:t>29</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861D2C8" w14:textId="77777777" w:rsidR="003A0F4D" w:rsidRPr="00235C66" w:rsidRDefault="00F04DCF" w:rsidP="00510093">
            <w:pPr>
              <w:ind w:right="57"/>
              <w:jc w:val="right"/>
              <w:rPr>
                <w:rFonts w:ascii="Calibri" w:hAnsi="Calibri" w:cs="Calibri"/>
              </w:rPr>
            </w:pPr>
            <w:r w:rsidRPr="00235C66">
              <w:rPr>
                <w:rFonts w:ascii="Calibri" w:hAnsi="Calibri" w:cs="Calibri"/>
              </w:rPr>
              <w:t>47</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BE00A97" w14:textId="77777777" w:rsidR="003A0F4D" w:rsidRPr="00235C66" w:rsidRDefault="00F04DCF" w:rsidP="00510093">
            <w:pPr>
              <w:ind w:right="57"/>
              <w:jc w:val="right"/>
              <w:rPr>
                <w:rFonts w:ascii="Calibri" w:hAnsi="Calibri" w:cs="Calibri"/>
              </w:rPr>
            </w:pPr>
            <w:r w:rsidRPr="00235C66">
              <w:rPr>
                <w:rFonts w:ascii="Calibri" w:hAnsi="Calibri" w:cs="Calibri"/>
              </w:rPr>
              <w:t>61</w:t>
            </w:r>
          </w:p>
        </w:tc>
      </w:tr>
      <w:tr w:rsidR="00C72C9E" w:rsidRPr="00235C66" w14:paraId="2FE1ABCC"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77D8D3B8" w14:textId="77777777" w:rsidR="003A0F4D" w:rsidRPr="00235C66" w:rsidRDefault="00F04DCF" w:rsidP="00510093">
            <w:pPr>
              <w:rPr>
                <w:rFonts w:ascii="Calibri" w:hAnsi="Calibri" w:cs="Calibri"/>
              </w:rPr>
            </w:pPr>
            <w:r w:rsidRPr="00235C66">
              <w:rPr>
                <w:rFonts w:ascii="Calibri" w:hAnsi="Calibri" w:cs="Calibri"/>
              </w:rPr>
              <w:t>Počet přidělených doplňkových ochran</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43F21C5" w14:textId="77777777" w:rsidR="003A0F4D" w:rsidRPr="00235C66" w:rsidRDefault="00F04DCF" w:rsidP="00510093">
            <w:pPr>
              <w:ind w:right="57"/>
              <w:jc w:val="right"/>
              <w:rPr>
                <w:rFonts w:ascii="Calibri" w:hAnsi="Calibri" w:cs="Calibri"/>
              </w:rPr>
            </w:pPr>
            <w:r w:rsidRPr="00235C66">
              <w:rPr>
                <w:rFonts w:ascii="Calibri" w:hAnsi="Calibri" w:cs="Calibri"/>
              </w:rPr>
              <w:t>399</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4FF5A03" w14:textId="77777777" w:rsidR="003A0F4D" w:rsidRPr="00235C66" w:rsidRDefault="00F04DCF" w:rsidP="00510093">
            <w:pPr>
              <w:ind w:right="57"/>
              <w:jc w:val="right"/>
              <w:rPr>
                <w:rFonts w:ascii="Calibri" w:hAnsi="Calibri" w:cs="Calibri"/>
              </w:rPr>
            </w:pPr>
            <w:r w:rsidRPr="00235C66">
              <w:rPr>
                <w:rFonts w:ascii="Calibri" w:hAnsi="Calibri" w:cs="Calibri"/>
              </w:rPr>
              <w:t>302</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32CD798" w14:textId="77777777" w:rsidR="003A0F4D" w:rsidRPr="00235C66" w:rsidRDefault="00F04DCF" w:rsidP="00510093">
            <w:pPr>
              <w:ind w:right="57"/>
              <w:jc w:val="right"/>
              <w:rPr>
                <w:rFonts w:ascii="Calibri" w:hAnsi="Calibri" w:cs="Calibri"/>
              </w:rPr>
            </w:pPr>
            <w:r w:rsidRPr="00235C66">
              <w:rPr>
                <w:rFonts w:ascii="Calibri" w:hAnsi="Calibri" w:cs="Calibri"/>
              </w:rPr>
              <w:t>118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A57A608" w14:textId="77777777" w:rsidR="003A0F4D" w:rsidRPr="00235C66" w:rsidRDefault="00F04DCF" w:rsidP="00510093">
            <w:pPr>
              <w:ind w:right="57"/>
              <w:jc w:val="right"/>
              <w:rPr>
                <w:rFonts w:ascii="Calibri" w:hAnsi="Calibri" w:cs="Calibri"/>
              </w:rPr>
            </w:pPr>
            <w:r w:rsidRPr="00235C66">
              <w:rPr>
                <w:rFonts w:ascii="Calibri" w:hAnsi="Calibri" w:cs="Calibri"/>
              </w:rPr>
              <w:t>118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F894324" w14:textId="77777777" w:rsidR="003A0F4D" w:rsidRPr="00235C66" w:rsidRDefault="00F04DCF" w:rsidP="00510093">
            <w:pPr>
              <w:ind w:right="57"/>
              <w:jc w:val="right"/>
              <w:rPr>
                <w:rFonts w:ascii="Calibri" w:hAnsi="Calibri" w:cs="Calibri"/>
              </w:rPr>
            </w:pPr>
            <w:r w:rsidRPr="00235C66">
              <w:rPr>
                <w:rFonts w:ascii="Calibri" w:hAnsi="Calibri" w:cs="Calibri"/>
              </w:rPr>
              <w:t>86</w:t>
            </w:r>
          </w:p>
        </w:tc>
      </w:tr>
      <w:tr w:rsidR="00C72C9E" w:rsidRPr="00235C66" w14:paraId="21B713C0"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7F888447" w14:textId="77777777" w:rsidR="003A0F4D" w:rsidRPr="00235C66" w:rsidRDefault="00F04DCF" w:rsidP="00510093">
            <w:pPr>
              <w:rPr>
                <w:rFonts w:ascii="Calibri" w:hAnsi="Calibri" w:cs="Calibri"/>
                <w:b/>
              </w:rPr>
            </w:pPr>
            <w:r w:rsidRPr="00235C66">
              <w:rPr>
                <w:rFonts w:ascii="Calibri" w:hAnsi="Calibri" w:cs="Calibri"/>
                <w:b/>
              </w:rPr>
              <w:t>Počet osob požívajících status azylanta*</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3478976" w14:textId="77777777" w:rsidR="003A0F4D" w:rsidRPr="00235C66" w:rsidRDefault="00F04DCF" w:rsidP="00510093">
            <w:pPr>
              <w:ind w:right="57"/>
              <w:jc w:val="right"/>
              <w:rPr>
                <w:rFonts w:ascii="Calibri" w:hAnsi="Calibri" w:cs="Calibri"/>
                <w:b/>
              </w:rPr>
            </w:pPr>
            <w:r w:rsidRPr="00235C66">
              <w:rPr>
                <w:rFonts w:ascii="Calibri" w:hAnsi="Calibri" w:cs="Calibri"/>
                <w:b/>
              </w:rPr>
              <w:t>1 973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A713C79" w14:textId="77777777" w:rsidR="003A0F4D" w:rsidRPr="00235C66" w:rsidRDefault="00F04DCF" w:rsidP="00510093">
            <w:pPr>
              <w:ind w:right="57"/>
              <w:jc w:val="right"/>
              <w:rPr>
                <w:rFonts w:ascii="Calibri" w:hAnsi="Calibri" w:cs="Calibri"/>
                <w:b/>
              </w:rPr>
            </w:pPr>
            <w:r w:rsidRPr="00235C66">
              <w:rPr>
                <w:rFonts w:ascii="Calibri" w:hAnsi="Calibri" w:cs="Calibri"/>
                <w:b/>
              </w:rPr>
              <w: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529C82C" w14:textId="77777777" w:rsidR="003A0F4D" w:rsidRPr="00235C66" w:rsidRDefault="00F04DCF" w:rsidP="00510093">
            <w:pPr>
              <w:ind w:right="57"/>
              <w:jc w:val="right"/>
              <w:rPr>
                <w:rFonts w:ascii="Calibri" w:hAnsi="Calibri" w:cs="Calibri"/>
                <w:b/>
              </w:rPr>
            </w:pPr>
            <w:r w:rsidRPr="00235C66">
              <w:rPr>
                <w:rFonts w:ascii="Calibri" w:hAnsi="Calibri" w:cs="Calibri"/>
                <w:b/>
              </w:rPr>
              <w:t>***</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EF10E22" w14:textId="77777777" w:rsidR="003A0F4D" w:rsidRPr="00235C66" w:rsidRDefault="00F04DCF" w:rsidP="00510093">
            <w:pPr>
              <w:ind w:right="57"/>
              <w:jc w:val="right"/>
              <w:rPr>
                <w:rFonts w:ascii="Calibri" w:hAnsi="Calibri" w:cs="Calibri"/>
                <w:b/>
              </w:rPr>
            </w:pPr>
            <w:r w:rsidRPr="00235C66">
              <w:rPr>
                <w:rFonts w:ascii="Calibri" w:hAnsi="Calibri" w:cs="Calibri"/>
                <w:b/>
              </w:rPr>
              <w:t>928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0B81980" w14:textId="77777777" w:rsidR="003A0F4D" w:rsidRPr="00235C66" w:rsidRDefault="00F04DCF" w:rsidP="00510093">
            <w:pPr>
              <w:ind w:right="57"/>
              <w:jc w:val="right"/>
              <w:rPr>
                <w:rFonts w:ascii="Calibri" w:hAnsi="Calibri" w:cs="Calibri"/>
                <w:b/>
              </w:rPr>
            </w:pPr>
            <w:r w:rsidRPr="00235C66">
              <w:rPr>
                <w:rFonts w:ascii="Calibri" w:hAnsi="Calibri" w:cs="Calibri"/>
                <w:b/>
              </w:rPr>
              <w:t>954</w:t>
            </w:r>
          </w:p>
        </w:tc>
      </w:tr>
      <w:tr w:rsidR="00C72C9E" w:rsidRPr="00235C66" w14:paraId="32AD03DA" w14:textId="77777777" w:rsidTr="00235C66">
        <w:trPr>
          <w:trHeight w:val="255"/>
          <w:jc w:val="center"/>
        </w:trPr>
        <w:tc>
          <w:tcPr>
            <w:tcW w:w="4025" w:type="dxa"/>
            <w:tcBorders>
              <w:top w:val="single" w:sz="4" w:space="0" w:color="auto"/>
              <w:left w:val="single" w:sz="4" w:space="0" w:color="auto"/>
              <w:bottom w:val="single" w:sz="4" w:space="0" w:color="auto"/>
              <w:right w:val="single" w:sz="4" w:space="0" w:color="auto"/>
            </w:tcBorders>
            <w:vAlign w:val="center"/>
            <w:hideMark/>
          </w:tcPr>
          <w:p w14:paraId="077D74D6" w14:textId="77777777" w:rsidR="003A0F4D" w:rsidRPr="00235C66" w:rsidRDefault="00F04DCF" w:rsidP="00510093">
            <w:pPr>
              <w:rPr>
                <w:rFonts w:ascii="Calibri" w:hAnsi="Calibri" w:cs="Calibri"/>
                <w:b/>
              </w:rPr>
            </w:pPr>
            <w:r w:rsidRPr="00235C66">
              <w:rPr>
                <w:rFonts w:ascii="Calibri" w:hAnsi="Calibri" w:cs="Calibri"/>
                <w:b/>
              </w:rPr>
              <w:t>Počet osob požívajících doplňkovou ochranu*</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2F7DF2D" w14:textId="77777777" w:rsidR="003A0F4D" w:rsidRPr="00235C66" w:rsidRDefault="00F04DCF" w:rsidP="00510093">
            <w:pPr>
              <w:ind w:right="57"/>
              <w:jc w:val="right"/>
              <w:rPr>
                <w:rFonts w:ascii="Calibri" w:hAnsi="Calibri" w:cs="Calibri"/>
                <w:b/>
              </w:rPr>
            </w:pPr>
            <w:r w:rsidRPr="00235C66">
              <w:rPr>
                <w:rFonts w:ascii="Calibri" w:hAnsi="Calibri" w:cs="Calibri"/>
                <w:b/>
              </w:rPr>
              <w:t>1 671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A39AC59" w14:textId="77777777" w:rsidR="003A0F4D" w:rsidRPr="00235C66" w:rsidRDefault="00F04DCF" w:rsidP="00510093">
            <w:pPr>
              <w:ind w:right="57"/>
              <w:jc w:val="right"/>
              <w:rPr>
                <w:rFonts w:ascii="Calibri" w:hAnsi="Calibri" w:cs="Calibri"/>
                <w:b/>
              </w:rPr>
            </w:pPr>
            <w:r w:rsidRPr="00235C66">
              <w:rPr>
                <w:rFonts w:ascii="Calibri" w:hAnsi="Calibri" w:cs="Calibri"/>
                <w:b/>
              </w:rPr>
              <w:t>1 883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195947F" w14:textId="77777777" w:rsidR="003A0F4D" w:rsidRPr="00235C66" w:rsidRDefault="00F04DCF" w:rsidP="00510093">
            <w:pPr>
              <w:ind w:right="57"/>
              <w:jc w:val="right"/>
              <w:rPr>
                <w:rFonts w:ascii="Calibri" w:hAnsi="Calibri" w:cs="Calibri"/>
                <w:b/>
              </w:rPr>
            </w:pPr>
            <w:r w:rsidRPr="00235C66">
              <w:rPr>
                <w:rFonts w:ascii="Calibri" w:hAnsi="Calibri" w:cs="Calibri"/>
                <w:b/>
              </w:rPr>
              <w:t>1 717</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26E8E85" w14:textId="77777777" w:rsidR="003A0F4D" w:rsidRPr="00235C66" w:rsidRDefault="00F04DCF" w:rsidP="00510093">
            <w:pPr>
              <w:ind w:right="57"/>
              <w:jc w:val="right"/>
              <w:rPr>
                <w:rFonts w:ascii="Calibri" w:hAnsi="Calibri" w:cs="Calibri"/>
                <w:b/>
              </w:rPr>
            </w:pPr>
            <w:r w:rsidRPr="00235C66">
              <w:rPr>
                <w:rFonts w:ascii="Calibri" w:hAnsi="Calibri" w:cs="Calibri"/>
                <w:b/>
              </w:rPr>
              <w:t>1 258</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65E81F9" w14:textId="77777777" w:rsidR="003A0F4D" w:rsidRPr="00235C66" w:rsidRDefault="00F04DCF" w:rsidP="00510093">
            <w:pPr>
              <w:ind w:right="57"/>
              <w:jc w:val="right"/>
              <w:rPr>
                <w:rFonts w:ascii="Calibri" w:hAnsi="Calibri" w:cs="Calibri"/>
                <w:b/>
              </w:rPr>
            </w:pPr>
            <w:r w:rsidRPr="00235C66">
              <w:rPr>
                <w:rFonts w:ascii="Calibri" w:hAnsi="Calibri" w:cs="Calibri"/>
                <w:b/>
              </w:rPr>
              <w:t>1 104</w:t>
            </w:r>
          </w:p>
        </w:tc>
      </w:tr>
    </w:tbl>
    <w:p w14:paraId="7B1F5C92" w14:textId="56674DF7" w:rsidR="003A0F4D" w:rsidRPr="002C310E" w:rsidRDefault="00F04DCF" w:rsidP="00343A8D">
      <w:pPr>
        <w:spacing w:before="40" w:after="0" w:line="240" w:lineRule="auto"/>
        <w:ind w:left="369" w:hanging="369"/>
        <w:jc w:val="both"/>
        <w:rPr>
          <w:rFonts w:eastAsia="Times New Roman" w:cstheme="minorHAnsi"/>
          <w:sz w:val="20"/>
          <w:szCs w:val="20"/>
        </w:rPr>
      </w:pPr>
      <w:r w:rsidRPr="002C310E">
        <w:rPr>
          <w:rFonts w:eastAsia="Times New Roman" w:cstheme="minorHAnsi"/>
          <w:sz w:val="20"/>
          <w:szCs w:val="20"/>
        </w:rPr>
        <w:t>*</w:t>
      </w:r>
      <w:r w:rsidR="00BD2B33">
        <w:rPr>
          <w:rFonts w:eastAsia="Times New Roman" w:cstheme="minorHAnsi"/>
          <w:sz w:val="20"/>
          <w:szCs w:val="20"/>
        </w:rPr>
        <w:tab/>
      </w:r>
      <w:r w:rsidR="00B41468">
        <w:rPr>
          <w:rFonts w:eastAsia="Times New Roman" w:cstheme="minorHAnsi"/>
          <w:sz w:val="20"/>
          <w:szCs w:val="20"/>
        </w:rPr>
        <w:t>P</w:t>
      </w:r>
      <w:r w:rsidRPr="002C310E">
        <w:rPr>
          <w:rFonts w:eastAsia="Times New Roman" w:cstheme="minorHAnsi"/>
          <w:sz w:val="20"/>
          <w:szCs w:val="20"/>
        </w:rPr>
        <w:t>očet je uveden vždy ke konci daného roku.</w:t>
      </w:r>
      <w:r w:rsidR="00A270B5">
        <w:rPr>
          <w:rFonts w:eastAsia="Times New Roman" w:cstheme="minorHAnsi"/>
          <w:sz w:val="20"/>
          <w:szCs w:val="20"/>
        </w:rPr>
        <w:t xml:space="preserve"> </w:t>
      </w:r>
      <w:r w:rsidR="009078D1" w:rsidRPr="009078D1">
        <w:rPr>
          <w:rFonts w:eastAsia="Times New Roman" w:cstheme="minorHAnsi"/>
          <w:sz w:val="20"/>
          <w:szCs w:val="20"/>
        </w:rPr>
        <w:t xml:space="preserve">Občany EU se rozumí </w:t>
      </w:r>
      <w:r w:rsidR="009078D1" w:rsidRPr="005C481D">
        <w:rPr>
          <w:rFonts w:eastAsia="Times New Roman" w:cstheme="minorHAnsi"/>
          <w:sz w:val="20"/>
          <w:szCs w:val="20"/>
        </w:rPr>
        <w:t xml:space="preserve">občané členských států EU, </w:t>
      </w:r>
      <w:r w:rsidR="009078D1" w:rsidRPr="00AF2905">
        <w:rPr>
          <w:rFonts w:cstheme="minorHAnsi"/>
          <w:sz w:val="20"/>
          <w:szCs w:val="20"/>
        </w:rPr>
        <w:t xml:space="preserve">Norska, Islandu, Lichtenštejnska a Švýcarska. </w:t>
      </w:r>
      <w:r w:rsidR="00A270B5" w:rsidRPr="009078D1">
        <w:rPr>
          <w:rFonts w:eastAsia="Times New Roman" w:cstheme="minorHAnsi"/>
          <w:sz w:val="20"/>
          <w:szCs w:val="20"/>
        </w:rPr>
        <w:t>V ka</w:t>
      </w:r>
      <w:r w:rsidR="00A270B5">
        <w:rPr>
          <w:rFonts w:eastAsia="Times New Roman" w:cstheme="minorHAnsi"/>
          <w:sz w:val="20"/>
          <w:szCs w:val="20"/>
        </w:rPr>
        <w:t>tegori</w:t>
      </w:r>
      <w:r w:rsidR="008B372C">
        <w:rPr>
          <w:rFonts w:eastAsia="Times New Roman" w:cstheme="minorHAnsi"/>
          <w:sz w:val="20"/>
          <w:szCs w:val="20"/>
        </w:rPr>
        <w:t>i</w:t>
      </w:r>
      <w:r w:rsidR="00A270B5">
        <w:rPr>
          <w:rFonts w:eastAsia="Times New Roman" w:cstheme="minorHAnsi"/>
          <w:sz w:val="20"/>
          <w:szCs w:val="20"/>
        </w:rPr>
        <w:t xml:space="preserve"> </w:t>
      </w:r>
      <w:r w:rsidR="00C3388F">
        <w:rPr>
          <w:rFonts w:eastAsia="Times New Roman" w:cstheme="minorHAnsi"/>
          <w:sz w:val="20"/>
          <w:szCs w:val="20"/>
        </w:rPr>
        <w:t>cizinců –</w:t>
      </w:r>
      <w:r w:rsidR="008B372C">
        <w:rPr>
          <w:rFonts w:eastAsia="Times New Roman" w:cstheme="minorHAnsi"/>
          <w:sz w:val="20"/>
          <w:szCs w:val="20"/>
        </w:rPr>
        <w:t xml:space="preserve"> zaměstnanců</w:t>
      </w:r>
      <w:r w:rsidR="00C3388F">
        <w:rPr>
          <w:rFonts w:eastAsia="Times New Roman" w:cstheme="minorHAnsi"/>
          <w:sz w:val="20"/>
          <w:szCs w:val="20"/>
        </w:rPr>
        <w:t xml:space="preserve"> </w:t>
      </w:r>
      <w:r w:rsidR="00A270B5">
        <w:rPr>
          <w:rFonts w:eastAsia="Times New Roman" w:cstheme="minorHAnsi"/>
          <w:sz w:val="20"/>
          <w:szCs w:val="20"/>
        </w:rPr>
        <w:t>jsou zahrnuti i</w:t>
      </w:r>
      <w:r w:rsidR="008B372C">
        <w:rPr>
          <w:rFonts w:eastAsia="Times New Roman" w:cstheme="minorHAnsi"/>
          <w:sz w:val="20"/>
          <w:szCs w:val="20"/>
        </w:rPr>
        <w:t> </w:t>
      </w:r>
      <w:r w:rsidR="00A270B5">
        <w:rPr>
          <w:rFonts w:eastAsia="Times New Roman" w:cstheme="minorHAnsi"/>
          <w:sz w:val="20"/>
          <w:szCs w:val="20"/>
        </w:rPr>
        <w:t>zahraniční pracovníci</w:t>
      </w:r>
      <w:r w:rsidR="008B372C">
        <w:rPr>
          <w:rFonts w:eastAsia="Times New Roman" w:cstheme="minorHAnsi"/>
          <w:sz w:val="20"/>
          <w:szCs w:val="20"/>
        </w:rPr>
        <w:t xml:space="preserve"> ze třetích zemí</w:t>
      </w:r>
      <w:r w:rsidR="00A270B5">
        <w:rPr>
          <w:rFonts w:eastAsia="Times New Roman" w:cstheme="minorHAnsi"/>
          <w:sz w:val="20"/>
          <w:szCs w:val="20"/>
        </w:rPr>
        <w:t>, kteří vstupují na trh práce v ČR na základě pracovního povolení.</w:t>
      </w:r>
    </w:p>
    <w:p w14:paraId="7D2F56C1" w14:textId="5426E9D3" w:rsidR="003A0F4D" w:rsidRPr="002C310E" w:rsidRDefault="00F04DCF" w:rsidP="00BD2B33">
      <w:pPr>
        <w:spacing w:after="0" w:line="240" w:lineRule="auto"/>
        <w:ind w:left="369" w:hanging="369"/>
        <w:jc w:val="both"/>
        <w:rPr>
          <w:rFonts w:eastAsia="Times New Roman" w:cstheme="minorHAnsi"/>
          <w:sz w:val="20"/>
          <w:szCs w:val="20"/>
        </w:rPr>
      </w:pPr>
      <w:r w:rsidRPr="002C310E">
        <w:rPr>
          <w:rFonts w:eastAsia="Times New Roman" w:cstheme="minorHAnsi"/>
          <w:sz w:val="20"/>
          <w:szCs w:val="20"/>
        </w:rPr>
        <w:t>**</w:t>
      </w:r>
      <w:r w:rsidR="00BD2B33">
        <w:rPr>
          <w:rFonts w:eastAsia="Times New Roman" w:cstheme="minorHAnsi"/>
          <w:sz w:val="20"/>
          <w:szCs w:val="20"/>
        </w:rPr>
        <w:tab/>
      </w:r>
      <w:r w:rsidR="00B41468">
        <w:rPr>
          <w:rFonts w:eastAsia="Times New Roman" w:cstheme="minorHAnsi"/>
          <w:sz w:val="20"/>
          <w:szCs w:val="20"/>
        </w:rPr>
        <w:t>C</w:t>
      </w:r>
      <w:r w:rsidRPr="002C310E">
        <w:rPr>
          <w:rFonts w:eastAsia="Times New Roman" w:cstheme="minorHAnsi"/>
          <w:sz w:val="20"/>
          <w:szCs w:val="20"/>
        </w:rPr>
        <w:t>izinci byli zjištěni při nelegálním přechodu přes vnější schengenskou hranici, kterou v ČR představují civilní letiště s mezinárodním statusem, na nichž je zřízen hraniční přechod.</w:t>
      </w:r>
    </w:p>
    <w:p w14:paraId="1C2024EC" w14:textId="73E52F79" w:rsidR="003A0F4D" w:rsidRDefault="00F04DCF" w:rsidP="00BD2B33">
      <w:pPr>
        <w:spacing w:after="120" w:line="240" w:lineRule="auto"/>
        <w:ind w:left="369" w:hanging="369"/>
        <w:jc w:val="both"/>
        <w:rPr>
          <w:rFonts w:eastAsia="Times New Roman" w:cstheme="minorHAnsi"/>
          <w:sz w:val="20"/>
          <w:szCs w:val="20"/>
        </w:rPr>
      </w:pPr>
      <w:r w:rsidRPr="002C310E">
        <w:rPr>
          <w:rFonts w:eastAsia="Times New Roman" w:cstheme="minorHAnsi"/>
          <w:sz w:val="20"/>
          <w:szCs w:val="20"/>
        </w:rPr>
        <w:t>***</w:t>
      </w:r>
      <w:r w:rsidR="00BD2B33">
        <w:rPr>
          <w:rFonts w:eastAsia="Times New Roman" w:cstheme="minorHAnsi"/>
          <w:sz w:val="20"/>
          <w:szCs w:val="20"/>
        </w:rPr>
        <w:tab/>
      </w:r>
      <w:r w:rsidR="00B41468">
        <w:rPr>
          <w:rFonts w:eastAsia="Times New Roman" w:cstheme="minorHAnsi"/>
          <w:sz w:val="20"/>
          <w:szCs w:val="20"/>
        </w:rPr>
        <w:t>N</w:t>
      </w:r>
      <w:r w:rsidRPr="002C310E">
        <w:rPr>
          <w:rFonts w:eastAsia="Times New Roman" w:cstheme="minorHAnsi"/>
          <w:sz w:val="20"/>
          <w:szCs w:val="20"/>
        </w:rPr>
        <w:t xml:space="preserve">euvedeno z důvodu technických problémů informačního systému MV. </w:t>
      </w:r>
    </w:p>
    <w:p w14:paraId="7618CA45" w14:textId="360DB567" w:rsidR="00B41468" w:rsidRPr="00B41468" w:rsidRDefault="00B41468" w:rsidP="00B41468">
      <w:pPr>
        <w:spacing w:after="0" w:line="240" w:lineRule="auto"/>
        <w:ind w:left="369" w:hanging="369"/>
        <w:jc w:val="both"/>
        <w:rPr>
          <w:rFonts w:eastAsia="Times New Roman" w:cstheme="minorHAnsi"/>
          <w:sz w:val="20"/>
          <w:szCs w:val="20"/>
        </w:rPr>
      </w:pPr>
      <w:r w:rsidRPr="002C310E">
        <w:rPr>
          <w:rFonts w:eastAsia="Times New Roman" w:cstheme="minorHAnsi"/>
          <w:b/>
          <w:sz w:val="20"/>
          <w:szCs w:val="20"/>
        </w:rPr>
        <w:t>Zdroj:</w:t>
      </w:r>
      <w:r w:rsidRPr="002C310E">
        <w:rPr>
          <w:rFonts w:eastAsia="Times New Roman" w:cstheme="minorHAnsi"/>
          <w:sz w:val="20"/>
          <w:szCs w:val="20"/>
        </w:rPr>
        <w:t xml:space="preserve"> MV.</w:t>
      </w:r>
    </w:p>
    <w:p w14:paraId="61AB4B8B" w14:textId="27EDE95D" w:rsidR="00343A8D" w:rsidRPr="00B41468" w:rsidRDefault="00343A8D" w:rsidP="00B41468">
      <w:pPr>
        <w:spacing w:after="0" w:line="240" w:lineRule="auto"/>
        <w:ind w:left="369" w:hanging="369"/>
        <w:jc w:val="both"/>
        <w:rPr>
          <w:rFonts w:eastAsia="Times New Roman" w:cstheme="minorHAnsi"/>
          <w:sz w:val="24"/>
          <w:szCs w:val="20"/>
        </w:rPr>
      </w:pPr>
    </w:p>
    <w:p w14:paraId="4DF7AB37" w14:textId="77777777" w:rsidR="003A0F4D" w:rsidRPr="00235C66" w:rsidRDefault="00F04DCF" w:rsidP="00343A8D">
      <w:pPr>
        <w:spacing w:after="120" w:line="240" w:lineRule="auto"/>
        <w:rPr>
          <w:rFonts w:eastAsia="Arial" w:cstheme="minorHAnsi"/>
          <w:b/>
          <w:color w:val="000000" w:themeColor="text1"/>
          <w:sz w:val="24"/>
          <w:szCs w:val="24"/>
        </w:rPr>
      </w:pPr>
      <w:r w:rsidRPr="00235C66">
        <w:rPr>
          <w:rFonts w:eastAsia="Arial" w:cstheme="minorHAnsi"/>
          <w:b/>
          <w:color w:val="000000" w:themeColor="text1"/>
          <w:sz w:val="24"/>
          <w:szCs w:val="24"/>
        </w:rPr>
        <w:t>Vybrané pojmy:</w:t>
      </w:r>
    </w:p>
    <w:p w14:paraId="3170327A" w14:textId="36AD424F" w:rsidR="003A0F4D" w:rsidRPr="00235C66" w:rsidRDefault="00F04DCF" w:rsidP="00343A8D">
      <w:pPr>
        <w:spacing w:after="120" w:line="240" w:lineRule="auto"/>
        <w:jc w:val="both"/>
        <w:rPr>
          <w:rFonts w:cstheme="minorHAnsi"/>
          <w:sz w:val="24"/>
          <w:szCs w:val="24"/>
        </w:rPr>
      </w:pPr>
      <w:r w:rsidRPr="00235C66">
        <w:rPr>
          <w:rFonts w:cstheme="minorHAnsi"/>
          <w:b/>
          <w:sz w:val="24"/>
          <w:szCs w:val="24"/>
        </w:rPr>
        <w:t xml:space="preserve">Migrant  </w:t>
      </w:r>
      <w:r w:rsidR="00343A8D" w:rsidRPr="00235C66">
        <w:rPr>
          <w:rFonts w:cstheme="minorHAnsi"/>
          <w:sz w:val="24"/>
          <w:szCs w:val="24"/>
        </w:rPr>
        <w:t>–</w:t>
      </w:r>
      <w:r w:rsidR="00343A8D" w:rsidRPr="00235C66">
        <w:rPr>
          <w:rFonts w:cstheme="minorHAnsi"/>
          <w:b/>
          <w:sz w:val="24"/>
          <w:szCs w:val="24"/>
        </w:rPr>
        <w:t xml:space="preserve"> </w:t>
      </w:r>
      <w:r w:rsidRPr="00235C66">
        <w:rPr>
          <w:rFonts w:cstheme="minorHAnsi"/>
          <w:sz w:val="24"/>
          <w:szCs w:val="24"/>
        </w:rPr>
        <w:t>osoba, která pobývá mimo zemi svého původu déle než rok, bez ohledu na důvody odchodu ze země.</w:t>
      </w:r>
    </w:p>
    <w:p w14:paraId="384D2F76" w14:textId="5A3C249A" w:rsidR="003A0F4D" w:rsidRPr="00235C66" w:rsidRDefault="00F04DCF" w:rsidP="00343A8D">
      <w:pPr>
        <w:spacing w:after="120" w:line="240" w:lineRule="auto"/>
        <w:jc w:val="both"/>
        <w:rPr>
          <w:rFonts w:cstheme="minorHAnsi"/>
          <w:sz w:val="24"/>
          <w:szCs w:val="24"/>
        </w:rPr>
      </w:pPr>
      <w:r w:rsidRPr="00235C66">
        <w:rPr>
          <w:rFonts w:cstheme="minorHAnsi"/>
          <w:b/>
          <w:sz w:val="24"/>
          <w:szCs w:val="24"/>
        </w:rPr>
        <w:t xml:space="preserve">Uprchlík </w:t>
      </w:r>
      <w:r w:rsidRPr="00235C66">
        <w:rPr>
          <w:rFonts w:cstheme="minorHAnsi"/>
          <w:sz w:val="24"/>
          <w:szCs w:val="24"/>
        </w:rPr>
        <w:t>–</w:t>
      </w:r>
      <w:r w:rsidRPr="00235C66">
        <w:rPr>
          <w:rFonts w:cstheme="minorHAnsi"/>
          <w:b/>
          <w:sz w:val="24"/>
          <w:szCs w:val="24"/>
        </w:rPr>
        <w:t xml:space="preserve"> </w:t>
      </w:r>
      <w:r w:rsidRPr="00235C66">
        <w:rPr>
          <w:rFonts w:cstheme="minorHAnsi"/>
          <w:sz w:val="24"/>
          <w:szCs w:val="24"/>
        </w:rPr>
        <w:t>osoba, která se nachází mimo svou vlast a má oprávněné obavy před pronásledováním z důvodů rasových, náboženských nebo národnostních, z důvodů příslušnosti k určitým společenským vrstvám anebo zastávání určitých politických názorů, pro které se nechce nebo nemůže vrátit do státu, ve kterém má státní občanství, nebo do státu posledního trvalého pobytu.</w:t>
      </w:r>
    </w:p>
    <w:p w14:paraId="0422A41A" w14:textId="50551D5B" w:rsidR="003A0F4D" w:rsidRPr="00235C66" w:rsidRDefault="00F04DCF" w:rsidP="00343A8D">
      <w:pPr>
        <w:spacing w:after="120" w:line="240" w:lineRule="auto"/>
        <w:jc w:val="both"/>
        <w:rPr>
          <w:rFonts w:cstheme="minorHAnsi"/>
          <w:sz w:val="24"/>
          <w:szCs w:val="24"/>
        </w:rPr>
      </w:pPr>
      <w:r w:rsidRPr="00235C66">
        <w:rPr>
          <w:rFonts w:cstheme="minorHAnsi"/>
          <w:b/>
          <w:sz w:val="24"/>
          <w:szCs w:val="24"/>
        </w:rPr>
        <w:t>Cizinec</w:t>
      </w:r>
      <w:r w:rsidRPr="00235C66">
        <w:rPr>
          <w:rFonts w:cstheme="minorHAnsi"/>
          <w:sz w:val="24"/>
          <w:szCs w:val="24"/>
        </w:rPr>
        <w:t xml:space="preserve"> </w:t>
      </w:r>
      <w:r w:rsidR="00343A8D" w:rsidRPr="00235C66">
        <w:rPr>
          <w:rFonts w:cstheme="minorHAnsi"/>
          <w:sz w:val="24"/>
          <w:szCs w:val="24"/>
        </w:rPr>
        <w:t>–</w:t>
      </w:r>
      <w:r w:rsidR="00343A8D" w:rsidRPr="00235C66">
        <w:rPr>
          <w:rFonts w:cstheme="minorHAnsi"/>
          <w:b/>
          <w:sz w:val="24"/>
          <w:szCs w:val="24"/>
        </w:rPr>
        <w:t xml:space="preserve"> </w:t>
      </w:r>
      <w:r w:rsidRPr="00235C66">
        <w:rPr>
          <w:rFonts w:cstheme="minorHAnsi"/>
          <w:sz w:val="24"/>
          <w:szCs w:val="24"/>
        </w:rPr>
        <w:t>dle zákona č. 326/1999 Sb., o pobytu cizinců na území České republiky</w:t>
      </w:r>
      <w:r w:rsidR="00C3388F" w:rsidRPr="00235C66">
        <w:rPr>
          <w:rFonts w:cstheme="minorHAnsi"/>
          <w:sz w:val="24"/>
          <w:szCs w:val="24"/>
        </w:rPr>
        <w:t xml:space="preserve"> a o změně některých zákonů</w:t>
      </w:r>
      <w:r w:rsidRPr="00235C66">
        <w:rPr>
          <w:rFonts w:cstheme="minorHAnsi"/>
          <w:sz w:val="24"/>
          <w:szCs w:val="24"/>
        </w:rPr>
        <w:t>, se jedná o fyzickou osobu nacházející se na území ČR, která není státním občanem ČR, a to včetně občan</w:t>
      </w:r>
      <w:r w:rsidR="00B41468">
        <w:rPr>
          <w:rFonts w:cstheme="minorHAnsi"/>
          <w:sz w:val="24"/>
          <w:szCs w:val="24"/>
        </w:rPr>
        <w:t>ů</w:t>
      </w:r>
      <w:r w:rsidRPr="00235C66">
        <w:rPr>
          <w:rFonts w:cstheme="minorHAnsi"/>
          <w:sz w:val="24"/>
          <w:szCs w:val="24"/>
        </w:rPr>
        <w:t xml:space="preserve"> Evropské unie.</w:t>
      </w:r>
    </w:p>
    <w:p w14:paraId="3FFE31F1" w14:textId="57596E7D" w:rsidR="003A0F4D" w:rsidRPr="00235C66" w:rsidRDefault="00F04DCF" w:rsidP="00343A8D">
      <w:pPr>
        <w:spacing w:after="120" w:line="240" w:lineRule="auto"/>
        <w:jc w:val="both"/>
        <w:rPr>
          <w:rFonts w:cstheme="minorHAnsi"/>
          <w:sz w:val="24"/>
          <w:szCs w:val="24"/>
        </w:rPr>
      </w:pPr>
      <w:r w:rsidRPr="00235C66">
        <w:rPr>
          <w:rFonts w:cstheme="minorHAnsi"/>
          <w:b/>
          <w:sz w:val="24"/>
          <w:szCs w:val="24"/>
        </w:rPr>
        <w:t>Mezinárodní ochrana</w:t>
      </w:r>
      <w:r w:rsidRPr="00235C66">
        <w:rPr>
          <w:rFonts w:cstheme="minorHAnsi"/>
          <w:sz w:val="24"/>
          <w:szCs w:val="24"/>
        </w:rPr>
        <w:t xml:space="preserve"> </w:t>
      </w:r>
      <w:r w:rsidR="00343A8D" w:rsidRPr="00235C66">
        <w:rPr>
          <w:rFonts w:cstheme="minorHAnsi"/>
          <w:sz w:val="24"/>
          <w:szCs w:val="24"/>
        </w:rPr>
        <w:t>–</w:t>
      </w:r>
      <w:r w:rsidR="00343A8D" w:rsidRPr="00235C66">
        <w:rPr>
          <w:rFonts w:cstheme="minorHAnsi"/>
          <w:b/>
          <w:sz w:val="24"/>
          <w:szCs w:val="24"/>
        </w:rPr>
        <w:t xml:space="preserve"> </w:t>
      </w:r>
      <w:r w:rsidRPr="00235C66">
        <w:rPr>
          <w:rFonts w:cstheme="minorHAnsi"/>
          <w:sz w:val="24"/>
          <w:szCs w:val="24"/>
        </w:rPr>
        <w:t>zastřešující pojem pro azyl a doplňkovou ochranu. Jde o ochranu, která může být poskytnuta cizincům pobývajícím na území ČR, kteří se nemohou vrátit do své země, a to z důvodů přesně uvedených v zákon</w:t>
      </w:r>
      <w:r w:rsidR="000061F0" w:rsidRPr="00235C66">
        <w:rPr>
          <w:rFonts w:cstheme="minorHAnsi"/>
          <w:sz w:val="24"/>
          <w:szCs w:val="24"/>
        </w:rPr>
        <w:t>ě</w:t>
      </w:r>
      <w:r w:rsidRPr="00235C66">
        <w:rPr>
          <w:rFonts w:cstheme="minorHAnsi"/>
          <w:sz w:val="24"/>
          <w:szCs w:val="24"/>
        </w:rPr>
        <w:t xml:space="preserve"> č. 325/1999 Sb., o azylu.</w:t>
      </w:r>
    </w:p>
    <w:p w14:paraId="15CEC2BF" w14:textId="6C541E19" w:rsidR="003A0F4D" w:rsidRPr="00235C66" w:rsidRDefault="00F04DCF" w:rsidP="00343A8D">
      <w:pPr>
        <w:spacing w:after="120" w:line="240" w:lineRule="auto"/>
        <w:jc w:val="both"/>
        <w:rPr>
          <w:rFonts w:cstheme="minorHAnsi"/>
          <w:b/>
          <w:sz w:val="24"/>
          <w:szCs w:val="24"/>
        </w:rPr>
      </w:pPr>
      <w:r w:rsidRPr="00235C66">
        <w:rPr>
          <w:rFonts w:cstheme="minorHAnsi"/>
          <w:b/>
          <w:sz w:val="24"/>
          <w:szCs w:val="24"/>
        </w:rPr>
        <w:t xml:space="preserve">Dublinský systém </w:t>
      </w:r>
      <w:r w:rsidR="00343A8D" w:rsidRPr="00235C66">
        <w:rPr>
          <w:rFonts w:cstheme="minorHAnsi"/>
          <w:sz w:val="24"/>
          <w:szCs w:val="24"/>
        </w:rPr>
        <w:t>–</w:t>
      </w:r>
      <w:r w:rsidR="00343A8D" w:rsidRPr="00235C66">
        <w:rPr>
          <w:rFonts w:cstheme="minorHAnsi"/>
          <w:b/>
          <w:sz w:val="24"/>
          <w:szCs w:val="24"/>
        </w:rPr>
        <w:t xml:space="preserve"> </w:t>
      </w:r>
      <w:r w:rsidRPr="00235C66">
        <w:rPr>
          <w:rFonts w:cstheme="minorHAnsi"/>
          <w:sz w:val="24"/>
          <w:szCs w:val="24"/>
        </w:rPr>
        <w:t>mechanismus, kterým je v rámci členských států Evropské unie a dále Norska, Islandu, Lichtenštejnska a Švýcarska určován jediný stát, který projedná žádost cizince o mezinárodní ochranu a ve věci rozhodne, ať je žádost o mezinárodní ochranu podána kdekoli na území těchto států.</w:t>
      </w:r>
    </w:p>
    <w:p w14:paraId="3811C4D9" w14:textId="40442810" w:rsidR="003A0F4D" w:rsidRPr="00235C66" w:rsidRDefault="00F04DCF" w:rsidP="00343A8D">
      <w:pPr>
        <w:spacing w:after="120" w:line="240" w:lineRule="auto"/>
        <w:jc w:val="both"/>
        <w:rPr>
          <w:rFonts w:cstheme="minorHAnsi"/>
          <w:sz w:val="24"/>
          <w:szCs w:val="24"/>
        </w:rPr>
      </w:pPr>
      <w:r w:rsidRPr="00235C66">
        <w:rPr>
          <w:rFonts w:cstheme="minorHAnsi"/>
          <w:b/>
          <w:sz w:val="24"/>
          <w:szCs w:val="24"/>
        </w:rPr>
        <w:t xml:space="preserve">Žadatel o mezinárodní ochranu (azyl + doplňková ochrana) </w:t>
      </w:r>
      <w:r w:rsidR="00343A8D" w:rsidRPr="00235C66">
        <w:rPr>
          <w:rFonts w:cstheme="minorHAnsi"/>
          <w:sz w:val="24"/>
          <w:szCs w:val="24"/>
        </w:rPr>
        <w:t>–</w:t>
      </w:r>
      <w:r w:rsidR="00343A8D" w:rsidRPr="00235C66">
        <w:rPr>
          <w:rFonts w:cstheme="minorHAnsi"/>
          <w:b/>
          <w:sz w:val="24"/>
          <w:szCs w:val="24"/>
        </w:rPr>
        <w:t xml:space="preserve"> </w:t>
      </w:r>
      <w:r w:rsidRPr="00235C66">
        <w:rPr>
          <w:rFonts w:cstheme="minorHAnsi"/>
          <w:sz w:val="24"/>
          <w:szCs w:val="24"/>
        </w:rPr>
        <w:t xml:space="preserve">cizinec, který požádal o přiznání mezinárodní ochrany na základě zákona č. 325/1999 Sb. Za žadatele je cizinec považován do doby vydání pravomocného rozhodnutí o mezinárodní ochraně. Dále se může jednat o cizince, </w:t>
      </w:r>
      <w:r w:rsidRPr="00235C66">
        <w:rPr>
          <w:rFonts w:cstheme="minorHAnsi"/>
          <w:sz w:val="24"/>
          <w:szCs w:val="24"/>
        </w:rPr>
        <w:lastRenderedPageBreak/>
        <w:t xml:space="preserve">který požádal o vydání mezinárodní ochrany v jiném státě, který aplikuje tzv. dublinský systém a ČR jej převzala na své území za účelem provedení řízení o udělení mezinárodní ochrany. </w:t>
      </w:r>
    </w:p>
    <w:p w14:paraId="1CB979CC" w14:textId="6B65E7BF" w:rsidR="003A0F4D" w:rsidRPr="00235C66" w:rsidRDefault="00F04DCF" w:rsidP="00343A8D">
      <w:pPr>
        <w:spacing w:after="120" w:line="240" w:lineRule="auto"/>
        <w:jc w:val="both"/>
        <w:rPr>
          <w:rFonts w:cstheme="minorHAnsi"/>
          <w:b/>
          <w:sz w:val="24"/>
          <w:szCs w:val="24"/>
        </w:rPr>
      </w:pPr>
      <w:r w:rsidRPr="00235C66">
        <w:rPr>
          <w:rFonts w:cstheme="minorHAnsi"/>
          <w:b/>
          <w:sz w:val="24"/>
          <w:szCs w:val="24"/>
        </w:rPr>
        <w:t xml:space="preserve">Azyl </w:t>
      </w:r>
      <w:r w:rsidR="00343A8D" w:rsidRPr="00235C66">
        <w:rPr>
          <w:rFonts w:cstheme="minorHAnsi"/>
          <w:sz w:val="24"/>
          <w:szCs w:val="24"/>
        </w:rPr>
        <w:t>–</w:t>
      </w:r>
      <w:r w:rsidR="00343A8D" w:rsidRPr="00235C66">
        <w:rPr>
          <w:rFonts w:cstheme="minorHAnsi"/>
          <w:b/>
          <w:sz w:val="24"/>
          <w:szCs w:val="24"/>
        </w:rPr>
        <w:t xml:space="preserve"> </w:t>
      </w:r>
      <w:r w:rsidRPr="00235C66">
        <w:rPr>
          <w:rFonts w:cstheme="minorHAnsi"/>
          <w:sz w:val="24"/>
          <w:szCs w:val="24"/>
        </w:rPr>
        <w:t>ochranný status, který stát poskytuje státnímu příslušníku třetí země nebo osobě bez státní příslušnosti v souvislosti s rizikem jejího pronásledování z důvodů přesně vyjmenovaných v</w:t>
      </w:r>
      <w:r w:rsidR="00763044" w:rsidRPr="00235C66">
        <w:rPr>
          <w:rFonts w:cstheme="minorHAnsi"/>
          <w:sz w:val="24"/>
          <w:szCs w:val="24"/>
        </w:rPr>
        <w:t> </w:t>
      </w:r>
      <w:r w:rsidRPr="00235C66">
        <w:rPr>
          <w:rFonts w:cstheme="minorHAnsi"/>
          <w:sz w:val="24"/>
          <w:szCs w:val="24"/>
        </w:rPr>
        <w:t>mezinárodních i národních právních nástrojích. V ČR jsou důvody udělení azylu specifikovány v</w:t>
      </w:r>
      <w:r w:rsidR="00763044" w:rsidRPr="00235C66">
        <w:rPr>
          <w:rFonts w:cstheme="minorHAnsi"/>
          <w:sz w:val="24"/>
          <w:szCs w:val="24"/>
        </w:rPr>
        <w:t> </w:t>
      </w:r>
      <w:r w:rsidRPr="00235C66">
        <w:rPr>
          <w:rFonts w:cstheme="minorHAnsi"/>
          <w:sz w:val="24"/>
          <w:szCs w:val="24"/>
        </w:rPr>
        <w:t>zákoně č. 325/1999 Sb.</w:t>
      </w:r>
    </w:p>
    <w:p w14:paraId="12824D18" w14:textId="0FA8817A" w:rsidR="003A0F4D" w:rsidRPr="00235C66" w:rsidRDefault="00F04DCF" w:rsidP="00343A8D">
      <w:pPr>
        <w:spacing w:after="120" w:line="240" w:lineRule="auto"/>
        <w:jc w:val="both"/>
        <w:rPr>
          <w:rFonts w:cstheme="minorHAnsi"/>
          <w:sz w:val="24"/>
          <w:szCs w:val="24"/>
        </w:rPr>
      </w:pPr>
      <w:r w:rsidRPr="00235C66">
        <w:rPr>
          <w:rFonts w:cstheme="minorHAnsi"/>
          <w:b/>
          <w:sz w:val="24"/>
          <w:szCs w:val="24"/>
        </w:rPr>
        <w:t xml:space="preserve">Azylant </w:t>
      </w:r>
      <w:r w:rsidR="00343A8D" w:rsidRPr="00235C66">
        <w:rPr>
          <w:rFonts w:cstheme="minorHAnsi"/>
          <w:sz w:val="24"/>
          <w:szCs w:val="24"/>
        </w:rPr>
        <w:t>–</w:t>
      </w:r>
      <w:r w:rsidR="00343A8D" w:rsidRPr="00235C66">
        <w:rPr>
          <w:rFonts w:cstheme="minorHAnsi"/>
          <w:b/>
          <w:sz w:val="24"/>
          <w:szCs w:val="24"/>
        </w:rPr>
        <w:t xml:space="preserve"> </w:t>
      </w:r>
      <w:r w:rsidRPr="00235C66">
        <w:rPr>
          <w:rFonts w:cstheme="minorHAnsi"/>
          <w:sz w:val="24"/>
          <w:szCs w:val="24"/>
        </w:rPr>
        <w:t xml:space="preserve">cizinec, kterému byl udělen azyl podle zákona č. 325/1999 Sb., a to po dobu platnosti rozhodnutí o udělení azylu. Status azylanta se uděluje na neomezenou dobu. Azylanti mají podobná práva a povinnosti jako cizinci s povolením k trvalému pobytu. Získávají trvalý pobyt v ČR, mohou zde studovat nebo pracovat a mají právo na zdravotní péči i sociální zabezpečení. Udělením azylu získávají cizinci právo na zařazení do Státního integračního programu. </w:t>
      </w:r>
    </w:p>
    <w:p w14:paraId="2BD45E39" w14:textId="03C78FD1" w:rsidR="003A0F4D" w:rsidRPr="00235C66" w:rsidRDefault="00F04DCF" w:rsidP="00343A8D">
      <w:pPr>
        <w:spacing w:after="120" w:line="240" w:lineRule="auto"/>
        <w:jc w:val="both"/>
        <w:rPr>
          <w:rFonts w:cstheme="minorHAnsi"/>
          <w:sz w:val="24"/>
          <w:szCs w:val="24"/>
          <w:shd w:val="clear" w:color="auto" w:fill="FFFFFF"/>
        </w:rPr>
      </w:pPr>
      <w:r w:rsidRPr="00235C66">
        <w:rPr>
          <w:rStyle w:val="Siln"/>
          <w:rFonts w:cstheme="minorHAnsi"/>
          <w:sz w:val="24"/>
          <w:szCs w:val="24"/>
          <w:shd w:val="clear" w:color="auto" w:fill="FFFFFF"/>
        </w:rPr>
        <w:t>Doplňková ochrana</w:t>
      </w:r>
      <w:r w:rsidRPr="00235C66">
        <w:rPr>
          <w:rFonts w:cstheme="minorHAnsi"/>
          <w:sz w:val="24"/>
          <w:szCs w:val="24"/>
          <w:shd w:val="clear" w:color="auto" w:fill="FFFFFF"/>
        </w:rPr>
        <w:t> </w:t>
      </w:r>
      <w:r w:rsidR="0079237D" w:rsidRPr="00235C66">
        <w:rPr>
          <w:rFonts w:cstheme="minorHAnsi"/>
          <w:sz w:val="24"/>
          <w:szCs w:val="24"/>
        </w:rPr>
        <w:t>–</w:t>
      </w:r>
      <w:r w:rsidR="0079237D" w:rsidRPr="00235C66">
        <w:rPr>
          <w:rFonts w:cstheme="minorHAnsi"/>
          <w:b/>
          <w:sz w:val="24"/>
          <w:szCs w:val="24"/>
        </w:rPr>
        <w:t xml:space="preserve"> </w:t>
      </w:r>
      <w:r w:rsidRPr="00235C66">
        <w:rPr>
          <w:rFonts w:cstheme="minorHAnsi"/>
          <w:sz w:val="24"/>
          <w:szCs w:val="24"/>
          <w:shd w:val="clear" w:color="auto" w:fill="FFFFFF"/>
        </w:rPr>
        <w:t>forma mezinárodní ochrany, která se uděluje cizincům, kteří nesplňují důvody pro udělení azylu, nicméně v řízení o udělení mezinárodní ochrany bylo zjištěno, že v jejich případě existují důvodné obavy, že pokud by tito cizinci byli vráceni do státu, jehož jsou státními příslušníky (v</w:t>
      </w:r>
      <w:r w:rsidR="00793496" w:rsidRPr="00235C66">
        <w:rPr>
          <w:rFonts w:cstheme="minorHAnsi"/>
          <w:sz w:val="24"/>
          <w:szCs w:val="24"/>
          <w:shd w:val="clear" w:color="auto" w:fill="FFFFFF"/>
        </w:rPr>
        <w:t> </w:t>
      </w:r>
      <w:r w:rsidRPr="00235C66">
        <w:rPr>
          <w:rFonts w:cstheme="minorHAnsi"/>
          <w:sz w:val="24"/>
          <w:szCs w:val="24"/>
          <w:shd w:val="clear" w:color="auto" w:fill="FFFFFF"/>
        </w:rPr>
        <w:t>případě osob bez státního občanství do státu jejich posledního trvalého bydliště), hrozilo</w:t>
      </w:r>
      <w:r w:rsidR="00DA38E9" w:rsidRPr="00DA38E9">
        <w:rPr>
          <w:rFonts w:cstheme="minorHAnsi"/>
          <w:sz w:val="24"/>
          <w:szCs w:val="24"/>
          <w:shd w:val="clear" w:color="auto" w:fill="FFFFFF"/>
        </w:rPr>
        <w:t xml:space="preserve"> </w:t>
      </w:r>
      <w:r w:rsidR="00DA38E9" w:rsidRPr="00235C66">
        <w:rPr>
          <w:rFonts w:cstheme="minorHAnsi"/>
          <w:sz w:val="24"/>
          <w:szCs w:val="24"/>
          <w:shd w:val="clear" w:color="auto" w:fill="FFFFFF"/>
        </w:rPr>
        <w:t>by jim</w:t>
      </w:r>
      <w:r w:rsidRPr="00235C66">
        <w:rPr>
          <w:rFonts w:cstheme="minorHAnsi"/>
          <w:sz w:val="24"/>
          <w:szCs w:val="24"/>
          <w:shd w:val="clear" w:color="auto" w:fill="FFFFFF"/>
        </w:rPr>
        <w:t xml:space="preserve"> skutečné nebezpečí vážné újmy</w:t>
      </w:r>
      <w:r w:rsidRPr="00235C66">
        <w:rPr>
          <w:rStyle w:val="Znakapoznpodarou"/>
          <w:rFonts w:cstheme="minorHAnsi"/>
          <w:sz w:val="24"/>
          <w:szCs w:val="24"/>
          <w:shd w:val="clear" w:color="auto" w:fill="FFFFFF"/>
        </w:rPr>
        <w:footnoteReference w:id="45"/>
      </w:r>
      <w:r w:rsidRPr="00235C66">
        <w:rPr>
          <w:rFonts w:cstheme="minorHAnsi"/>
          <w:sz w:val="24"/>
          <w:szCs w:val="24"/>
          <w:shd w:val="clear" w:color="auto" w:fill="FFFFFF"/>
        </w:rPr>
        <w:t>.</w:t>
      </w:r>
    </w:p>
    <w:p w14:paraId="0D2F75A5" w14:textId="61748820" w:rsidR="003A0F4D" w:rsidRPr="00235C66" w:rsidRDefault="00F04DCF" w:rsidP="00343A8D">
      <w:pPr>
        <w:spacing w:after="120" w:line="240" w:lineRule="auto"/>
        <w:jc w:val="both"/>
        <w:rPr>
          <w:rFonts w:cstheme="minorHAnsi"/>
          <w:sz w:val="24"/>
          <w:szCs w:val="24"/>
        </w:rPr>
      </w:pPr>
      <w:r w:rsidRPr="00235C66">
        <w:rPr>
          <w:rFonts w:cstheme="minorHAnsi"/>
          <w:b/>
          <w:sz w:val="24"/>
          <w:szCs w:val="24"/>
        </w:rPr>
        <w:t>Osoba požívající doplňkové ochrany</w:t>
      </w:r>
      <w:r w:rsidRPr="00235C66">
        <w:rPr>
          <w:rFonts w:cstheme="minorHAnsi"/>
          <w:sz w:val="24"/>
          <w:szCs w:val="24"/>
        </w:rPr>
        <w:t xml:space="preserve"> </w:t>
      </w:r>
      <w:r w:rsidR="0079237D" w:rsidRPr="00235C66">
        <w:rPr>
          <w:rFonts w:cstheme="minorHAnsi"/>
          <w:sz w:val="24"/>
          <w:szCs w:val="24"/>
        </w:rPr>
        <w:t>–</w:t>
      </w:r>
      <w:r w:rsidR="0079237D" w:rsidRPr="00235C66">
        <w:rPr>
          <w:rFonts w:cstheme="minorHAnsi"/>
          <w:b/>
          <w:sz w:val="24"/>
          <w:szCs w:val="24"/>
        </w:rPr>
        <w:t xml:space="preserve"> </w:t>
      </w:r>
      <w:r w:rsidRPr="00235C66">
        <w:rPr>
          <w:rFonts w:cstheme="minorHAnsi"/>
          <w:sz w:val="24"/>
          <w:szCs w:val="24"/>
        </w:rPr>
        <w:t>cizinec, který nesplňuje důvody pro udělení azylu, ale byla mu udělena doplňková ochrana podle zákona č. 325/1999 Sb., a to po dobu platnosti rozhodnutí o udělení doplňkové ochrany. Tato forma mezinárodní ochrany se uděluje na časově omezenou dobu, a to ze zásady na dobu, po kterou cizinci hrozí v zemi původu vážná újma.</w:t>
      </w:r>
    </w:p>
    <w:p w14:paraId="70C0F29C" w14:textId="668C14DC" w:rsidR="003A0F4D" w:rsidRPr="00235C66" w:rsidRDefault="00F04DCF" w:rsidP="00343A8D">
      <w:pPr>
        <w:spacing w:after="120" w:line="240" w:lineRule="auto"/>
        <w:jc w:val="both"/>
        <w:rPr>
          <w:rFonts w:cstheme="minorHAnsi"/>
          <w:b/>
          <w:sz w:val="24"/>
          <w:szCs w:val="24"/>
        </w:rPr>
      </w:pPr>
      <w:r w:rsidRPr="00235C66">
        <w:rPr>
          <w:rFonts w:cstheme="minorHAnsi"/>
          <w:b/>
          <w:sz w:val="24"/>
          <w:szCs w:val="24"/>
        </w:rPr>
        <w:t xml:space="preserve">Nelegální migrant </w:t>
      </w:r>
      <w:r w:rsidR="0079237D" w:rsidRPr="00235C66">
        <w:rPr>
          <w:rFonts w:cstheme="minorHAnsi"/>
          <w:sz w:val="24"/>
          <w:szCs w:val="24"/>
        </w:rPr>
        <w:t>–</w:t>
      </w:r>
      <w:r w:rsidR="0079237D" w:rsidRPr="00235C66">
        <w:rPr>
          <w:rFonts w:cstheme="minorHAnsi"/>
          <w:b/>
          <w:sz w:val="24"/>
          <w:szCs w:val="24"/>
        </w:rPr>
        <w:t xml:space="preserve"> </w:t>
      </w:r>
      <w:r w:rsidRPr="00235C66">
        <w:rPr>
          <w:rFonts w:cstheme="minorHAnsi"/>
          <w:sz w:val="24"/>
          <w:szCs w:val="24"/>
        </w:rPr>
        <w:t>cizinec, který vstupuje na území ČR bez platného pobytového oprávnění, nebo v</w:t>
      </w:r>
      <w:r w:rsidR="00763044" w:rsidRPr="00235C66">
        <w:rPr>
          <w:rFonts w:cstheme="minorHAnsi"/>
          <w:sz w:val="24"/>
          <w:szCs w:val="24"/>
        </w:rPr>
        <w:t> </w:t>
      </w:r>
      <w:r w:rsidRPr="00235C66">
        <w:rPr>
          <w:rFonts w:cstheme="minorHAnsi"/>
          <w:sz w:val="24"/>
          <w:szCs w:val="24"/>
        </w:rPr>
        <w:t>ČR bez platného pobytového oprávnění pobývá. Důvody jeho vstupu na území jsou různé, tj.</w:t>
      </w:r>
      <w:r w:rsidR="00763044" w:rsidRPr="00235C66">
        <w:rPr>
          <w:rFonts w:cstheme="minorHAnsi"/>
          <w:sz w:val="24"/>
          <w:szCs w:val="24"/>
        </w:rPr>
        <w:t> </w:t>
      </w:r>
      <w:r w:rsidR="008B372C" w:rsidRPr="00235C66">
        <w:rPr>
          <w:rFonts w:cstheme="minorHAnsi"/>
          <w:sz w:val="24"/>
          <w:szCs w:val="24"/>
        </w:rPr>
        <w:t xml:space="preserve">kategorie </w:t>
      </w:r>
      <w:r w:rsidRPr="00235C66">
        <w:rPr>
          <w:rFonts w:cstheme="minorHAnsi"/>
          <w:sz w:val="24"/>
          <w:szCs w:val="24"/>
        </w:rPr>
        <w:t>zahrnuj</w:t>
      </w:r>
      <w:r w:rsidR="008B372C" w:rsidRPr="00235C66">
        <w:rPr>
          <w:rFonts w:cstheme="minorHAnsi"/>
          <w:sz w:val="24"/>
          <w:szCs w:val="24"/>
        </w:rPr>
        <w:t>e</w:t>
      </w:r>
      <w:r w:rsidRPr="00235C66">
        <w:rPr>
          <w:rFonts w:cstheme="minorHAnsi"/>
          <w:sz w:val="24"/>
          <w:szCs w:val="24"/>
        </w:rPr>
        <w:t xml:space="preserve"> jak ekonomické migranty, tak i uprchlíky.</w:t>
      </w:r>
    </w:p>
    <w:p w14:paraId="3528494D" w14:textId="0DBE57ED" w:rsidR="003A0F4D" w:rsidRPr="00235C66" w:rsidRDefault="00F04DCF" w:rsidP="00343A8D">
      <w:pPr>
        <w:spacing w:after="120" w:line="240" w:lineRule="auto"/>
        <w:jc w:val="both"/>
        <w:rPr>
          <w:rFonts w:cstheme="minorHAnsi"/>
          <w:b/>
          <w:sz w:val="24"/>
          <w:szCs w:val="24"/>
        </w:rPr>
      </w:pPr>
      <w:r w:rsidRPr="00235C66">
        <w:rPr>
          <w:rFonts w:cstheme="minorHAnsi"/>
          <w:b/>
          <w:sz w:val="24"/>
          <w:szCs w:val="24"/>
        </w:rPr>
        <w:t xml:space="preserve">Ekonomický migrant </w:t>
      </w:r>
      <w:r w:rsidR="0079237D" w:rsidRPr="00235C66">
        <w:rPr>
          <w:rFonts w:cstheme="minorHAnsi"/>
          <w:sz w:val="24"/>
          <w:szCs w:val="24"/>
        </w:rPr>
        <w:t>–</w:t>
      </w:r>
      <w:r w:rsidR="0079237D" w:rsidRPr="00235C66">
        <w:rPr>
          <w:rFonts w:cstheme="minorHAnsi"/>
          <w:b/>
          <w:sz w:val="24"/>
          <w:szCs w:val="24"/>
        </w:rPr>
        <w:t xml:space="preserve"> </w:t>
      </w:r>
      <w:r w:rsidRPr="00235C66">
        <w:rPr>
          <w:rFonts w:cstheme="minorHAnsi"/>
          <w:sz w:val="24"/>
          <w:szCs w:val="24"/>
        </w:rPr>
        <w:t>cizinec, který svou zemi opustil dobrovolně s cílem zlepšení svého ekonomického postavení.</w:t>
      </w:r>
    </w:p>
    <w:p w14:paraId="6590E7E9" w14:textId="41C0ACA4" w:rsidR="003A0F4D" w:rsidRPr="00235C66" w:rsidRDefault="00F04DCF" w:rsidP="00343A8D">
      <w:pPr>
        <w:spacing w:after="120" w:line="240" w:lineRule="auto"/>
        <w:jc w:val="both"/>
        <w:rPr>
          <w:rFonts w:cstheme="minorHAnsi"/>
          <w:sz w:val="24"/>
          <w:szCs w:val="24"/>
        </w:rPr>
      </w:pPr>
      <w:r w:rsidRPr="00235C66">
        <w:rPr>
          <w:rFonts w:cstheme="minorHAnsi"/>
          <w:b/>
          <w:sz w:val="24"/>
          <w:szCs w:val="24"/>
        </w:rPr>
        <w:t>Zajištěný cizinec</w:t>
      </w:r>
      <w:r w:rsidR="0079237D" w:rsidRPr="00235C66">
        <w:rPr>
          <w:rFonts w:cstheme="minorHAnsi"/>
          <w:sz w:val="24"/>
          <w:szCs w:val="24"/>
        </w:rPr>
        <w:t xml:space="preserve"> –</w:t>
      </w:r>
      <w:r w:rsidR="0079237D" w:rsidRPr="00235C66">
        <w:rPr>
          <w:rFonts w:cstheme="minorHAnsi"/>
          <w:b/>
          <w:sz w:val="24"/>
          <w:szCs w:val="24"/>
        </w:rPr>
        <w:t xml:space="preserve"> </w:t>
      </w:r>
      <w:r w:rsidRPr="00235C66">
        <w:rPr>
          <w:rFonts w:cstheme="minorHAnsi"/>
          <w:sz w:val="24"/>
          <w:szCs w:val="24"/>
        </w:rPr>
        <w:t>cizinec, který vstoupil nebo pobýval na území ČR</w:t>
      </w:r>
      <w:r w:rsidR="00DA38E9">
        <w:rPr>
          <w:rFonts w:cstheme="minorHAnsi"/>
          <w:sz w:val="24"/>
          <w:szCs w:val="24"/>
        </w:rPr>
        <w:t>,</w:t>
      </w:r>
      <w:r w:rsidRPr="00235C66">
        <w:rPr>
          <w:rFonts w:cstheme="minorHAnsi"/>
          <w:sz w:val="24"/>
          <w:szCs w:val="24"/>
        </w:rPr>
        <w:t xml:space="preserve"> resp. EU</w:t>
      </w:r>
      <w:r w:rsidR="00DA38E9">
        <w:rPr>
          <w:rFonts w:cstheme="minorHAnsi"/>
          <w:sz w:val="24"/>
          <w:szCs w:val="24"/>
        </w:rPr>
        <w:t>,</w:t>
      </w:r>
      <w:r w:rsidRPr="00235C66">
        <w:rPr>
          <w:rFonts w:cstheme="minorHAnsi"/>
          <w:sz w:val="24"/>
          <w:szCs w:val="24"/>
        </w:rPr>
        <w:t xml:space="preserve"> nelegálně a byl zajištěn za účelem vyhoštění, předání podle mezinárodní úmluvy nebo přímo použitelného předpisu EU.</w:t>
      </w:r>
    </w:p>
    <w:p w14:paraId="031DC6CA" w14:textId="3A62A2A8" w:rsidR="003A0F4D" w:rsidRPr="00235C66" w:rsidRDefault="00F04DCF" w:rsidP="00343A8D">
      <w:pPr>
        <w:spacing w:after="120" w:line="240" w:lineRule="auto"/>
        <w:jc w:val="both"/>
        <w:rPr>
          <w:rFonts w:cstheme="minorHAnsi"/>
          <w:sz w:val="24"/>
          <w:szCs w:val="24"/>
        </w:rPr>
      </w:pPr>
      <w:r w:rsidRPr="00235C66">
        <w:rPr>
          <w:rFonts w:cstheme="minorHAnsi"/>
          <w:b/>
          <w:sz w:val="24"/>
          <w:szCs w:val="24"/>
        </w:rPr>
        <w:t>Azylová zařízení</w:t>
      </w:r>
      <w:r w:rsidRPr="00235C66">
        <w:rPr>
          <w:rFonts w:cstheme="minorHAnsi"/>
          <w:sz w:val="24"/>
          <w:szCs w:val="24"/>
        </w:rPr>
        <w:t xml:space="preserve"> </w:t>
      </w:r>
      <w:r w:rsidR="0079237D" w:rsidRPr="00235C66">
        <w:rPr>
          <w:rFonts w:cstheme="minorHAnsi"/>
          <w:sz w:val="24"/>
          <w:szCs w:val="24"/>
        </w:rPr>
        <w:t>–</w:t>
      </w:r>
      <w:r w:rsidR="0079237D" w:rsidRPr="00235C66">
        <w:rPr>
          <w:rFonts w:cstheme="minorHAnsi"/>
          <w:b/>
          <w:sz w:val="24"/>
          <w:szCs w:val="24"/>
        </w:rPr>
        <w:t xml:space="preserve"> </w:t>
      </w:r>
      <w:r w:rsidRPr="00235C66">
        <w:rPr>
          <w:rFonts w:cstheme="minorHAnsi"/>
          <w:sz w:val="24"/>
          <w:szCs w:val="24"/>
        </w:rPr>
        <w:t>zařízení zřizovaná Ministerstvem vnitra, která slouží k ubytování žadatelů o udělení mezinárodní ochrany či držitelů mezinárodní ochrany. Podle účelu se rozlišují tři druhy: přijímací středisko, pobytové středisko a integrační azylové středisko.</w:t>
      </w:r>
    </w:p>
    <w:p w14:paraId="48F48A1B" w14:textId="19E4F5EE" w:rsidR="002D4118" w:rsidRDefault="00F04DCF" w:rsidP="00235C66">
      <w:pPr>
        <w:spacing w:after="120" w:line="240" w:lineRule="auto"/>
        <w:jc w:val="both"/>
        <w:rPr>
          <w:rFonts w:cstheme="minorHAnsi"/>
          <w:sz w:val="24"/>
          <w:szCs w:val="24"/>
        </w:rPr>
      </w:pPr>
      <w:r w:rsidRPr="00235C66">
        <w:rPr>
          <w:rFonts w:cstheme="minorHAnsi"/>
          <w:b/>
          <w:sz w:val="24"/>
          <w:szCs w:val="24"/>
        </w:rPr>
        <w:t>Centra na podporu integrace cizinců (</w:t>
      </w:r>
      <w:r w:rsidR="00DA38E9">
        <w:rPr>
          <w:rFonts w:cstheme="minorHAnsi"/>
          <w:b/>
          <w:sz w:val="24"/>
          <w:szCs w:val="24"/>
        </w:rPr>
        <w:t>i</w:t>
      </w:r>
      <w:r w:rsidRPr="00235C66">
        <w:rPr>
          <w:rFonts w:cstheme="minorHAnsi"/>
          <w:b/>
          <w:sz w:val="24"/>
          <w:szCs w:val="24"/>
        </w:rPr>
        <w:t>ntegrační centra)</w:t>
      </w:r>
      <w:r w:rsidRPr="00235C66">
        <w:rPr>
          <w:rFonts w:cstheme="minorHAnsi"/>
          <w:sz w:val="24"/>
          <w:szCs w:val="24"/>
        </w:rPr>
        <w:t xml:space="preserve"> </w:t>
      </w:r>
      <w:r w:rsidR="0079237D" w:rsidRPr="00235C66">
        <w:rPr>
          <w:rFonts w:cstheme="minorHAnsi"/>
          <w:sz w:val="24"/>
          <w:szCs w:val="24"/>
        </w:rPr>
        <w:t>–</w:t>
      </w:r>
      <w:r w:rsidR="0079237D" w:rsidRPr="00235C66">
        <w:rPr>
          <w:rFonts w:cstheme="minorHAnsi"/>
          <w:b/>
          <w:sz w:val="24"/>
          <w:szCs w:val="24"/>
        </w:rPr>
        <w:t xml:space="preserve"> </w:t>
      </w:r>
      <w:r w:rsidRPr="00235C66">
        <w:rPr>
          <w:rFonts w:cstheme="minorHAnsi"/>
          <w:sz w:val="24"/>
          <w:szCs w:val="24"/>
        </w:rPr>
        <w:t>regionální zařízení s působností vždy na území celého kraje, kter</w:t>
      </w:r>
      <w:r w:rsidR="00E74DB6" w:rsidRPr="00235C66">
        <w:rPr>
          <w:rFonts w:cstheme="minorHAnsi"/>
          <w:sz w:val="24"/>
          <w:szCs w:val="24"/>
        </w:rPr>
        <w:t>á</w:t>
      </w:r>
      <w:r w:rsidRPr="00235C66">
        <w:rPr>
          <w:rFonts w:cstheme="minorHAnsi"/>
          <w:sz w:val="24"/>
          <w:szCs w:val="24"/>
        </w:rPr>
        <w:t xml:space="preserve"> zajišťuj</w:t>
      </w:r>
      <w:r w:rsidR="00E74DB6" w:rsidRPr="00235C66">
        <w:rPr>
          <w:rFonts w:cstheme="minorHAnsi"/>
          <w:sz w:val="24"/>
          <w:szCs w:val="24"/>
        </w:rPr>
        <w:t>í</w:t>
      </w:r>
      <w:r w:rsidRPr="00235C66">
        <w:rPr>
          <w:rFonts w:cstheme="minorHAnsi"/>
          <w:sz w:val="24"/>
          <w:szCs w:val="24"/>
        </w:rPr>
        <w:t xml:space="preserve"> především integrační služby pro legálně pobývající cizince ze třetích zemí (např. kurzy češtiny, sociální a právní poradenství, tlumočení, zajišťování adaptačně-integračních kurzů), informace pro cizince i většinovou společnost vč</w:t>
      </w:r>
      <w:r w:rsidR="00E74DB6" w:rsidRPr="00235C66">
        <w:rPr>
          <w:rFonts w:cstheme="minorHAnsi"/>
          <w:sz w:val="24"/>
          <w:szCs w:val="24"/>
        </w:rPr>
        <w:t>etně</w:t>
      </w:r>
      <w:r w:rsidRPr="00235C66">
        <w:rPr>
          <w:rFonts w:cstheme="minorHAnsi"/>
          <w:sz w:val="24"/>
          <w:szCs w:val="24"/>
        </w:rPr>
        <w:t xml:space="preserve"> veřejné správy, monitoring situace cizinců, podpor</w:t>
      </w:r>
      <w:r w:rsidR="00E74DB6" w:rsidRPr="00235C66">
        <w:rPr>
          <w:rFonts w:cstheme="minorHAnsi"/>
          <w:sz w:val="24"/>
          <w:szCs w:val="24"/>
        </w:rPr>
        <w:t>u</w:t>
      </w:r>
      <w:r w:rsidRPr="00235C66">
        <w:rPr>
          <w:rFonts w:cstheme="minorHAnsi"/>
          <w:sz w:val="24"/>
          <w:szCs w:val="24"/>
        </w:rPr>
        <w:t xml:space="preserve"> společenských akcí pro cizince a majoritu.</w:t>
      </w:r>
    </w:p>
    <w:p w14:paraId="0E7389A5" w14:textId="5CA53524" w:rsidR="003463DF" w:rsidRPr="00235C66" w:rsidRDefault="003463DF" w:rsidP="00235C66">
      <w:pPr>
        <w:spacing w:after="120" w:line="240" w:lineRule="auto"/>
        <w:jc w:val="both"/>
        <w:rPr>
          <w:rFonts w:eastAsiaTheme="majorEastAsia" w:cstheme="minorHAnsi"/>
          <w:b/>
          <w:sz w:val="24"/>
          <w:szCs w:val="24"/>
        </w:rPr>
      </w:pPr>
      <w:r w:rsidRPr="00235C66">
        <w:rPr>
          <w:rFonts w:cstheme="minorHAnsi"/>
          <w:b/>
          <w:sz w:val="24"/>
          <w:szCs w:val="24"/>
        </w:rPr>
        <w:br w:type="page"/>
      </w:r>
    </w:p>
    <w:p w14:paraId="3F3C426A" w14:textId="7F1ABDD0" w:rsidR="001D5D00" w:rsidRPr="002C310E" w:rsidRDefault="001D5D00" w:rsidP="001D5D00">
      <w:pPr>
        <w:pStyle w:val="Nadpis1"/>
        <w:spacing w:before="0" w:after="120" w:line="240" w:lineRule="auto"/>
        <w:jc w:val="right"/>
        <w:rPr>
          <w:rFonts w:asciiTheme="minorHAnsi" w:hAnsiTheme="minorHAnsi" w:cstheme="minorHAnsi"/>
          <w:b/>
          <w:color w:val="auto"/>
          <w:sz w:val="24"/>
          <w:szCs w:val="24"/>
        </w:rPr>
      </w:pPr>
      <w:r w:rsidRPr="002C310E">
        <w:rPr>
          <w:rFonts w:asciiTheme="minorHAnsi" w:hAnsiTheme="minorHAnsi" w:cstheme="minorHAnsi"/>
          <w:b/>
          <w:color w:val="auto"/>
          <w:sz w:val="24"/>
          <w:szCs w:val="24"/>
        </w:rPr>
        <w:lastRenderedPageBreak/>
        <w:t xml:space="preserve">Příloha č. </w:t>
      </w:r>
      <w:r w:rsidR="00763044">
        <w:rPr>
          <w:rFonts w:asciiTheme="minorHAnsi" w:hAnsiTheme="minorHAnsi" w:cstheme="minorHAnsi"/>
          <w:b/>
          <w:color w:val="auto"/>
          <w:sz w:val="24"/>
          <w:szCs w:val="24"/>
        </w:rPr>
        <w:t>3</w:t>
      </w:r>
    </w:p>
    <w:p w14:paraId="05CCB813" w14:textId="77777777" w:rsidR="001D5D00" w:rsidRPr="002C310E" w:rsidRDefault="001D5D00" w:rsidP="001D5D00">
      <w:pPr>
        <w:spacing w:after="40" w:line="240" w:lineRule="auto"/>
        <w:jc w:val="both"/>
        <w:rPr>
          <w:rFonts w:cstheme="minorHAnsi"/>
          <w:b/>
          <w:sz w:val="24"/>
        </w:rPr>
      </w:pPr>
      <w:r w:rsidRPr="002C310E">
        <w:rPr>
          <w:rFonts w:cstheme="minorHAnsi"/>
          <w:b/>
          <w:sz w:val="24"/>
        </w:rPr>
        <w:t xml:space="preserve">Přehled vybraných projektů </w:t>
      </w:r>
      <w:r>
        <w:rPr>
          <w:rFonts w:cstheme="minorHAnsi"/>
          <w:b/>
          <w:sz w:val="24"/>
        </w:rPr>
        <w:t xml:space="preserve">NP ISF a NP AMIF </w:t>
      </w:r>
      <w:r w:rsidRPr="002C310E">
        <w:rPr>
          <w:rFonts w:cstheme="minorHAnsi"/>
          <w:b/>
          <w:sz w:val="24"/>
        </w:rPr>
        <w:t>a hodnocení jejich účelnosti a efektivnosti</w:t>
      </w:r>
    </w:p>
    <w:tbl>
      <w:tblPr>
        <w:tblW w:w="5401"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1131"/>
        <w:gridCol w:w="3135"/>
        <w:gridCol w:w="2268"/>
        <w:gridCol w:w="1134"/>
        <w:gridCol w:w="991"/>
        <w:gridCol w:w="1134"/>
      </w:tblGrid>
      <w:tr w:rsidR="001D5D00" w14:paraId="48136A7D" w14:textId="77777777" w:rsidTr="001D5D00">
        <w:trPr>
          <w:trHeight w:val="735"/>
          <w:jc w:val="center"/>
        </w:trPr>
        <w:tc>
          <w:tcPr>
            <w:tcW w:w="577" w:type="pct"/>
            <w:vMerge w:val="restart"/>
            <w:shd w:val="clear" w:color="auto" w:fill="E5F1FF"/>
            <w:vAlign w:val="center"/>
            <w:hideMark/>
          </w:tcPr>
          <w:p w14:paraId="19BE6308" w14:textId="77777777" w:rsidR="001D5D00" w:rsidRPr="002C310E" w:rsidRDefault="001D5D00" w:rsidP="001D5D00">
            <w:pPr>
              <w:spacing w:after="0" w:line="240" w:lineRule="auto"/>
              <w:jc w:val="center"/>
              <w:rPr>
                <w:rFonts w:eastAsia="Times New Roman" w:cstheme="minorHAnsi"/>
                <w:b/>
                <w:bCs/>
                <w:color w:val="000000"/>
                <w:sz w:val="20"/>
                <w:szCs w:val="20"/>
                <w:lang w:eastAsia="cs-CZ"/>
              </w:rPr>
            </w:pPr>
            <w:r w:rsidRPr="002C310E">
              <w:rPr>
                <w:rFonts w:eastAsia="Times New Roman" w:cstheme="minorHAnsi"/>
                <w:b/>
                <w:bCs/>
                <w:color w:val="000000"/>
                <w:sz w:val="20"/>
                <w:szCs w:val="20"/>
                <w:lang w:eastAsia="cs-CZ"/>
              </w:rPr>
              <w:t>Číslo projektu</w:t>
            </w:r>
          </w:p>
        </w:tc>
        <w:tc>
          <w:tcPr>
            <w:tcW w:w="1600" w:type="pct"/>
            <w:vMerge w:val="restart"/>
            <w:shd w:val="clear" w:color="auto" w:fill="E5F1FF"/>
            <w:vAlign w:val="center"/>
            <w:hideMark/>
          </w:tcPr>
          <w:p w14:paraId="37E9F13D" w14:textId="77777777" w:rsidR="001D5D00" w:rsidRPr="002C310E" w:rsidRDefault="001D5D00" w:rsidP="001D5D00">
            <w:pPr>
              <w:spacing w:after="0" w:line="240" w:lineRule="auto"/>
              <w:jc w:val="center"/>
              <w:rPr>
                <w:rFonts w:eastAsia="Times New Roman" w:cstheme="minorHAnsi"/>
                <w:b/>
                <w:bCs/>
                <w:color w:val="000000"/>
                <w:sz w:val="20"/>
                <w:szCs w:val="20"/>
                <w:lang w:eastAsia="cs-CZ"/>
              </w:rPr>
            </w:pPr>
            <w:r w:rsidRPr="002C310E">
              <w:rPr>
                <w:rFonts w:eastAsia="Times New Roman" w:cstheme="minorHAnsi"/>
                <w:b/>
                <w:bCs/>
                <w:color w:val="000000"/>
                <w:sz w:val="20"/>
                <w:szCs w:val="20"/>
                <w:lang w:eastAsia="cs-CZ"/>
              </w:rPr>
              <w:t>Název projektu</w:t>
            </w:r>
          </w:p>
        </w:tc>
        <w:tc>
          <w:tcPr>
            <w:tcW w:w="1158" w:type="pct"/>
            <w:vMerge w:val="restart"/>
            <w:shd w:val="clear" w:color="auto" w:fill="E5F1FF"/>
            <w:vAlign w:val="center"/>
            <w:hideMark/>
          </w:tcPr>
          <w:p w14:paraId="24D88801" w14:textId="77777777" w:rsidR="001D5D00" w:rsidRPr="002C310E" w:rsidRDefault="001D5D00" w:rsidP="001D5D00">
            <w:pPr>
              <w:spacing w:after="0" w:line="240" w:lineRule="auto"/>
              <w:jc w:val="center"/>
              <w:rPr>
                <w:rFonts w:eastAsia="Times New Roman" w:cstheme="minorHAnsi"/>
                <w:bCs/>
                <w:color w:val="000000"/>
                <w:sz w:val="20"/>
                <w:szCs w:val="20"/>
                <w:lang w:eastAsia="cs-CZ"/>
              </w:rPr>
            </w:pPr>
            <w:r w:rsidRPr="002C310E">
              <w:rPr>
                <w:rFonts w:eastAsia="Times New Roman" w:cstheme="minorHAnsi"/>
                <w:b/>
                <w:bCs/>
                <w:color w:val="000000"/>
                <w:sz w:val="20"/>
                <w:szCs w:val="20"/>
                <w:lang w:eastAsia="cs-CZ"/>
              </w:rPr>
              <w:t xml:space="preserve">Kontrolovaný příjemce podpory </w:t>
            </w:r>
          </w:p>
        </w:tc>
        <w:tc>
          <w:tcPr>
            <w:tcW w:w="579" w:type="pct"/>
            <w:vMerge w:val="restart"/>
            <w:shd w:val="clear" w:color="auto" w:fill="E5F1FF"/>
            <w:vAlign w:val="center"/>
          </w:tcPr>
          <w:p w14:paraId="21E655D9" w14:textId="20A362E3" w:rsidR="001D5D00" w:rsidRPr="002C310E" w:rsidRDefault="001D5D00" w:rsidP="001D5D00">
            <w:pPr>
              <w:spacing w:after="0" w:line="240" w:lineRule="auto"/>
              <w:jc w:val="center"/>
              <w:rPr>
                <w:rFonts w:eastAsia="Times New Roman" w:cstheme="minorHAnsi"/>
                <w:b/>
                <w:bCs/>
                <w:color w:val="000000"/>
                <w:sz w:val="20"/>
                <w:szCs w:val="20"/>
                <w:lang w:eastAsia="cs-CZ"/>
              </w:rPr>
            </w:pPr>
            <w:r>
              <w:rPr>
                <w:rFonts w:eastAsia="Times New Roman" w:cstheme="minorHAnsi"/>
                <w:b/>
                <w:bCs/>
                <w:color w:val="000000"/>
                <w:sz w:val="20"/>
                <w:szCs w:val="20"/>
                <w:lang w:eastAsia="cs-CZ"/>
              </w:rPr>
              <w:t>H</w:t>
            </w:r>
            <w:r w:rsidRPr="002C310E">
              <w:rPr>
                <w:rFonts w:eastAsia="Times New Roman" w:cstheme="minorHAnsi"/>
                <w:b/>
                <w:bCs/>
                <w:color w:val="000000"/>
                <w:sz w:val="20"/>
                <w:szCs w:val="20"/>
                <w:lang w:eastAsia="cs-CZ"/>
              </w:rPr>
              <w:t>odnota projektu (v tis. Kč)</w:t>
            </w:r>
          </w:p>
        </w:tc>
        <w:tc>
          <w:tcPr>
            <w:tcW w:w="1085" w:type="pct"/>
            <w:gridSpan w:val="2"/>
            <w:shd w:val="clear" w:color="auto" w:fill="E5F1FF"/>
            <w:vAlign w:val="center"/>
            <w:hideMark/>
          </w:tcPr>
          <w:p w14:paraId="1C782440" w14:textId="77777777" w:rsidR="001D5D00" w:rsidRPr="002C310E" w:rsidRDefault="001D5D00" w:rsidP="001D5D00">
            <w:pPr>
              <w:spacing w:after="0" w:line="240" w:lineRule="auto"/>
              <w:jc w:val="center"/>
              <w:rPr>
                <w:rFonts w:eastAsia="Times New Roman" w:cstheme="minorHAnsi"/>
                <w:b/>
                <w:bCs/>
                <w:color w:val="000000"/>
                <w:sz w:val="20"/>
                <w:szCs w:val="20"/>
                <w:lang w:eastAsia="cs-CZ"/>
              </w:rPr>
            </w:pPr>
            <w:r w:rsidRPr="002C310E">
              <w:rPr>
                <w:rFonts w:eastAsia="Times New Roman" w:cstheme="minorHAnsi"/>
                <w:b/>
                <w:bCs/>
                <w:color w:val="000000"/>
                <w:sz w:val="20"/>
                <w:szCs w:val="20"/>
                <w:lang w:eastAsia="cs-CZ"/>
              </w:rPr>
              <w:t>Hodnocení</w:t>
            </w:r>
          </w:p>
        </w:tc>
      </w:tr>
      <w:tr w:rsidR="001D5D00" w14:paraId="6D624576" w14:textId="77777777" w:rsidTr="001D5D00">
        <w:trPr>
          <w:trHeight w:val="442"/>
          <w:jc w:val="center"/>
        </w:trPr>
        <w:tc>
          <w:tcPr>
            <w:tcW w:w="577" w:type="pct"/>
            <w:vMerge/>
            <w:shd w:val="clear" w:color="auto" w:fill="E5F1FF"/>
            <w:vAlign w:val="center"/>
            <w:hideMark/>
          </w:tcPr>
          <w:p w14:paraId="2BE922F1" w14:textId="77777777" w:rsidR="001D5D00" w:rsidRPr="002C310E" w:rsidRDefault="001D5D00" w:rsidP="001D5D00">
            <w:pPr>
              <w:spacing w:after="0" w:line="240" w:lineRule="auto"/>
              <w:rPr>
                <w:rFonts w:eastAsia="Times New Roman" w:cstheme="minorHAnsi"/>
                <w:b/>
                <w:bCs/>
                <w:color w:val="000000"/>
                <w:sz w:val="20"/>
                <w:szCs w:val="20"/>
                <w:lang w:eastAsia="cs-CZ"/>
              </w:rPr>
            </w:pPr>
          </w:p>
        </w:tc>
        <w:tc>
          <w:tcPr>
            <w:tcW w:w="1600" w:type="pct"/>
            <w:vMerge/>
            <w:shd w:val="clear" w:color="auto" w:fill="E5F1FF"/>
            <w:vAlign w:val="center"/>
            <w:hideMark/>
          </w:tcPr>
          <w:p w14:paraId="29EE2FC0" w14:textId="77777777" w:rsidR="001D5D00" w:rsidRPr="002C310E" w:rsidRDefault="001D5D00" w:rsidP="001D5D00">
            <w:pPr>
              <w:spacing w:after="0" w:line="240" w:lineRule="auto"/>
              <w:rPr>
                <w:rFonts w:eastAsia="Times New Roman" w:cstheme="minorHAnsi"/>
                <w:b/>
                <w:bCs/>
                <w:color w:val="000000"/>
                <w:sz w:val="20"/>
                <w:szCs w:val="20"/>
                <w:lang w:eastAsia="cs-CZ"/>
              </w:rPr>
            </w:pPr>
          </w:p>
        </w:tc>
        <w:tc>
          <w:tcPr>
            <w:tcW w:w="1158" w:type="pct"/>
            <w:vMerge/>
            <w:shd w:val="clear" w:color="auto" w:fill="E5F1FF"/>
            <w:vAlign w:val="center"/>
            <w:hideMark/>
          </w:tcPr>
          <w:p w14:paraId="31AA9512" w14:textId="77777777" w:rsidR="001D5D00" w:rsidRPr="002C310E" w:rsidRDefault="001D5D00" w:rsidP="001D5D00">
            <w:pPr>
              <w:spacing w:after="0" w:line="240" w:lineRule="auto"/>
              <w:rPr>
                <w:rFonts w:eastAsia="Times New Roman" w:cstheme="minorHAnsi"/>
                <w:bCs/>
                <w:color w:val="000000"/>
                <w:sz w:val="20"/>
                <w:szCs w:val="20"/>
                <w:lang w:eastAsia="cs-CZ"/>
              </w:rPr>
            </w:pPr>
          </w:p>
        </w:tc>
        <w:tc>
          <w:tcPr>
            <w:tcW w:w="579" w:type="pct"/>
            <w:vMerge/>
            <w:shd w:val="clear" w:color="auto" w:fill="E5F1FF"/>
          </w:tcPr>
          <w:p w14:paraId="78258F7B" w14:textId="77777777" w:rsidR="001D5D00" w:rsidRPr="002C310E" w:rsidRDefault="001D5D00" w:rsidP="001D5D00">
            <w:pPr>
              <w:spacing w:after="0" w:line="240" w:lineRule="auto"/>
              <w:rPr>
                <w:rFonts w:eastAsia="Times New Roman" w:cstheme="minorHAnsi"/>
                <w:b/>
                <w:bCs/>
                <w:color w:val="000000"/>
                <w:sz w:val="20"/>
                <w:szCs w:val="20"/>
                <w:lang w:eastAsia="cs-CZ"/>
              </w:rPr>
            </w:pPr>
          </w:p>
        </w:tc>
        <w:tc>
          <w:tcPr>
            <w:tcW w:w="506" w:type="pct"/>
            <w:shd w:val="clear" w:color="auto" w:fill="E5F1FF"/>
            <w:vAlign w:val="center"/>
            <w:hideMark/>
          </w:tcPr>
          <w:p w14:paraId="53FE4783" w14:textId="77777777" w:rsidR="001D5D00" w:rsidRPr="002C310E" w:rsidRDefault="001D5D00" w:rsidP="001D5D00">
            <w:pPr>
              <w:spacing w:after="0" w:line="240" w:lineRule="auto"/>
              <w:jc w:val="center"/>
              <w:rPr>
                <w:rFonts w:eastAsia="Times New Roman" w:cstheme="minorHAnsi"/>
                <w:b/>
                <w:bCs/>
                <w:color w:val="000000"/>
                <w:sz w:val="20"/>
                <w:szCs w:val="20"/>
                <w:lang w:eastAsia="cs-CZ"/>
              </w:rPr>
            </w:pPr>
            <w:r w:rsidRPr="002C310E">
              <w:rPr>
                <w:rFonts w:eastAsia="Times New Roman" w:cstheme="minorHAnsi"/>
                <w:b/>
                <w:bCs/>
                <w:color w:val="000000"/>
                <w:sz w:val="20"/>
                <w:szCs w:val="20"/>
                <w:lang w:eastAsia="cs-CZ"/>
              </w:rPr>
              <w:t>Účelnost</w:t>
            </w:r>
          </w:p>
        </w:tc>
        <w:tc>
          <w:tcPr>
            <w:tcW w:w="579" w:type="pct"/>
            <w:shd w:val="clear" w:color="auto" w:fill="E5F1FF"/>
            <w:vAlign w:val="center"/>
            <w:hideMark/>
          </w:tcPr>
          <w:p w14:paraId="5D0A40BC" w14:textId="77777777" w:rsidR="001D5D00" w:rsidRPr="002C310E" w:rsidRDefault="001D5D00" w:rsidP="001D5D00">
            <w:pPr>
              <w:spacing w:after="0" w:line="240" w:lineRule="auto"/>
              <w:jc w:val="center"/>
              <w:rPr>
                <w:rFonts w:eastAsia="Times New Roman" w:cstheme="minorHAnsi"/>
                <w:b/>
                <w:bCs/>
                <w:color w:val="000000"/>
                <w:sz w:val="20"/>
                <w:szCs w:val="20"/>
                <w:lang w:eastAsia="cs-CZ"/>
              </w:rPr>
            </w:pPr>
            <w:r w:rsidRPr="002C310E">
              <w:rPr>
                <w:rFonts w:eastAsia="Times New Roman" w:cstheme="minorHAnsi"/>
                <w:b/>
                <w:bCs/>
                <w:color w:val="000000"/>
                <w:sz w:val="20"/>
                <w:szCs w:val="20"/>
                <w:lang w:eastAsia="cs-CZ"/>
              </w:rPr>
              <w:t>Efektivnost</w:t>
            </w:r>
          </w:p>
        </w:tc>
      </w:tr>
      <w:tr w:rsidR="001D5D00" w14:paraId="7E9EC13E" w14:textId="77777777" w:rsidTr="001D5D00">
        <w:trPr>
          <w:trHeight w:val="567"/>
          <w:jc w:val="center"/>
        </w:trPr>
        <w:tc>
          <w:tcPr>
            <w:tcW w:w="577" w:type="pct"/>
            <w:vAlign w:val="center"/>
          </w:tcPr>
          <w:p w14:paraId="6E0F9F8C"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ISF/1/01</w:t>
            </w:r>
          </w:p>
        </w:tc>
        <w:tc>
          <w:tcPr>
            <w:tcW w:w="1600" w:type="pct"/>
            <w:vAlign w:val="center"/>
          </w:tcPr>
          <w:p w14:paraId="6868BC69" w14:textId="77777777" w:rsidR="001D5D00" w:rsidRPr="002C310E" w:rsidRDefault="001D5D00" w:rsidP="001D5D00">
            <w:pPr>
              <w:spacing w:after="0" w:line="240" w:lineRule="auto"/>
              <w:jc w:val="center"/>
              <w:rPr>
                <w:rFonts w:eastAsia="Times New Roman" w:cstheme="minorHAnsi"/>
                <w:sz w:val="20"/>
                <w:szCs w:val="20"/>
              </w:rPr>
            </w:pPr>
            <w:r w:rsidRPr="002C310E">
              <w:rPr>
                <w:rFonts w:eastAsia="Times New Roman" w:cstheme="minorHAnsi"/>
                <w:sz w:val="20"/>
                <w:szCs w:val="20"/>
              </w:rPr>
              <w:t>Analýza rizik u cestujících</w:t>
            </w:r>
          </w:p>
        </w:tc>
        <w:tc>
          <w:tcPr>
            <w:tcW w:w="1158" w:type="pct"/>
            <w:vAlign w:val="center"/>
          </w:tcPr>
          <w:p w14:paraId="1511006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Generální ředitelství cel</w:t>
            </w:r>
          </w:p>
        </w:tc>
        <w:tc>
          <w:tcPr>
            <w:tcW w:w="579" w:type="pct"/>
            <w:vAlign w:val="center"/>
          </w:tcPr>
          <w:p w14:paraId="48495DB6"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28 000</w:t>
            </w:r>
          </w:p>
        </w:tc>
        <w:tc>
          <w:tcPr>
            <w:tcW w:w="506" w:type="pct"/>
            <w:shd w:val="clear" w:color="auto" w:fill="FFFF00"/>
            <w:vAlign w:val="center"/>
            <w:hideMark/>
          </w:tcPr>
          <w:p w14:paraId="419CF75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ED7D31" w:themeFill="accent2"/>
            <w:vAlign w:val="center"/>
          </w:tcPr>
          <w:p w14:paraId="3DC9B7D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r>
      <w:tr w:rsidR="001D5D00" w14:paraId="0E2DE796" w14:textId="77777777" w:rsidTr="001D5D00">
        <w:trPr>
          <w:trHeight w:val="567"/>
          <w:jc w:val="center"/>
        </w:trPr>
        <w:tc>
          <w:tcPr>
            <w:tcW w:w="577" w:type="pct"/>
            <w:vAlign w:val="center"/>
          </w:tcPr>
          <w:p w14:paraId="2B685751"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ISF/2/02</w:t>
            </w:r>
          </w:p>
        </w:tc>
        <w:tc>
          <w:tcPr>
            <w:tcW w:w="1600" w:type="pct"/>
            <w:vAlign w:val="center"/>
          </w:tcPr>
          <w:p w14:paraId="5CEA9890" w14:textId="77777777" w:rsidR="001D5D00" w:rsidRPr="002C310E" w:rsidRDefault="001D5D00" w:rsidP="001D5D00">
            <w:pPr>
              <w:spacing w:after="0" w:line="240" w:lineRule="auto"/>
              <w:jc w:val="center"/>
              <w:rPr>
                <w:rFonts w:eastAsia="Times New Roman" w:cstheme="minorHAnsi"/>
                <w:sz w:val="20"/>
                <w:szCs w:val="20"/>
              </w:rPr>
            </w:pPr>
            <w:r w:rsidRPr="002C310E">
              <w:rPr>
                <w:rFonts w:eastAsia="Times New Roman" w:cstheme="minorHAnsi"/>
                <w:sz w:val="20"/>
                <w:szCs w:val="20"/>
              </w:rPr>
              <w:t>Monitorovací vozidla s termovizní technikou</w:t>
            </w:r>
          </w:p>
        </w:tc>
        <w:tc>
          <w:tcPr>
            <w:tcW w:w="1158" w:type="pct"/>
            <w:vAlign w:val="center"/>
          </w:tcPr>
          <w:p w14:paraId="2EEBB9DC"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Ministerstvo vnitra</w:t>
            </w:r>
          </w:p>
        </w:tc>
        <w:tc>
          <w:tcPr>
            <w:tcW w:w="579" w:type="pct"/>
            <w:vAlign w:val="center"/>
          </w:tcPr>
          <w:p w14:paraId="2445F5D4"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14 998</w:t>
            </w:r>
          </w:p>
        </w:tc>
        <w:tc>
          <w:tcPr>
            <w:tcW w:w="506" w:type="pct"/>
            <w:shd w:val="clear" w:color="auto" w:fill="ED7D31" w:themeFill="accent2"/>
            <w:vAlign w:val="center"/>
            <w:hideMark/>
          </w:tcPr>
          <w:p w14:paraId="2AF495BE"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c>
          <w:tcPr>
            <w:tcW w:w="579" w:type="pct"/>
            <w:shd w:val="clear" w:color="auto" w:fill="ED7D31" w:themeFill="accent2"/>
            <w:vAlign w:val="center"/>
          </w:tcPr>
          <w:p w14:paraId="042157B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r>
      <w:tr w:rsidR="001D5D00" w14:paraId="033A966F" w14:textId="77777777" w:rsidTr="001D5D00">
        <w:trPr>
          <w:trHeight w:val="567"/>
          <w:jc w:val="center"/>
        </w:trPr>
        <w:tc>
          <w:tcPr>
            <w:tcW w:w="577" w:type="pct"/>
            <w:vAlign w:val="center"/>
          </w:tcPr>
          <w:p w14:paraId="121A278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ISF/6/01</w:t>
            </w:r>
          </w:p>
        </w:tc>
        <w:tc>
          <w:tcPr>
            <w:tcW w:w="1600" w:type="pct"/>
            <w:vAlign w:val="center"/>
          </w:tcPr>
          <w:p w14:paraId="106A5AAE" w14:textId="77777777" w:rsidR="001D5D00" w:rsidRPr="002C310E" w:rsidRDefault="001D5D00" w:rsidP="001D5D00">
            <w:pPr>
              <w:spacing w:after="0" w:line="240" w:lineRule="auto"/>
              <w:jc w:val="center"/>
              <w:rPr>
                <w:rFonts w:eastAsia="Times New Roman" w:cstheme="minorHAnsi"/>
                <w:sz w:val="20"/>
                <w:szCs w:val="20"/>
              </w:rPr>
            </w:pPr>
            <w:r w:rsidRPr="002C310E">
              <w:rPr>
                <w:rFonts w:eastAsia="Times New Roman" w:cstheme="minorHAnsi"/>
                <w:sz w:val="20"/>
                <w:szCs w:val="20"/>
              </w:rPr>
              <w:t>Národní situační centrum ochrany hranic</w:t>
            </w:r>
          </w:p>
        </w:tc>
        <w:tc>
          <w:tcPr>
            <w:tcW w:w="1158" w:type="pct"/>
            <w:vAlign w:val="center"/>
          </w:tcPr>
          <w:p w14:paraId="5B257E61"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Ministerstvo vnitra</w:t>
            </w:r>
          </w:p>
        </w:tc>
        <w:tc>
          <w:tcPr>
            <w:tcW w:w="579" w:type="pct"/>
            <w:vAlign w:val="center"/>
          </w:tcPr>
          <w:p w14:paraId="486E3FC8"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120 000</w:t>
            </w:r>
          </w:p>
        </w:tc>
        <w:tc>
          <w:tcPr>
            <w:tcW w:w="506" w:type="pct"/>
            <w:shd w:val="clear" w:color="auto" w:fill="FFFF00"/>
            <w:vAlign w:val="center"/>
          </w:tcPr>
          <w:p w14:paraId="4891AEC0"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ED7D31" w:themeFill="accent2"/>
            <w:vAlign w:val="center"/>
          </w:tcPr>
          <w:p w14:paraId="17E9E673"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r>
      <w:tr w:rsidR="001D5D00" w14:paraId="69C9BB9D" w14:textId="77777777" w:rsidTr="001D5D00">
        <w:trPr>
          <w:trHeight w:val="567"/>
          <w:jc w:val="center"/>
        </w:trPr>
        <w:tc>
          <w:tcPr>
            <w:tcW w:w="577" w:type="pct"/>
            <w:vAlign w:val="center"/>
          </w:tcPr>
          <w:p w14:paraId="79A9CCD4"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ISF/10/01</w:t>
            </w:r>
          </w:p>
        </w:tc>
        <w:tc>
          <w:tcPr>
            <w:tcW w:w="1600" w:type="pct"/>
            <w:vAlign w:val="center"/>
          </w:tcPr>
          <w:p w14:paraId="0223DD2E" w14:textId="77777777" w:rsidR="001D5D00" w:rsidRPr="002C310E" w:rsidRDefault="001D5D00" w:rsidP="001D5D00">
            <w:pPr>
              <w:spacing w:after="0"/>
              <w:jc w:val="center"/>
              <w:rPr>
                <w:rFonts w:cstheme="minorHAnsi"/>
                <w:color w:val="000000"/>
                <w:sz w:val="20"/>
                <w:szCs w:val="20"/>
              </w:rPr>
            </w:pPr>
            <w:r w:rsidRPr="002C310E">
              <w:rPr>
                <w:rFonts w:cstheme="minorHAnsi"/>
                <w:color w:val="000000"/>
                <w:sz w:val="20"/>
                <w:szCs w:val="20"/>
              </w:rPr>
              <w:t xml:space="preserve">Specializované pracoviště </w:t>
            </w:r>
            <w:r>
              <w:rPr>
                <w:rFonts w:cstheme="minorHAnsi"/>
                <w:color w:val="000000"/>
                <w:sz w:val="20"/>
                <w:szCs w:val="20"/>
              </w:rPr>
              <w:t>N</w:t>
            </w:r>
            <w:r w:rsidRPr="002C310E">
              <w:rPr>
                <w:rFonts w:cstheme="minorHAnsi"/>
                <w:color w:val="000000"/>
                <w:sz w:val="20"/>
                <w:szCs w:val="20"/>
              </w:rPr>
              <w:t>árodního centra pro kontrolu dokladů</w:t>
            </w:r>
          </w:p>
        </w:tc>
        <w:tc>
          <w:tcPr>
            <w:tcW w:w="1158" w:type="pct"/>
            <w:vAlign w:val="center"/>
          </w:tcPr>
          <w:p w14:paraId="34E8D101"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Ministerstvo vnitra</w:t>
            </w:r>
          </w:p>
        </w:tc>
        <w:tc>
          <w:tcPr>
            <w:tcW w:w="579" w:type="pct"/>
            <w:vAlign w:val="center"/>
          </w:tcPr>
          <w:p w14:paraId="62A6DC0B"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12 000</w:t>
            </w:r>
          </w:p>
        </w:tc>
        <w:tc>
          <w:tcPr>
            <w:tcW w:w="506" w:type="pct"/>
            <w:shd w:val="clear" w:color="auto" w:fill="ED7D31" w:themeFill="accent2"/>
            <w:vAlign w:val="center"/>
          </w:tcPr>
          <w:p w14:paraId="36548A2F"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c>
          <w:tcPr>
            <w:tcW w:w="579" w:type="pct"/>
            <w:shd w:val="clear" w:color="auto" w:fill="5B9BD5" w:themeFill="accent1"/>
            <w:vAlign w:val="center"/>
          </w:tcPr>
          <w:p w14:paraId="6445EE09"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38CA88B6" w14:textId="77777777" w:rsidTr="001D5D00">
        <w:trPr>
          <w:trHeight w:val="567"/>
          <w:jc w:val="center"/>
        </w:trPr>
        <w:tc>
          <w:tcPr>
            <w:tcW w:w="577" w:type="pct"/>
            <w:vAlign w:val="center"/>
          </w:tcPr>
          <w:p w14:paraId="7B2F68E6"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ISF/13/01</w:t>
            </w:r>
            <w:r w:rsidRPr="002C310E">
              <w:rPr>
                <w:rFonts w:eastAsia="Times New Roman" w:cstheme="minorHAnsi"/>
                <w:sz w:val="20"/>
                <w:szCs w:val="20"/>
              </w:rPr>
              <w:t>*</w:t>
            </w:r>
          </w:p>
        </w:tc>
        <w:tc>
          <w:tcPr>
            <w:tcW w:w="1600" w:type="pct"/>
            <w:vAlign w:val="center"/>
          </w:tcPr>
          <w:p w14:paraId="64D82ADA" w14:textId="77777777" w:rsidR="001D5D00" w:rsidRPr="002C310E" w:rsidRDefault="001D5D00" w:rsidP="001D5D00">
            <w:pPr>
              <w:spacing w:after="0" w:line="240" w:lineRule="auto"/>
              <w:jc w:val="center"/>
              <w:rPr>
                <w:rFonts w:eastAsia="Times New Roman" w:cstheme="minorHAnsi"/>
                <w:sz w:val="20"/>
                <w:szCs w:val="20"/>
              </w:rPr>
            </w:pPr>
            <w:r w:rsidRPr="002C310E">
              <w:rPr>
                <w:rFonts w:eastAsia="Times New Roman" w:cstheme="minorHAnsi"/>
                <w:sz w:val="20"/>
                <w:szCs w:val="20"/>
              </w:rPr>
              <w:t>Národní projekt EES I – Implementace systému</w:t>
            </w:r>
          </w:p>
        </w:tc>
        <w:tc>
          <w:tcPr>
            <w:tcW w:w="1158" w:type="pct"/>
            <w:vAlign w:val="center"/>
          </w:tcPr>
          <w:p w14:paraId="53F0CB3B"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Ministerstvo vnitra</w:t>
            </w:r>
          </w:p>
        </w:tc>
        <w:tc>
          <w:tcPr>
            <w:tcW w:w="579" w:type="pct"/>
            <w:vAlign w:val="center"/>
          </w:tcPr>
          <w:p w14:paraId="57B16EB3"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100 853</w:t>
            </w:r>
          </w:p>
        </w:tc>
        <w:tc>
          <w:tcPr>
            <w:tcW w:w="506" w:type="pct"/>
            <w:shd w:val="clear" w:color="auto" w:fill="FFFF00"/>
            <w:vAlign w:val="center"/>
          </w:tcPr>
          <w:p w14:paraId="4CF0A1D1"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5B9BD5" w:themeFill="accent1"/>
            <w:vAlign w:val="center"/>
          </w:tcPr>
          <w:p w14:paraId="467CB221"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616F312F" w14:textId="77777777" w:rsidTr="001D5D00">
        <w:trPr>
          <w:trHeight w:val="567"/>
          <w:jc w:val="center"/>
        </w:trPr>
        <w:tc>
          <w:tcPr>
            <w:tcW w:w="577" w:type="pct"/>
            <w:vAlign w:val="center"/>
          </w:tcPr>
          <w:p w14:paraId="4CEB7719"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ISF/13/02</w:t>
            </w:r>
          </w:p>
        </w:tc>
        <w:tc>
          <w:tcPr>
            <w:tcW w:w="1600" w:type="pct"/>
            <w:vAlign w:val="center"/>
          </w:tcPr>
          <w:p w14:paraId="0044D0C7" w14:textId="77777777" w:rsidR="001D5D00" w:rsidRPr="002C310E" w:rsidRDefault="001D5D00" w:rsidP="001D5D00">
            <w:pPr>
              <w:spacing w:after="0" w:line="240" w:lineRule="auto"/>
              <w:jc w:val="center"/>
              <w:rPr>
                <w:rFonts w:eastAsia="Times New Roman" w:cstheme="minorHAnsi"/>
                <w:sz w:val="20"/>
                <w:szCs w:val="20"/>
              </w:rPr>
            </w:pPr>
            <w:r w:rsidRPr="002C310E">
              <w:rPr>
                <w:rFonts w:eastAsia="Times New Roman" w:cstheme="minorHAnsi"/>
                <w:sz w:val="20"/>
                <w:szCs w:val="20"/>
              </w:rPr>
              <w:t>Národní projekt EES II – Pořízení technologií</w:t>
            </w:r>
          </w:p>
        </w:tc>
        <w:tc>
          <w:tcPr>
            <w:tcW w:w="1158" w:type="pct"/>
            <w:vAlign w:val="center"/>
          </w:tcPr>
          <w:p w14:paraId="6B0A1BD6"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Ministerstvo vnitra</w:t>
            </w:r>
          </w:p>
        </w:tc>
        <w:tc>
          <w:tcPr>
            <w:tcW w:w="579" w:type="pct"/>
            <w:vAlign w:val="center"/>
          </w:tcPr>
          <w:p w14:paraId="7DDACDC3"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126 234</w:t>
            </w:r>
          </w:p>
        </w:tc>
        <w:tc>
          <w:tcPr>
            <w:tcW w:w="506" w:type="pct"/>
            <w:shd w:val="clear" w:color="auto" w:fill="FFFF00"/>
            <w:vAlign w:val="center"/>
          </w:tcPr>
          <w:p w14:paraId="4E14A527"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5B9BD5" w:themeFill="accent1"/>
            <w:vAlign w:val="center"/>
          </w:tcPr>
          <w:p w14:paraId="0910B7FE"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2EDC7E66" w14:textId="77777777" w:rsidTr="001D5D00">
        <w:trPr>
          <w:trHeight w:val="567"/>
          <w:jc w:val="center"/>
        </w:trPr>
        <w:tc>
          <w:tcPr>
            <w:tcW w:w="577" w:type="pct"/>
            <w:vAlign w:val="center"/>
          </w:tcPr>
          <w:p w14:paraId="01BED4D5"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ISF/13/03</w:t>
            </w:r>
          </w:p>
        </w:tc>
        <w:tc>
          <w:tcPr>
            <w:tcW w:w="1600" w:type="pct"/>
            <w:vAlign w:val="center"/>
          </w:tcPr>
          <w:p w14:paraId="10F7B36B" w14:textId="77777777" w:rsidR="001D5D00" w:rsidRPr="002C310E" w:rsidRDefault="001D5D00" w:rsidP="001D5D00">
            <w:pPr>
              <w:spacing w:after="0" w:line="240" w:lineRule="auto"/>
              <w:jc w:val="center"/>
              <w:rPr>
                <w:rFonts w:eastAsia="Times New Roman" w:cstheme="minorHAnsi"/>
                <w:sz w:val="20"/>
                <w:szCs w:val="20"/>
              </w:rPr>
            </w:pPr>
            <w:r w:rsidRPr="002C310E">
              <w:rPr>
                <w:rFonts w:eastAsia="Times New Roman" w:cstheme="minorHAnsi"/>
                <w:sz w:val="20"/>
                <w:szCs w:val="20"/>
              </w:rPr>
              <w:t>Pořízení zařízení ke kontrole dokladů na druhé kontrolní linii</w:t>
            </w:r>
          </w:p>
        </w:tc>
        <w:tc>
          <w:tcPr>
            <w:tcW w:w="1158" w:type="pct"/>
            <w:vAlign w:val="center"/>
          </w:tcPr>
          <w:p w14:paraId="09AAC0A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Ministerstvo vnitra</w:t>
            </w:r>
          </w:p>
        </w:tc>
        <w:tc>
          <w:tcPr>
            <w:tcW w:w="579" w:type="pct"/>
            <w:vAlign w:val="center"/>
          </w:tcPr>
          <w:p w14:paraId="76AD9AA9"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7 000</w:t>
            </w:r>
          </w:p>
        </w:tc>
        <w:tc>
          <w:tcPr>
            <w:tcW w:w="506" w:type="pct"/>
            <w:shd w:val="clear" w:color="auto" w:fill="5B9BD5" w:themeFill="accent1"/>
            <w:vAlign w:val="center"/>
          </w:tcPr>
          <w:p w14:paraId="7D1336FB"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c>
          <w:tcPr>
            <w:tcW w:w="579" w:type="pct"/>
            <w:shd w:val="clear" w:color="auto" w:fill="5B9BD5" w:themeFill="accent1"/>
            <w:vAlign w:val="center"/>
          </w:tcPr>
          <w:p w14:paraId="6531497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6DD014AC" w14:textId="77777777" w:rsidTr="001D5D00">
        <w:trPr>
          <w:trHeight w:val="283"/>
          <w:jc w:val="center"/>
        </w:trPr>
        <w:tc>
          <w:tcPr>
            <w:tcW w:w="577" w:type="pct"/>
            <w:vAlign w:val="center"/>
          </w:tcPr>
          <w:p w14:paraId="5BE9E7EB" w14:textId="77777777" w:rsidR="001D5D00" w:rsidRPr="002C310E" w:rsidRDefault="001D5D00" w:rsidP="001D5D00">
            <w:pPr>
              <w:spacing w:after="0" w:line="240" w:lineRule="auto"/>
              <w:jc w:val="center"/>
              <w:rPr>
                <w:rFonts w:eastAsia="Times New Roman" w:cstheme="minorHAnsi"/>
                <w:b/>
                <w:color w:val="000000"/>
                <w:sz w:val="20"/>
                <w:szCs w:val="20"/>
                <w:lang w:eastAsia="cs-CZ"/>
              </w:rPr>
            </w:pPr>
            <w:r w:rsidRPr="002C310E">
              <w:rPr>
                <w:rFonts w:eastAsia="Times New Roman" w:cstheme="minorHAnsi"/>
                <w:b/>
                <w:color w:val="000000"/>
                <w:sz w:val="20"/>
                <w:szCs w:val="20"/>
                <w:lang w:eastAsia="cs-CZ"/>
              </w:rPr>
              <w:t>Celkem</w:t>
            </w:r>
          </w:p>
        </w:tc>
        <w:tc>
          <w:tcPr>
            <w:tcW w:w="1600" w:type="pct"/>
            <w:shd w:val="clear" w:color="auto" w:fill="auto"/>
            <w:vAlign w:val="center"/>
          </w:tcPr>
          <w:p w14:paraId="37730C8C" w14:textId="77777777" w:rsidR="001D5D00" w:rsidRPr="002C310E" w:rsidRDefault="001D5D00" w:rsidP="001D5D00">
            <w:pPr>
              <w:spacing w:after="0" w:line="240" w:lineRule="auto"/>
              <w:jc w:val="center"/>
              <w:rPr>
                <w:rFonts w:cstheme="minorHAnsi"/>
                <w:sz w:val="20"/>
                <w:szCs w:val="20"/>
              </w:rPr>
            </w:pPr>
          </w:p>
        </w:tc>
        <w:tc>
          <w:tcPr>
            <w:tcW w:w="1158" w:type="pct"/>
            <w:shd w:val="clear" w:color="auto" w:fill="auto"/>
            <w:vAlign w:val="center"/>
          </w:tcPr>
          <w:p w14:paraId="53B51918" w14:textId="77777777" w:rsidR="001D5D00" w:rsidRPr="002C310E" w:rsidRDefault="001D5D00" w:rsidP="001D5D00">
            <w:pPr>
              <w:spacing w:after="0" w:line="240" w:lineRule="auto"/>
              <w:jc w:val="center"/>
              <w:rPr>
                <w:rFonts w:eastAsia="Times New Roman" w:cstheme="minorHAnsi"/>
                <w:bCs/>
                <w:color w:val="000000"/>
                <w:sz w:val="20"/>
                <w:szCs w:val="20"/>
                <w:lang w:eastAsia="cs-CZ"/>
              </w:rPr>
            </w:pPr>
          </w:p>
        </w:tc>
        <w:tc>
          <w:tcPr>
            <w:tcW w:w="579" w:type="pct"/>
            <w:vAlign w:val="center"/>
          </w:tcPr>
          <w:p w14:paraId="65909D6F" w14:textId="77777777" w:rsidR="001D5D00" w:rsidRPr="002C310E" w:rsidRDefault="001D5D00" w:rsidP="001D5D00">
            <w:pPr>
              <w:spacing w:after="0" w:line="240" w:lineRule="auto"/>
              <w:ind w:right="232"/>
              <w:jc w:val="right"/>
              <w:rPr>
                <w:rFonts w:eastAsia="Times New Roman" w:cstheme="minorHAnsi"/>
                <w:b/>
                <w:bCs/>
                <w:color w:val="000000"/>
                <w:sz w:val="20"/>
                <w:szCs w:val="20"/>
                <w:lang w:eastAsia="cs-CZ"/>
              </w:rPr>
            </w:pPr>
            <w:r w:rsidRPr="002C310E">
              <w:rPr>
                <w:rFonts w:eastAsia="Times New Roman" w:cstheme="minorHAnsi"/>
                <w:b/>
                <w:bCs/>
                <w:color w:val="000000"/>
                <w:sz w:val="20"/>
                <w:szCs w:val="20"/>
                <w:lang w:eastAsia="cs-CZ"/>
              </w:rPr>
              <w:t>409 085</w:t>
            </w:r>
          </w:p>
        </w:tc>
        <w:tc>
          <w:tcPr>
            <w:tcW w:w="506" w:type="pct"/>
            <w:shd w:val="clear" w:color="auto" w:fill="auto"/>
            <w:vAlign w:val="center"/>
          </w:tcPr>
          <w:p w14:paraId="77F4A4DB" w14:textId="77777777" w:rsidR="001D5D00" w:rsidRPr="002C310E" w:rsidRDefault="001D5D00" w:rsidP="001D5D00">
            <w:pPr>
              <w:spacing w:after="0" w:line="240" w:lineRule="auto"/>
              <w:jc w:val="center"/>
              <w:rPr>
                <w:rFonts w:eastAsia="Times New Roman" w:cstheme="minorHAnsi"/>
                <w:b/>
                <w:color w:val="000000"/>
                <w:sz w:val="20"/>
                <w:szCs w:val="20"/>
                <w:lang w:eastAsia="cs-CZ"/>
              </w:rPr>
            </w:pPr>
          </w:p>
        </w:tc>
        <w:tc>
          <w:tcPr>
            <w:tcW w:w="579" w:type="pct"/>
            <w:shd w:val="clear" w:color="auto" w:fill="auto"/>
            <w:vAlign w:val="center"/>
          </w:tcPr>
          <w:p w14:paraId="7F655739" w14:textId="77777777" w:rsidR="001D5D00" w:rsidRPr="002C310E" w:rsidRDefault="001D5D00" w:rsidP="001D5D00">
            <w:pPr>
              <w:spacing w:after="0" w:line="240" w:lineRule="auto"/>
              <w:jc w:val="center"/>
              <w:rPr>
                <w:rFonts w:eastAsia="Times New Roman" w:cstheme="minorHAnsi"/>
                <w:b/>
                <w:color w:val="000000"/>
                <w:sz w:val="20"/>
                <w:szCs w:val="20"/>
                <w:lang w:eastAsia="cs-CZ"/>
              </w:rPr>
            </w:pPr>
          </w:p>
        </w:tc>
      </w:tr>
      <w:tr w:rsidR="001D5D00" w14:paraId="659E2B89" w14:textId="77777777" w:rsidTr="001D5D00">
        <w:trPr>
          <w:trHeight w:val="567"/>
          <w:jc w:val="center"/>
        </w:trPr>
        <w:tc>
          <w:tcPr>
            <w:tcW w:w="577" w:type="pct"/>
            <w:vAlign w:val="center"/>
          </w:tcPr>
          <w:p w14:paraId="62B60B2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AMIF/1/02</w:t>
            </w:r>
          </w:p>
        </w:tc>
        <w:tc>
          <w:tcPr>
            <w:tcW w:w="1600" w:type="pct"/>
            <w:vAlign w:val="center"/>
          </w:tcPr>
          <w:p w14:paraId="7CD612E8" w14:textId="77777777" w:rsidR="001D5D00" w:rsidRPr="002C310E" w:rsidRDefault="001D5D00" w:rsidP="001D5D00">
            <w:pPr>
              <w:spacing w:after="0" w:line="240" w:lineRule="auto"/>
              <w:jc w:val="center"/>
              <w:rPr>
                <w:rFonts w:eastAsia="Times New Roman" w:cstheme="minorHAnsi"/>
                <w:sz w:val="20"/>
                <w:szCs w:val="20"/>
              </w:rPr>
            </w:pPr>
            <w:r w:rsidRPr="002C310E">
              <w:rPr>
                <w:rFonts w:eastAsia="Times New Roman" w:cstheme="minorHAnsi"/>
                <w:sz w:val="20"/>
                <w:szCs w:val="20"/>
              </w:rPr>
              <w:t>Integrační centrum Praha V</w:t>
            </w:r>
          </w:p>
        </w:tc>
        <w:tc>
          <w:tcPr>
            <w:tcW w:w="1158" w:type="pct"/>
            <w:noWrap/>
            <w:vAlign w:val="center"/>
          </w:tcPr>
          <w:p w14:paraId="3BA03C47" w14:textId="77777777" w:rsidR="001D5D00" w:rsidRPr="002C310E" w:rsidRDefault="001D5D00" w:rsidP="001D5D00">
            <w:pPr>
              <w:spacing w:after="0" w:line="240" w:lineRule="auto"/>
              <w:jc w:val="center"/>
              <w:rPr>
                <w:rFonts w:eastAsia="Times New Roman" w:cstheme="minorHAnsi"/>
                <w:sz w:val="20"/>
                <w:szCs w:val="20"/>
              </w:rPr>
            </w:pPr>
            <w:r w:rsidRPr="002C310E">
              <w:rPr>
                <w:rFonts w:eastAsia="Times New Roman" w:cstheme="minorHAnsi"/>
                <w:sz w:val="20"/>
                <w:szCs w:val="20"/>
              </w:rPr>
              <w:t>Integrační centrum Praha</w:t>
            </w:r>
          </w:p>
          <w:p w14:paraId="0D353C26"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sz w:val="20"/>
                <w:szCs w:val="20"/>
              </w:rPr>
              <w:t>o.p.s.</w:t>
            </w:r>
          </w:p>
        </w:tc>
        <w:tc>
          <w:tcPr>
            <w:tcW w:w="579" w:type="pct"/>
            <w:vAlign w:val="center"/>
          </w:tcPr>
          <w:p w14:paraId="4E5134CD"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15 614</w:t>
            </w:r>
          </w:p>
        </w:tc>
        <w:tc>
          <w:tcPr>
            <w:tcW w:w="506" w:type="pct"/>
            <w:shd w:val="clear" w:color="auto" w:fill="FFFF00"/>
            <w:vAlign w:val="center"/>
            <w:hideMark/>
          </w:tcPr>
          <w:p w14:paraId="1C6382C1"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FFFF00"/>
            <w:vAlign w:val="center"/>
            <w:hideMark/>
          </w:tcPr>
          <w:p w14:paraId="309BD744"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r>
      <w:tr w:rsidR="001D5D00" w14:paraId="0186082E" w14:textId="77777777" w:rsidTr="001D5D00">
        <w:trPr>
          <w:trHeight w:val="567"/>
          <w:jc w:val="center"/>
        </w:trPr>
        <w:tc>
          <w:tcPr>
            <w:tcW w:w="577" w:type="pct"/>
            <w:vAlign w:val="center"/>
          </w:tcPr>
          <w:p w14:paraId="7FF90CD1"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AMIF/1/05</w:t>
            </w:r>
          </w:p>
        </w:tc>
        <w:tc>
          <w:tcPr>
            <w:tcW w:w="1600" w:type="pct"/>
            <w:vAlign w:val="center"/>
          </w:tcPr>
          <w:p w14:paraId="106DBD44" w14:textId="77777777" w:rsidR="001D5D00" w:rsidRPr="002C310E" w:rsidRDefault="001D5D00" w:rsidP="001D5D00">
            <w:pPr>
              <w:spacing w:after="0" w:line="240" w:lineRule="auto"/>
              <w:jc w:val="center"/>
              <w:rPr>
                <w:rFonts w:eastAsia="Times New Roman" w:cstheme="minorHAnsi"/>
                <w:sz w:val="20"/>
                <w:szCs w:val="20"/>
              </w:rPr>
            </w:pPr>
            <w:r w:rsidRPr="002C310E">
              <w:rPr>
                <w:rFonts w:eastAsia="Times New Roman" w:cstheme="minorHAnsi"/>
                <w:sz w:val="20"/>
                <w:szCs w:val="20"/>
              </w:rPr>
              <w:t>Centrum na podporu integrace cizinců v Ústeckém kraji</w:t>
            </w:r>
          </w:p>
        </w:tc>
        <w:tc>
          <w:tcPr>
            <w:tcW w:w="1158" w:type="pct"/>
            <w:vAlign w:val="center"/>
          </w:tcPr>
          <w:p w14:paraId="5D029F9C"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Poradna pro integraci, z.ú.</w:t>
            </w:r>
          </w:p>
        </w:tc>
        <w:tc>
          <w:tcPr>
            <w:tcW w:w="579" w:type="pct"/>
            <w:vAlign w:val="center"/>
          </w:tcPr>
          <w:p w14:paraId="48B20F92"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5 333</w:t>
            </w:r>
          </w:p>
        </w:tc>
        <w:tc>
          <w:tcPr>
            <w:tcW w:w="506" w:type="pct"/>
            <w:shd w:val="clear" w:color="auto" w:fill="FFFF00"/>
            <w:vAlign w:val="center"/>
          </w:tcPr>
          <w:p w14:paraId="720C1D17"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FFFF00"/>
            <w:vAlign w:val="center"/>
          </w:tcPr>
          <w:p w14:paraId="55C4FF61"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r>
      <w:tr w:rsidR="001D5D00" w14:paraId="049D0E37" w14:textId="77777777" w:rsidTr="001D5D00">
        <w:trPr>
          <w:trHeight w:val="567"/>
          <w:jc w:val="center"/>
        </w:trPr>
        <w:tc>
          <w:tcPr>
            <w:tcW w:w="577" w:type="pct"/>
            <w:vAlign w:val="center"/>
          </w:tcPr>
          <w:p w14:paraId="0DF47B5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AMIF/6/01</w:t>
            </w:r>
          </w:p>
        </w:tc>
        <w:tc>
          <w:tcPr>
            <w:tcW w:w="1600" w:type="pct"/>
            <w:vAlign w:val="center"/>
          </w:tcPr>
          <w:p w14:paraId="772BAB83"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Komplexní poradenství pro žadatele o mezinárodní ochranu</w:t>
            </w:r>
          </w:p>
        </w:tc>
        <w:tc>
          <w:tcPr>
            <w:tcW w:w="1158" w:type="pct"/>
            <w:vAlign w:val="center"/>
          </w:tcPr>
          <w:p w14:paraId="615FCB2B"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Organizace pro pomoc uprchlíkům, z.s.</w:t>
            </w:r>
          </w:p>
        </w:tc>
        <w:tc>
          <w:tcPr>
            <w:tcW w:w="579" w:type="pct"/>
            <w:vAlign w:val="center"/>
          </w:tcPr>
          <w:p w14:paraId="33021B8B"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23 090</w:t>
            </w:r>
          </w:p>
        </w:tc>
        <w:tc>
          <w:tcPr>
            <w:tcW w:w="506" w:type="pct"/>
            <w:shd w:val="clear" w:color="auto" w:fill="FFFF00"/>
            <w:vAlign w:val="center"/>
          </w:tcPr>
          <w:p w14:paraId="72E7850D"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FFFF00"/>
            <w:vAlign w:val="center"/>
          </w:tcPr>
          <w:p w14:paraId="36E8309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r>
      <w:tr w:rsidR="001D5D00" w14:paraId="7D42898E" w14:textId="77777777" w:rsidTr="001D5D00">
        <w:trPr>
          <w:trHeight w:val="567"/>
          <w:jc w:val="center"/>
        </w:trPr>
        <w:tc>
          <w:tcPr>
            <w:tcW w:w="577" w:type="pct"/>
            <w:vAlign w:val="center"/>
          </w:tcPr>
          <w:p w14:paraId="1837030A"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AMIF/7/02</w:t>
            </w:r>
          </w:p>
        </w:tc>
        <w:tc>
          <w:tcPr>
            <w:tcW w:w="1600" w:type="pct"/>
            <w:vAlign w:val="center"/>
          </w:tcPr>
          <w:p w14:paraId="117C4CCF"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Domov v nové zemi</w:t>
            </w:r>
          </w:p>
        </w:tc>
        <w:tc>
          <w:tcPr>
            <w:tcW w:w="1158" w:type="pct"/>
            <w:vAlign w:val="center"/>
          </w:tcPr>
          <w:p w14:paraId="689B6130"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Organizace pro pomoc uprchlíkům, z.s.</w:t>
            </w:r>
          </w:p>
        </w:tc>
        <w:tc>
          <w:tcPr>
            <w:tcW w:w="579" w:type="pct"/>
            <w:vAlign w:val="center"/>
          </w:tcPr>
          <w:p w14:paraId="2BEC4CEC"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3 500</w:t>
            </w:r>
          </w:p>
        </w:tc>
        <w:tc>
          <w:tcPr>
            <w:tcW w:w="506" w:type="pct"/>
            <w:shd w:val="clear" w:color="auto" w:fill="ED7D31" w:themeFill="accent2"/>
            <w:vAlign w:val="center"/>
          </w:tcPr>
          <w:p w14:paraId="234FD573"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c>
          <w:tcPr>
            <w:tcW w:w="579" w:type="pct"/>
            <w:shd w:val="clear" w:color="auto" w:fill="ED7D31" w:themeFill="accent2"/>
            <w:vAlign w:val="center"/>
          </w:tcPr>
          <w:p w14:paraId="48BC5CD7"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r>
      <w:tr w:rsidR="001D5D00" w14:paraId="21C9DD90" w14:textId="77777777" w:rsidTr="001D5D00">
        <w:trPr>
          <w:trHeight w:val="567"/>
          <w:jc w:val="center"/>
        </w:trPr>
        <w:tc>
          <w:tcPr>
            <w:tcW w:w="577" w:type="pct"/>
            <w:vAlign w:val="center"/>
          </w:tcPr>
          <w:p w14:paraId="7CA40A89"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AMIF/7/03</w:t>
            </w:r>
          </w:p>
        </w:tc>
        <w:tc>
          <w:tcPr>
            <w:tcW w:w="1600" w:type="pct"/>
            <w:vAlign w:val="center"/>
          </w:tcPr>
          <w:p w14:paraId="3C353703"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Program na podporu pedagogických pracovníků při práci s žáky cizinci VIII</w:t>
            </w:r>
          </w:p>
        </w:tc>
        <w:tc>
          <w:tcPr>
            <w:tcW w:w="1158" w:type="pct"/>
            <w:vAlign w:val="center"/>
          </w:tcPr>
          <w:p w14:paraId="608C30B3"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META, o.p.s. – Společnost pro příležitosti mladých migrantů</w:t>
            </w:r>
          </w:p>
        </w:tc>
        <w:tc>
          <w:tcPr>
            <w:tcW w:w="579" w:type="pct"/>
            <w:vAlign w:val="center"/>
          </w:tcPr>
          <w:p w14:paraId="7D352F38"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5 000</w:t>
            </w:r>
          </w:p>
        </w:tc>
        <w:tc>
          <w:tcPr>
            <w:tcW w:w="506" w:type="pct"/>
            <w:shd w:val="clear" w:color="auto" w:fill="00B050"/>
            <w:vAlign w:val="center"/>
          </w:tcPr>
          <w:p w14:paraId="7C6182A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1</w:t>
            </w:r>
          </w:p>
        </w:tc>
        <w:tc>
          <w:tcPr>
            <w:tcW w:w="579" w:type="pct"/>
            <w:shd w:val="clear" w:color="auto" w:fill="FFFF00"/>
            <w:vAlign w:val="center"/>
          </w:tcPr>
          <w:p w14:paraId="43DD7477"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r>
      <w:tr w:rsidR="001D5D00" w14:paraId="4748E68A" w14:textId="77777777" w:rsidTr="001D5D00">
        <w:trPr>
          <w:trHeight w:val="567"/>
          <w:jc w:val="center"/>
        </w:trPr>
        <w:tc>
          <w:tcPr>
            <w:tcW w:w="577" w:type="pct"/>
            <w:vAlign w:val="center"/>
          </w:tcPr>
          <w:p w14:paraId="5845991B"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AMIF/8/01</w:t>
            </w:r>
          </w:p>
        </w:tc>
        <w:tc>
          <w:tcPr>
            <w:tcW w:w="1600" w:type="pct"/>
            <w:vAlign w:val="center"/>
          </w:tcPr>
          <w:p w14:paraId="010F78B4"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SUZ – Rekonstrukce objektů v PoS Havířov a PoS Kostelec nad Orlicí</w:t>
            </w:r>
          </w:p>
        </w:tc>
        <w:tc>
          <w:tcPr>
            <w:tcW w:w="1158" w:type="pct"/>
            <w:vAlign w:val="center"/>
          </w:tcPr>
          <w:p w14:paraId="49964757"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Správa uprchlických zařízení Ministerstva vnitra</w:t>
            </w:r>
          </w:p>
        </w:tc>
        <w:tc>
          <w:tcPr>
            <w:tcW w:w="579" w:type="pct"/>
            <w:vAlign w:val="center"/>
          </w:tcPr>
          <w:p w14:paraId="253BA60E"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11 000</w:t>
            </w:r>
          </w:p>
        </w:tc>
        <w:tc>
          <w:tcPr>
            <w:tcW w:w="506" w:type="pct"/>
            <w:shd w:val="clear" w:color="auto" w:fill="00B050"/>
            <w:vAlign w:val="center"/>
          </w:tcPr>
          <w:p w14:paraId="7C5E370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1</w:t>
            </w:r>
          </w:p>
        </w:tc>
        <w:tc>
          <w:tcPr>
            <w:tcW w:w="579" w:type="pct"/>
            <w:shd w:val="clear" w:color="auto" w:fill="00B050"/>
            <w:vAlign w:val="center"/>
          </w:tcPr>
          <w:p w14:paraId="457226D7"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1</w:t>
            </w:r>
          </w:p>
        </w:tc>
      </w:tr>
      <w:tr w:rsidR="001D5D00" w14:paraId="3869AB91" w14:textId="77777777" w:rsidTr="001D5D00">
        <w:trPr>
          <w:trHeight w:val="567"/>
          <w:jc w:val="center"/>
        </w:trPr>
        <w:tc>
          <w:tcPr>
            <w:tcW w:w="577" w:type="pct"/>
            <w:vAlign w:val="center"/>
          </w:tcPr>
          <w:p w14:paraId="52C10D34"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AMIF/10/03</w:t>
            </w:r>
          </w:p>
        </w:tc>
        <w:tc>
          <w:tcPr>
            <w:tcW w:w="1600" w:type="pct"/>
            <w:vAlign w:val="center"/>
          </w:tcPr>
          <w:p w14:paraId="5324724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sz w:val="20"/>
                <w:szCs w:val="20"/>
              </w:rPr>
              <w:t>Integrační centrum Praha VI</w:t>
            </w:r>
          </w:p>
        </w:tc>
        <w:tc>
          <w:tcPr>
            <w:tcW w:w="1158" w:type="pct"/>
            <w:vAlign w:val="center"/>
          </w:tcPr>
          <w:p w14:paraId="38403D2C"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sz w:val="20"/>
                <w:szCs w:val="20"/>
              </w:rPr>
              <w:t>Integrační centrum Praha o.p.s.</w:t>
            </w:r>
          </w:p>
        </w:tc>
        <w:tc>
          <w:tcPr>
            <w:tcW w:w="579" w:type="pct"/>
            <w:vAlign w:val="center"/>
          </w:tcPr>
          <w:p w14:paraId="137789BE"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47 999</w:t>
            </w:r>
          </w:p>
        </w:tc>
        <w:tc>
          <w:tcPr>
            <w:tcW w:w="506" w:type="pct"/>
            <w:shd w:val="clear" w:color="auto" w:fill="FFFF00"/>
            <w:vAlign w:val="center"/>
          </w:tcPr>
          <w:p w14:paraId="6BEBFFCF"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FFFF00"/>
            <w:vAlign w:val="center"/>
          </w:tcPr>
          <w:p w14:paraId="57C1947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r>
      <w:tr w:rsidR="001D5D00" w14:paraId="0ADD1C50" w14:textId="77777777" w:rsidTr="001D5D00">
        <w:trPr>
          <w:trHeight w:val="567"/>
          <w:jc w:val="center"/>
        </w:trPr>
        <w:tc>
          <w:tcPr>
            <w:tcW w:w="577" w:type="pct"/>
            <w:vAlign w:val="center"/>
          </w:tcPr>
          <w:p w14:paraId="48E7A9B3"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AMIF/10/04</w:t>
            </w:r>
          </w:p>
        </w:tc>
        <w:tc>
          <w:tcPr>
            <w:tcW w:w="1600" w:type="pct"/>
            <w:vAlign w:val="center"/>
          </w:tcPr>
          <w:p w14:paraId="7A661190"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sz w:val="20"/>
                <w:szCs w:val="20"/>
              </w:rPr>
              <w:t>Centrum na podporu integrace cizinců v Ústeckém kraji</w:t>
            </w:r>
          </w:p>
        </w:tc>
        <w:tc>
          <w:tcPr>
            <w:tcW w:w="1158" w:type="pct"/>
            <w:vAlign w:val="center"/>
          </w:tcPr>
          <w:p w14:paraId="38BCC3D7"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Poradna pro integraci, z.ú.</w:t>
            </w:r>
          </w:p>
        </w:tc>
        <w:tc>
          <w:tcPr>
            <w:tcW w:w="579" w:type="pct"/>
            <w:vAlign w:val="center"/>
          </w:tcPr>
          <w:p w14:paraId="3CB1D2C4"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17 931</w:t>
            </w:r>
          </w:p>
        </w:tc>
        <w:tc>
          <w:tcPr>
            <w:tcW w:w="506" w:type="pct"/>
            <w:shd w:val="clear" w:color="auto" w:fill="FFFF00"/>
            <w:vAlign w:val="center"/>
          </w:tcPr>
          <w:p w14:paraId="0CEF83DF"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FFFF00"/>
            <w:vAlign w:val="center"/>
          </w:tcPr>
          <w:p w14:paraId="5BA2AD3E"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r>
      <w:tr w:rsidR="001D5D00" w14:paraId="1C0AA247" w14:textId="77777777" w:rsidTr="001D5D00">
        <w:trPr>
          <w:trHeight w:val="567"/>
          <w:jc w:val="center"/>
        </w:trPr>
        <w:tc>
          <w:tcPr>
            <w:tcW w:w="577" w:type="pct"/>
            <w:vAlign w:val="center"/>
          </w:tcPr>
          <w:p w14:paraId="5F93D50B"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AMIF/14/01</w:t>
            </w:r>
          </w:p>
        </w:tc>
        <w:tc>
          <w:tcPr>
            <w:tcW w:w="1600" w:type="pct"/>
            <w:vAlign w:val="center"/>
          </w:tcPr>
          <w:p w14:paraId="4560F8BD"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AZ Havířov – koupě a rekonstrukce rozšiřujícího objektu</w:t>
            </w:r>
          </w:p>
        </w:tc>
        <w:tc>
          <w:tcPr>
            <w:tcW w:w="1158" w:type="pct"/>
            <w:vAlign w:val="center"/>
          </w:tcPr>
          <w:p w14:paraId="34333A29"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Správa uprchlických zařízení Ministerstva vnitra</w:t>
            </w:r>
          </w:p>
        </w:tc>
        <w:tc>
          <w:tcPr>
            <w:tcW w:w="579" w:type="pct"/>
            <w:vAlign w:val="center"/>
          </w:tcPr>
          <w:p w14:paraId="2C4B0605"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84 736</w:t>
            </w:r>
          </w:p>
        </w:tc>
        <w:tc>
          <w:tcPr>
            <w:tcW w:w="506" w:type="pct"/>
            <w:shd w:val="clear" w:color="auto" w:fill="ED7D31" w:themeFill="accent2"/>
            <w:vAlign w:val="center"/>
          </w:tcPr>
          <w:p w14:paraId="5532C076" w14:textId="77777777" w:rsidR="001D5D00" w:rsidRPr="002C310E" w:rsidRDefault="001D5D00" w:rsidP="001D5D00">
            <w:pPr>
              <w:spacing w:after="0" w:line="240" w:lineRule="auto"/>
              <w:jc w:val="center"/>
              <w:rPr>
                <w:rFonts w:eastAsia="Times New Roman" w:cstheme="minorHAnsi"/>
                <w:sz w:val="20"/>
                <w:szCs w:val="20"/>
                <w:lang w:eastAsia="cs-CZ"/>
              </w:rPr>
            </w:pPr>
            <w:r w:rsidRPr="002C310E">
              <w:rPr>
                <w:rFonts w:eastAsia="Times New Roman" w:cstheme="minorHAnsi"/>
                <w:sz w:val="20"/>
                <w:szCs w:val="20"/>
                <w:lang w:eastAsia="cs-CZ"/>
              </w:rPr>
              <w:t>3</w:t>
            </w:r>
          </w:p>
        </w:tc>
        <w:tc>
          <w:tcPr>
            <w:tcW w:w="579" w:type="pct"/>
            <w:shd w:val="clear" w:color="auto" w:fill="ED7D31" w:themeFill="accent2"/>
            <w:vAlign w:val="center"/>
          </w:tcPr>
          <w:p w14:paraId="170E561F" w14:textId="77777777" w:rsidR="001D5D00" w:rsidRPr="002C310E" w:rsidRDefault="001D5D00" w:rsidP="001D5D00">
            <w:pPr>
              <w:spacing w:after="0" w:line="240" w:lineRule="auto"/>
              <w:jc w:val="center"/>
              <w:rPr>
                <w:rFonts w:eastAsia="Times New Roman" w:cstheme="minorHAnsi"/>
                <w:sz w:val="20"/>
                <w:szCs w:val="20"/>
                <w:lang w:eastAsia="cs-CZ"/>
              </w:rPr>
            </w:pPr>
            <w:r w:rsidRPr="002C310E">
              <w:rPr>
                <w:rFonts w:eastAsia="Times New Roman" w:cstheme="minorHAnsi"/>
                <w:sz w:val="20"/>
                <w:szCs w:val="20"/>
                <w:lang w:eastAsia="cs-CZ"/>
              </w:rPr>
              <w:t>3</w:t>
            </w:r>
          </w:p>
        </w:tc>
      </w:tr>
      <w:tr w:rsidR="001D5D00" w14:paraId="3640E412" w14:textId="77777777" w:rsidTr="001D5D00">
        <w:trPr>
          <w:trHeight w:val="567"/>
          <w:jc w:val="center"/>
        </w:trPr>
        <w:tc>
          <w:tcPr>
            <w:tcW w:w="577" w:type="pct"/>
            <w:vAlign w:val="center"/>
          </w:tcPr>
          <w:p w14:paraId="5F004E6A"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AMIF/16/01</w:t>
            </w:r>
          </w:p>
        </w:tc>
        <w:tc>
          <w:tcPr>
            <w:tcW w:w="1600" w:type="pct"/>
            <w:vAlign w:val="center"/>
          </w:tcPr>
          <w:p w14:paraId="29CD236F"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Zřízení a provoz Centra na podporu integrace cizinců pro Středočeský kraj</w:t>
            </w:r>
          </w:p>
        </w:tc>
        <w:tc>
          <w:tcPr>
            <w:tcW w:w="1158" w:type="pct"/>
            <w:vAlign w:val="center"/>
          </w:tcPr>
          <w:p w14:paraId="3DD51485"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Správa uprchlických zařízení Ministerstva vnitra</w:t>
            </w:r>
          </w:p>
        </w:tc>
        <w:tc>
          <w:tcPr>
            <w:tcW w:w="579" w:type="pct"/>
            <w:vAlign w:val="center"/>
          </w:tcPr>
          <w:p w14:paraId="3280F8D3"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29 911</w:t>
            </w:r>
          </w:p>
        </w:tc>
        <w:tc>
          <w:tcPr>
            <w:tcW w:w="506" w:type="pct"/>
            <w:shd w:val="clear" w:color="auto" w:fill="FFFF00"/>
            <w:vAlign w:val="center"/>
          </w:tcPr>
          <w:p w14:paraId="18D68D9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FFFF00"/>
            <w:vAlign w:val="center"/>
          </w:tcPr>
          <w:p w14:paraId="7A01E87C"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r>
      <w:tr w:rsidR="001D5D00" w14:paraId="40138E7D" w14:textId="77777777" w:rsidTr="001D5D00">
        <w:trPr>
          <w:trHeight w:val="567"/>
          <w:jc w:val="center"/>
        </w:trPr>
        <w:tc>
          <w:tcPr>
            <w:tcW w:w="577" w:type="pct"/>
            <w:vAlign w:val="center"/>
          </w:tcPr>
          <w:p w14:paraId="727A464D"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AMIF/20/04</w:t>
            </w:r>
          </w:p>
        </w:tc>
        <w:tc>
          <w:tcPr>
            <w:tcW w:w="1600" w:type="pct"/>
            <w:vAlign w:val="center"/>
          </w:tcPr>
          <w:p w14:paraId="57E7E7EA" w14:textId="371570A9" w:rsidR="001D5D00" w:rsidRPr="002C310E" w:rsidRDefault="001D5D00" w:rsidP="00DA38E9">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 xml:space="preserve">Provoz </w:t>
            </w:r>
            <w:r w:rsidR="00DA38E9">
              <w:rPr>
                <w:rFonts w:eastAsia="Times New Roman" w:cstheme="minorHAnsi"/>
                <w:color w:val="000000"/>
                <w:sz w:val="20"/>
                <w:szCs w:val="20"/>
                <w:lang w:eastAsia="cs-CZ"/>
              </w:rPr>
              <w:t>c</w:t>
            </w:r>
            <w:r w:rsidRPr="002C310E">
              <w:rPr>
                <w:rFonts w:eastAsia="Times New Roman" w:cstheme="minorHAnsi"/>
                <w:color w:val="000000"/>
                <w:sz w:val="20"/>
                <w:szCs w:val="20"/>
                <w:lang w:eastAsia="cs-CZ"/>
              </w:rPr>
              <w:t>enter na podporu integrace cizinců I</w:t>
            </w:r>
          </w:p>
        </w:tc>
        <w:tc>
          <w:tcPr>
            <w:tcW w:w="1158" w:type="pct"/>
            <w:vAlign w:val="center"/>
          </w:tcPr>
          <w:p w14:paraId="76B8E43B"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Správa uprchlických zařízení Ministerstva vnitra</w:t>
            </w:r>
          </w:p>
        </w:tc>
        <w:tc>
          <w:tcPr>
            <w:tcW w:w="579" w:type="pct"/>
            <w:vAlign w:val="center"/>
          </w:tcPr>
          <w:p w14:paraId="2E189EAD"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21 685</w:t>
            </w:r>
          </w:p>
        </w:tc>
        <w:tc>
          <w:tcPr>
            <w:tcW w:w="506" w:type="pct"/>
            <w:shd w:val="clear" w:color="auto" w:fill="FFFF00"/>
            <w:vAlign w:val="center"/>
          </w:tcPr>
          <w:p w14:paraId="018C146A"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FFFF00"/>
            <w:vAlign w:val="center"/>
          </w:tcPr>
          <w:p w14:paraId="75F7D78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r>
      <w:tr w:rsidR="001D5D00" w14:paraId="6D0A3485" w14:textId="77777777" w:rsidTr="001D5D00">
        <w:trPr>
          <w:trHeight w:val="567"/>
          <w:jc w:val="center"/>
        </w:trPr>
        <w:tc>
          <w:tcPr>
            <w:tcW w:w="577" w:type="pct"/>
            <w:vAlign w:val="center"/>
          </w:tcPr>
          <w:p w14:paraId="494E24F4"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lastRenderedPageBreak/>
              <w:t>AMIF/20/05</w:t>
            </w:r>
          </w:p>
        </w:tc>
        <w:tc>
          <w:tcPr>
            <w:tcW w:w="1600" w:type="pct"/>
            <w:vAlign w:val="center"/>
          </w:tcPr>
          <w:p w14:paraId="55EC92C9" w14:textId="49482D2B" w:rsidR="001D5D00" w:rsidRPr="002C310E" w:rsidRDefault="001D5D00" w:rsidP="00DA38E9">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 xml:space="preserve">Provoz </w:t>
            </w:r>
            <w:r w:rsidR="00DA38E9">
              <w:rPr>
                <w:rFonts w:eastAsia="Times New Roman" w:cstheme="minorHAnsi"/>
                <w:color w:val="000000"/>
                <w:sz w:val="20"/>
                <w:szCs w:val="20"/>
                <w:lang w:eastAsia="cs-CZ"/>
              </w:rPr>
              <w:t>c</w:t>
            </w:r>
            <w:r w:rsidRPr="002C310E">
              <w:rPr>
                <w:rFonts w:eastAsia="Times New Roman" w:cstheme="minorHAnsi"/>
                <w:color w:val="000000"/>
                <w:sz w:val="20"/>
                <w:szCs w:val="20"/>
                <w:lang w:eastAsia="cs-CZ"/>
              </w:rPr>
              <w:t>enter na podporu integrace cizinců II</w:t>
            </w:r>
          </w:p>
        </w:tc>
        <w:tc>
          <w:tcPr>
            <w:tcW w:w="1158" w:type="pct"/>
            <w:vAlign w:val="center"/>
          </w:tcPr>
          <w:p w14:paraId="6FC8034E"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Správa uprchlických zařízení Ministerstva vnitra</w:t>
            </w:r>
          </w:p>
        </w:tc>
        <w:tc>
          <w:tcPr>
            <w:tcW w:w="579" w:type="pct"/>
            <w:vAlign w:val="center"/>
          </w:tcPr>
          <w:p w14:paraId="6733C2D1"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21 687</w:t>
            </w:r>
          </w:p>
        </w:tc>
        <w:tc>
          <w:tcPr>
            <w:tcW w:w="506" w:type="pct"/>
            <w:shd w:val="clear" w:color="auto" w:fill="FFFF00"/>
            <w:vAlign w:val="center"/>
          </w:tcPr>
          <w:p w14:paraId="47C5B2F4"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FFFF00"/>
            <w:vAlign w:val="center"/>
          </w:tcPr>
          <w:p w14:paraId="066F0B1E"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r>
      <w:tr w:rsidR="001D5D00" w14:paraId="5195390D" w14:textId="77777777" w:rsidTr="001D5D00">
        <w:trPr>
          <w:trHeight w:val="567"/>
          <w:jc w:val="center"/>
        </w:trPr>
        <w:tc>
          <w:tcPr>
            <w:tcW w:w="577" w:type="pct"/>
            <w:vAlign w:val="center"/>
          </w:tcPr>
          <w:p w14:paraId="3B8DBC1E"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AMIF/20/06</w:t>
            </w:r>
          </w:p>
        </w:tc>
        <w:tc>
          <w:tcPr>
            <w:tcW w:w="1600" w:type="pct"/>
            <w:vAlign w:val="center"/>
          </w:tcPr>
          <w:p w14:paraId="477690A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sz w:val="20"/>
                <w:szCs w:val="20"/>
              </w:rPr>
              <w:t>Integrační centrum Praha VII</w:t>
            </w:r>
          </w:p>
        </w:tc>
        <w:tc>
          <w:tcPr>
            <w:tcW w:w="1158" w:type="pct"/>
            <w:vAlign w:val="center"/>
          </w:tcPr>
          <w:p w14:paraId="2A985AFE"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sz w:val="20"/>
                <w:szCs w:val="20"/>
              </w:rPr>
              <w:t>Integrační centrum Praha o.p.s.</w:t>
            </w:r>
          </w:p>
        </w:tc>
        <w:tc>
          <w:tcPr>
            <w:tcW w:w="579" w:type="pct"/>
            <w:vAlign w:val="center"/>
          </w:tcPr>
          <w:p w14:paraId="31E79392"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29 581</w:t>
            </w:r>
          </w:p>
        </w:tc>
        <w:tc>
          <w:tcPr>
            <w:tcW w:w="506" w:type="pct"/>
            <w:shd w:val="clear" w:color="auto" w:fill="FFFF00"/>
            <w:vAlign w:val="center"/>
          </w:tcPr>
          <w:p w14:paraId="1C1524F4"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5B9BD5" w:themeFill="accent1"/>
            <w:vAlign w:val="center"/>
          </w:tcPr>
          <w:p w14:paraId="7237611B"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1B55B758" w14:textId="77777777" w:rsidTr="001D5D00">
        <w:trPr>
          <w:trHeight w:val="567"/>
          <w:jc w:val="center"/>
        </w:trPr>
        <w:tc>
          <w:tcPr>
            <w:tcW w:w="577" w:type="pct"/>
            <w:vAlign w:val="center"/>
          </w:tcPr>
          <w:p w14:paraId="64BA8575"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AMIF/21/01</w:t>
            </w:r>
          </w:p>
        </w:tc>
        <w:tc>
          <w:tcPr>
            <w:tcW w:w="1600" w:type="pct"/>
            <w:vAlign w:val="center"/>
          </w:tcPr>
          <w:p w14:paraId="629EBC42" w14:textId="3D34108B" w:rsidR="001D5D00" w:rsidRPr="002C310E" w:rsidRDefault="001D5D00" w:rsidP="00510093">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Využití interkulturních pracovníků na pracovištích pobytu cizinců a</w:t>
            </w:r>
            <w:r w:rsidR="00510093">
              <w:rPr>
                <w:rFonts w:eastAsia="Times New Roman" w:cstheme="minorHAnsi"/>
                <w:color w:val="000000"/>
                <w:sz w:val="20"/>
                <w:szCs w:val="20"/>
                <w:lang w:eastAsia="cs-CZ"/>
              </w:rPr>
              <w:t> </w:t>
            </w:r>
            <w:r w:rsidRPr="002C310E">
              <w:rPr>
                <w:rFonts w:eastAsia="Times New Roman" w:cstheme="minorHAnsi"/>
                <w:color w:val="000000"/>
                <w:sz w:val="20"/>
                <w:szCs w:val="20"/>
                <w:lang w:eastAsia="cs-CZ"/>
              </w:rPr>
              <w:t>zlepšení kvality poskytování informací cizincům ze třetích zemí</w:t>
            </w:r>
          </w:p>
        </w:tc>
        <w:tc>
          <w:tcPr>
            <w:tcW w:w="1158" w:type="pct"/>
            <w:vAlign w:val="center"/>
          </w:tcPr>
          <w:p w14:paraId="7EA9193F"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Ministerstvo vnitra</w:t>
            </w:r>
          </w:p>
        </w:tc>
        <w:tc>
          <w:tcPr>
            <w:tcW w:w="579" w:type="pct"/>
            <w:vAlign w:val="center"/>
          </w:tcPr>
          <w:p w14:paraId="383A8DF5"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70 000</w:t>
            </w:r>
          </w:p>
        </w:tc>
        <w:tc>
          <w:tcPr>
            <w:tcW w:w="506" w:type="pct"/>
            <w:shd w:val="clear" w:color="auto" w:fill="ED7D31" w:themeFill="accent2"/>
            <w:vAlign w:val="center"/>
          </w:tcPr>
          <w:p w14:paraId="3964C473"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c>
          <w:tcPr>
            <w:tcW w:w="579" w:type="pct"/>
            <w:shd w:val="clear" w:color="auto" w:fill="5B9BD5" w:themeFill="accent1"/>
            <w:vAlign w:val="center"/>
          </w:tcPr>
          <w:p w14:paraId="69D13E73"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1CA3A0EB" w14:textId="77777777" w:rsidTr="001D5D00">
        <w:trPr>
          <w:trHeight w:val="567"/>
          <w:jc w:val="center"/>
        </w:trPr>
        <w:tc>
          <w:tcPr>
            <w:tcW w:w="577" w:type="pct"/>
            <w:vAlign w:val="center"/>
          </w:tcPr>
          <w:p w14:paraId="42675E3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AMIF/22/01</w:t>
            </w:r>
          </w:p>
        </w:tc>
        <w:tc>
          <w:tcPr>
            <w:tcW w:w="1600" w:type="pct"/>
            <w:vAlign w:val="center"/>
          </w:tcPr>
          <w:p w14:paraId="12966D7A"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Domov v nové zemi II</w:t>
            </w:r>
          </w:p>
        </w:tc>
        <w:tc>
          <w:tcPr>
            <w:tcW w:w="1158" w:type="pct"/>
            <w:vAlign w:val="center"/>
          </w:tcPr>
          <w:p w14:paraId="2FF2A0B6"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Organizace pro pomoc uprchlíkům, z.s.</w:t>
            </w:r>
          </w:p>
        </w:tc>
        <w:tc>
          <w:tcPr>
            <w:tcW w:w="579" w:type="pct"/>
            <w:vAlign w:val="center"/>
          </w:tcPr>
          <w:p w14:paraId="0A0C3339"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3 499</w:t>
            </w:r>
          </w:p>
        </w:tc>
        <w:tc>
          <w:tcPr>
            <w:tcW w:w="506" w:type="pct"/>
            <w:shd w:val="clear" w:color="auto" w:fill="FFFF00"/>
            <w:vAlign w:val="center"/>
          </w:tcPr>
          <w:p w14:paraId="1115C1AA"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5B9BD5" w:themeFill="accent1"/>
            <w:vAlign w:val="center"/>
          </w:tcPr>
          <w:p w14:paraId="0AB353D4"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30BDFA48" w14:textId="77777777" w:rsidTr="001D5D00">
        <w:trPr>
          <w:trHeight w:val="567"/>
          <w:jc w:val="center"/>
        </w:trPr>
        <w:tc>
          <w:tcPr>
            <w:tcW w:w="577" w:type="pct"/>
            <w:vAlign w:val="center"/>
          </w:tcPr>
          <w:p w14:paraId="4C6113FD"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AMIF/22/02</w:t>
            </w:r>
          </w:p>
        </w:tc>
        <w:tc>
          <w:tcPr>
            <w:tcW w:w="1600" w:type="pct"/>
            <w:vAlign w:val="center"/>
          </w:tcPr>
          <w:p w14:paraId="4348A8BA" w14:textId="359B4D0C"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Ko</w:t>
            </w:r>
            <w:r w:rsidR="00660C3C">
              <w:rPr>
                <w:rFonts w:eastAsia="Times New Roman" w:cstheme="minorHAnsi"/>
                <w:color w:val="000000"/>
                <w:sz w:val="20"/>
                <w:szCs w:val="20"/>
                <w:lang w:eastAsia="cs-CZ"/>
              </w:rPr>
              <w:t>mplexní poradenství žadatelům o </w:t>
            </w:r>
            <w:r w:rsidRPr="002C310E">
              <w:rPr>
                <w:rFonts w:eastAsia="Times New Roman" w:cstheme="minorHAnsi"/>
                <w:color w:val="000000"/>
                <w:sz w:val="20"/>
                <w:szCs w:val="20"/>
                <w:lang w:eastAsia="cs-CZ"/>
              </w:rPr>
              <w:t>udělení mezinárodní ochrany</w:t>
            </w:r>
          </w:p>
        </w:tc>
        <w:tc>
          <w:tcPr>
            <w:tcW w:w="1158" w:type="pct"/>
            <w:vAlign w:val="center"/>
          </w:tcPr>
          <w:p w14:paraId="557DBCEA"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Organizace pro pomoc uprchlíkům, z.s.</w:t>
            </w:r>
          </w:p>
        </w:tc>
        <w:tc>
          <w:tcPr>
            <w:tcW w:w="579" w:type="pct"/>
            <w:vAlign w:val="center"/>
          </w:tcPr>
          <w:p w14:paraId="53C53293"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22 701</w:t>
            </w:r>
          </w:p>
        </w:tc>
        <w:tc>
          <w:tcPr>
            <w:tcW w:w="506" w:type="pct"/>
            <w:shd w:val="clear" w:color="auto" w:fill="FFFF00"/>
            <w:vAlign w:val="center"/>
          </w:tcPr>
          <w:p w14:paraId="4F321BE0"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5B9BD5" w:themeFill="accent1"/>
            <w:vAlign w:val="center"/>
          </w:tcPr>
          <w:p w14:paraId="50643E7C"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54FB4539" w14:textId="77777777" w:rsidTr="001D5D00">
        <w:trPr>
          <w:trHeight w:val="567"/>
          <w:jc w:val="center"/>
        </w:trPr>
        <w:tc>
          <w:tcPr>
            <w:tcW w:w="577" w:type="pct"/>
            <w:vAlign w:val="center"/>
          </w:tcPr>
          <w:p w14:paraId="033770D4"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AMIF/22/09</w:t>
            </w:r>
          </w:p>
        </w:tc>
        <w:tc>
          <w:tcPr>
            <w:tcW w:w="1600" w:type="pct"/>
            <w:vAlign w:val="center"/>
          </w:tcPr>
          <w:p w14:paraId="00F0323C"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(Dez)informace</w:t>
            </w:r>
          </w:p>
        </w:tc>
        <w:tc>
          <w:tcPr>
            <w:tcW w:w="1158" w:type="pct"/>
            <w:vAlign w:val="center"/>
          </w:tcPr>
          <w:p w14:paraId="19C3EAA3"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sz w:val="20"/>
                <w:szCs w:val="20"/>
              </w:rPr>
              <w:t>Integrační centrum Praha o.p.s.</w:t>
            </w:r>
          </w:p>
        </w:tc>
        <w:tc>
          <w:tcPr>
            <w:tcW w:w="579" w:type="pct"/>
            <w:vAlign w:val="center"/>
          </w:tcPr>
          <w:p w14:paraId="0C0D3A97"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6 165</w:t>
            </w:r>
          </w:p>
        </w:tc>
        <w:tc>
          <w:tcPr>
            <w:tcW w:w="506" w:type="pct"/>
            <w:shd w:val="clear" w:color="auto" w:fill="5B9BD5" w:themeFill="accent1"/>
            <w:vAlign w:val="center"/>
          </w:tcPr>
          <w:p w14:paraId="728D6F3A"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c>
          <w:tcPr>
            <w:tcW w:w="579" w:type="pct"/>
            <w:shd w:val="clear" w:color="auto" w:fill="ED7D31" w:themeFill="accent2"/>
            <w:vAlign w:val="center"/>
          </w:tcPr>
          <w:p w14:paraId="36F0F53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r>
      <w:tr w:rsidR="001D5D00" w14:paraId="245B75CA" w14:textId="77777777" w:rsidTr="001D5D00">
        <w:trPr>
          <w:trHeight w:val="567"/>
          <w:jc w:val="center"/>
        </w:trPr>
        <w:tc>
          <w:tcPr>
            <w:tcW w:w="577" w:type="pct"/>
            <w:vAlign w:val="center"/>
          </w:tcPr>
          <w:p w14:paraId="469B6F2D"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AMIF/22/11</w:t>
            </w:r>
          </w:p>
        </w:tc>
        <w:tc>
          <w:tcPr>
            <w:tcW w:w="1600" w:type="pct"/>
            <w:vAlign w:val="center"/>
          </w:tcPr>
          <w:p w14:paraId="5404F886"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Jako Ty</w:t>
            </w:r>
          </w:p>
        </w:tc>
        <w:tc>
          <w:tcPr>
            <w:tcW w:w="1158" w:type="pct"/>
            <w:vAlign w:val="center"/>
          </w:tcPr>
          <w:p w14:paraId="5DBF0B16"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META, o.p.s. – Společnost pro příležitosti mladých migrantů</w:t>
            </w:r>
          </w:p>
        </w:tc>
        <w:tc>
          <w:tcPr>
            <w:tcW w:w="579" w:type="pct"/>
            <w:vAlign w:val="center"/>
          </w:tcPr>
          <w:p w14:paraId="0519461A"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8 718</w:t>
            </w:r>
          </w:p>
        </w:tc>
        <w:tc>
          <w:tcPr>
            <w:tcW w:w="506" w:type="pct"/>
            <w:shd w:val="clear" w:color="auto" w:fill="5B9BD5" w:themeFill="accent1"/>
            <w:vAlign w:val="center"/>
            <w:hideMark/>
          </w:tcPr>
          <w:p w14:paraId="35A317A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c>
          <w:tcPr>
            <w:tcW w:w="579" w:type="pct"/>
            <w:shd w:val="clear" w:color="auto" w:fill="ED7D31" w:themeFill="accent2"/>
            <w:vAlign w:val="center"/>
            <w:hideMark/>
          </w:tcPr>
          <w:p w14:paraId="4CCE6091"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3</w:t>
            </w:r>
          </w:p>
        </w:tc>
      </w:tr>
      <w:tr w:rsidR="001D5D00" w14:paraId="706FF3ED" w14:textId="77777777" w:rsidTr="001D5D00">
        <w:trPr>
          <w:trHeight w:val="567"/>
          <w:jc w:val="center"/>
        </w:trPr>
        <w:tc>
          <w:tcPr>
            <w:tcW w:w="577" w:type="pct"/>
            <w:vAlign w:val="center"/>
          </w:tcPr>
          <w:p w14:paraId="63C29B6D"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AMIF/23/01</w:t>
            </w:r>
          </w:p>
        </w:tc>
        <w:tc>
          <w:tcPr>
            <w:tcW w:w="1600" w:type="pct"/>
            <w:vAlign w:val="center"/>
          </w:tcPr>
          <w:p w14:paraId="3BD184A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sz w:val="20"/>
                <w:szCs w:val="20"/>
              </w:rPr>
              <w:t>Provoz/zřízení centra pro integraci cizinců v Ústeckém kraji</w:t>
            </w:r>
          </w:p>
        </w:tc>
        <w:tc>
          <w:tcPr>
            <w:tcW w:w="1158" w:type="pct"/>
            <w:vAlign w:val="center"/>
          </w:tcPr>
          <w:p w14:paraId="6FDAF59F"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Poradna pro integraci, z.ú.</w:t>
            </w:r>
          </w:p>
        </w:tc>
        <w:tc>
          <w:tcPr>
            <w:tcW w:w="579" w:type="pct"/>
            <w:vAlign w:val="center"/>
          </w:tcPr>
          <w:p w14:paraId="3E0DD7BD"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10 054</w:t>
            </w:r>
          </w:p>
        </w:tc>
        <w:tc>
          <w:tcPr>
            <w:tcW w:w="506" w:type="pct"/>
            <w:shd w:val="clear" w:color="auto" w:fill="FFFF00"/>
            <w:vAlign w:val="center"/>
            <w:hideMark/>
          </w:tcPr>
          <w:p w14:paraId="341A349E"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2</w:t>
            </w:r>
          </w:p>
        </w:tc>
        <w:tc>
          <w:tcPr>
            <w:tcW w:w="579" w:type="pct"/>
            <w:shd w:val="clear" w:color="auto" w:fill="5B9BD5" w:themeFill="accent1"/>
            <w:vAlign w:val="center"/>
            <w:hideMark/>
          </w:tcPr>
          <w:p w14:paraId="6C616BC2"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6304F96E" w14:textId="77777777" w:rsidTr="001D5D00">
        <w:trPr>
          <w:trHeight w:val="567"/>
          <w:jc w:val="center"/>
        </w:trPr>
        <w:tc>
          <w:tcPr>
            <w:tcW w:w="577" w:type="pct"/>
            <w:vAlign w:val="center"/>
          </w:tcPr>
          <w:p w14:paraId="11EDAE15"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AMIF/25/01</w:t>
            </w:r>
          </w:p>
        </w:tc>
        <w:tc>
          <w:tcPr>
            <w:tcW w:w="1600" w:type="pct"/>
            <w:vAlign w:val="center"/>
          </w:tcPr>
          <w:p w14:paraId="663C0D2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Program na podporu pedagogů při vzdělávání dětí a žáků cizinců</w:t>
            </w:r>
          </w:p>
        </w:tc>
        <w:tc>
          <w:tcPr>
            <w:tcW w:w="1158" w:type="pct"/>
            <w:vAlign w:val="center"/>
          </w:tcPr>
          <w:p w14:paraId="28D193D8"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META, o.p.s. – Společnost pro příležitosti mladých migrantů</w:t>
            </w:r>
          </w:p>
        </w:tc>
        <w:tc>
          <w:tcPr>
            <w:tcW w:w="579" w:type="pct"/>
            <w:vAlign w:val="center"/>
          </w:tcPr>
          <w:p w14:paraId="0B2196EB" w14:textId="77777777" w:rsidR="001D5D00" w:rsidRPr="002C310E" w:rsidRDefault="001D5D00" w:rsidP="001D5D00">
            <w:pPr>
              <w:spacing w:after="0" w:line="240" w:lineRule="auto"/>
              <w:ind w:right="232"/>
              <w:jc w:val="right"/>
              <w:rPr>
                <w:rFonts w:eastAsia="Times New Roman" w:cstheme="minorHAnsi"/>
                <w:color w:val="000000"/>
                <w:sz w:val="20"/>
                <w:szCs w:val="20"/>
                <w:lang w:eastAsia="cs-CZ"/>
              </w:rPr>
            </w:pPr>
            <w:r w:rsidRPr="002C310E">
              <w:rPr>
                <w:rFonts w:eastAsia="Times New Roman" w:cstheme="minorHAnsi"/>
                <w:color w:val="000000"/>
                <w:sz w:val="20"/>
                <w:szCs w:val="20"/>
                <w:lang w:eastAsia="cs-CZ"/>
              </w:rPr>
              <w:t>5 000</w:t>
            </w:r>
          </w:p>
        </w:tc>
        <w:tc>
          <w:tcPr>
            <w:tcW w:w="506" w:type="pct"/>
            <w:shd w:val="clear" w:color="auto" w:fill="00B050"/>
            <w:vAlign w:val="center"/>
          </w:tcPr>
          <w:p w14:paraId="22A779DC"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1</w:t>
            </w:r>
          </w:p>
        </w:tc>
        <w:tc>
          <w:tcPr>
            <w:tcW w:w="579" w:type="pct"/>
            <w:shd w:val="clear" w:color="auto" w:fill="5B9BD5" w:themeFill="accent1"/>
            <w:vAlign w:val="center"/>
          </w:tcPr>
          <w:p w14:paraId="0DFAA126" w14:textId="77777777" w:rsidR="001D5D00" w:rsidRPr="002C310E" w:rsidRDefault="001D5D00" w:rsidP="001D5D00">
            <w:pPr>
              <w:spacing w:after="0" w:line="240" w:lineRule="auto"/>
              <w:jc w:val="center"/>
              <w:rPr>
                <w:rFonts w:eastAsia="Times New Roman" w:cstheme="minorHAnsi"/>
                <w:color w:val="000000"/>
                <w:sz w:val="20"/>
                <w:szCs w:val="20"/>
                <w:lang w:eastAsia="cs-CZ"/>
              </w:rPr>
            </w:pPr>
            <w:r w:rsidRPr="002C310E">
              <w:rPr>
                <w:rFonts w:eastAsia="Times New Roman" w:cstheme="minorHAnsi"/>
                <w:color w:val="000000"/>
                <w:sz w:val="20"/>
                <w:szCs w:val="20"/>
                <w:lang w:eastAsia="cs-CZ"/>
              </w:rPr>
              <w:t>X</w:t>
            </w:r>
          </w:p>
        </w:tc>
      </w:tr>
      <w:tr w:rsidR="001D5D00" w14:paraId="4116AE8D" w14:textId="77777777" w:rsidTr="001D5D00">
        <w:trPr>
          <w:trHeight w:val="283"/>
          <w:jc w:val="center"/>
        </w:trPr>
        <w:tc>
          <w:tcPr>
            <w:tcW w:w="577" w:type="pct"/>
            <w:vAlign w:val="center"/>
          </w:tcPr>
          <w:p w14:paraId="50E1EDDE" w14:textId="77777777" w:rsidR="001D5D00" w:rsidRPr="002C310E" w:rsidRDefault="001D5D00" w:rsidP="001D5D00">
            <w:pPr>
              <w:spacing w:after="0" w:line="240" w:lineRule="auto"/>
              <w:jc w:val="center"/>
              <w:rPr>
                <w:rFonts w:eastAsia="Times New Roman" w:cstheme="minorHAnsi"/>
                <w:b/>
                <w:color w:val="000000"/>
                <w:sz w:val="20"/>
                <w:szCs w:val="20"/>
                <w:lang w:eastAsia="cs-CZ"/>
              </w:rPr>
            </w:pPr>
            <w:r w:rsidRPr="002C310E">
              <w:rPr>
                <w:rFonts w:eastAsia="Times New Roman" w:cstheme="minorHAnsi"/>
                <w:b/>
                <w:color w:val="000000"/>
                <w:sz w:val="20"/>
                <w:szCs w:val="20"/>
                <w:lang w:eastAsia="cs-CZ"/>
              </w:rPr>
              <w:t>Celkem</w:t>
            </w:r>
          </w:p>
        </w:tc>
        <w:tc>
          <w:tcPr>
            <w:tcW w:w="1600" w:type="pct"/>
            <w:vAlign w:val="center"/>
          </w:tcPr>
          <w:p w14:paraId="066F2FA0" w14:textId="77777777" w:rsidR="001D5D00" w:rsidRPr="002C310E" w:rsidRDefault="001D5D00" w:rsidP="001D5D00">
            <w:pPr>
              <w:spacing w:after="0" w:line="240" w:lineRule="auto"/>
              <w:jc w:val="center"/>
              <w:rPr>
                <w:rFonts w:eastAsia="Times New Roman" w:cstheme="minorHAnsi"/>
                <w:color w:val="000000"/>
                <w:sz w:val="20"/>
                <w:szCs w:val="20"/>
                <w:lang w:eastAsia="cs-CZ"/>
              </w:rPr>
            </w:pPr>
          </w:p>
        </w:tc>
        <w:tc>
          <w:tcPr>
            <w:tcW w:w="1158" w:type="pct"/>
            <w:vAlign w:val="center"/>
          </w:tcPr>
          <w:p w14:paraId="7282B5A9" w14:textId="77777777" w:rsidR="001D5D00" w:rsidRPr="002C310E" w:rsidRDefault="001D5D00" w:rsidP="001D5D00">
            <w:pPr>
              <w:spacing w:after="0" w:line="240" w:lineRule="auto"/>
              <w:jc w:val="center"/>
              <w:rPr>
                <w:rFonts w:eastAsia="Times New Roman" w:cstheme="minorHAnsi"/>
                <w:color w:val="000000"/>
                <w:sz w:val="20"/>
                <w:szCs w:val="20"/>
                <w:lang w:eastAsia="cs-CZ"/>
              </w:rPr>
            </w:pPr>
          </w:p>
        </w:tc>
        <w:tc>
          <w:tcPr>
            <w:tcW w:w="579" w:type="pct"/>
            <w:vAlign w:val="center"/>
          </w:tcPr>
          <w:p w14:paraId="1B7FF880" w14:textId="77777777" w:rsidR="001D5D00" w:rsidRPr="002C310E" w:rsidRDefault="001D5D00" w:rsidP="001D5D00">
            <w:pPr>
              <w:spacing w:after="0" w:line="240" w:lineRule="auto"/>
              <w:ind w:right="232"/>
              <w:jc w:val="right"/>
              <w:rPr>
                <w:rFonts w:eastAsia="Times New Roman" w:cstheme="minorHAnsi"/>
                <w:b/>
                <w:bCs/>
                <w:color w:val="000000"/>
                <w:sz w:val="20"/>
                <w:szCs w:val="20"/>
                <w:lang w:eastAsia="cs-CZ"/>
              </w:rPr>
            </w:pPr>
            <w:r w:rsidRPr="002C310E">
              <w:rPr>
                <w:rFonts w:eastAsia="Times New Roman" w:cstheme="minorHAnsi"/>
                <w:b/>
                <w:bCs/>
                <w:color w:val="000000"/>
                <w:sz w:val="20"/>
                <w:szCs w:val="20"/>
                <w:lang w:eastAsia="cs-CZ"/>
              </w:rPr>
              <w:t>443 204</w:t>
            </w:r>
          </w:p>
        </w:tc>
        <w:tc>
          <w:tcPr>
            <w:tcW w:w="506" w:type="pct"/>
            <w:shd w:val="clear" w:color="auto" w:fill="auto"/>
            <w:vAlign w:val="center"/>
          </w:tcPr>
          <w:p w14:paraId="176D13C1" w14:textId="77777777" w:rsidR="001D5D00" w:rsidRPr="002C310E" w:rsidRDefault="001D5D00" w:rsidP="001D5D00">
            <w:pPr>
              <w:spacing w:after="0" w:line="240" w:lineRule="auto"/>
              <w:jc w:val="center"/>
              <w:rPr>
                <w:rFonts w:eastAsia="Times New Roman" w:cstheme="minorHAnsi"/>
                <w:b/>
                <w:color w:val="000000"/>
                <w:sz w:val="20"/>
                <w:szCs w:val="20"/>
                <w:lang w:eastAsia="cs-CZ"/>
              </w:rPr>
            </w:pPr>
          </w:p>
        </w:tc>
        <w:tc>
          <w:tcPr>
            <w:tcW w:w="579" w:type="pct"/>
            <w:shd w:val="clear" w:color="auto" w:fill="auto"/>
            <w:vAlign w:val="center"/>
          </w:tcPr>
          <w:p w14:paraId="4E9B9101" w14:textId="77777777" w:rsidR="001D5D00" w:rsidRPr="002C310E" w:rsidRDefault="001D5D00" w:rsidP="001D5D00">
            <w:pPr>
              <w:spacing w:after="0" w:line="240" w:lineRule="auto"/>
              <w:jc w:val="center"/>
              <w:rPr>
                <w:rFonts w:eastAsia="Times New Roman" w:cstheme="minorHAnsi"/>
                <w:b/>
                <w:color w:val="000000"/>
                <w:sz w:val="20"/>
                <w:szCs w:val="20"/>
                <w:lang w:eastAsia="cs-CZ"/>
              </w:rPr>
            </w:pPr>
          </w:p>
        </w:tc>
      </w:tr>
    </w:tbl>
    <w:p w14:paraId="1E33333D" w14:textId="1B2F42D0" w:rsidR="001D5D00" w:rsidRPr="002C310E" w:rsidRDefault="001D5D00" w:rsidP="006D3643">
      <w:pPr>
        <w:tabs>
          <w:tab w:val="left" w:pos="993"/>
        </w:tabs>
        <w:spacing w:before="40" w:after="0" w:line="240" w:lineRule="auto"/>
        <w:rPr>
          <w:rFonts w:cstheme="minorHAnsi"/>
          <w:sz w:val="20"/>
          <w:szCs w:val="20"/>
        </w:rPr>
      </w:pPr>
      <w:r w:rsidRPr="002C310E">
        <w:rPr>
          <w:rFonts w:cstheme="minorHAnsi"/>
          <w:sz w:val="20"/>
          <w:szCs w:val="20"/>
        </w:rPr>
        <w:t>*</w:t>
      </w:r>
      <w:r w:rsidR="00235C66">
        <w:rPr>
          <w:rFonts w:cstheme="minorHAnsi"/>
          <w:sz w:val="20"/>
          <w:szCs w:val="20"/>
        </w:rPr>
        <w:t xml:space="preserve"> </w:t>
      </w:r>
      <w:r w:rsidR="00B96B14">
        <w:rPr>
          <w:rFonts w:cstheme="minorHAnsi"/>
          <w:sz w:val="20"/>
          <w:szCs w:val="20"/>
        </w:rPr>
        <w:t>P</w:t>
      </w:r>
      <w:r w:rsidRPr="002C310E">
        <w:rPr>
          <w:rFonts w:cstheme="minorHAnsi"/>
          <w:sz w:val="20"/>
          <w:szCs w:val="20"/>
        </w:rPr>
        <w:t xml:space="preserve">rojekt je plně financován z fondu EU. Ostatní projekty jsou ze 75 % </w:t>
      </w:r>
      <w:r>
        <w:rPr>
          <w:rFonts w:cstheme="minorHAnsi"/>
          <w:sz w:val="20"/>
          <w:szCs w:val="20"/>
        </w:rPr>
        <w:t>spolu</w:t>
      </w:r>
      <w:r w:rsidRPr="002C310E">
        <w:rPr>
          <w:rFonts w:cstheme="minorHAnsi"/>
          <w:sz w:val="20"/>
          <w:szCs w:val="20"/>
        </w:rPr>
        <w:t xml:space="preserve">financovány z fondů EU. </w:t>
      </w:r>
    </w:p>
    <w:p w14:paraId="26CE60E7" w14:textId="77777777" w:rsidR="006D3643" w:rsidRDefault="001D5D00" w:rsidP="00235C66">
      <w:pPr>
        <w:tabs>
          <w:tab w:val="left" w:pos="993"/>
        </w:tabs>
        <w:spacing w:after="0" w:line="240" w:lineRule="auto"/>
        <w:rPr>
          <w:rFonts w:cstheme="minorHAnsi"/>
          <w:b/>
          <w:sz w:val="20"/>
          <w:szCs w:val="20"/>
        </w:rPr>
      </w:pPr>
      <w:r w:rsidRPr="002C310E">
        <w:rPr>
          <w:rFonts w:cstheme="minorHAnsi"/>
          <w:b/>
          <w:sz w:val="20"/>
          <w:szCs w:val="20"/>
        </w:rPr>
        <w:t>Stupně hodnocení:</w:t>
      </w:r>
    </w:p>
    <w:p w14:paraId="2D4160BC" w14:textId="5084296C" w:rsidR="001D5D00" w:rsidRPr="002C310E" w:rsidRDefault="001D5D00" w:rsidP="00235C66">
      <w:pPr>
        <w:tabs>
          <w:tab w:val="left" w:pos="993"/>
        </w:tabs>
        <w:spacing w:after="0" w:line="240" w:lineRule="auto"/>
        <w:rPr>
          <w:rFonts w:cstheme="minorHAnsi"/>
          <w:sz w:val="20"/>
          <w:szCs w:val="20"/>
        </w:rPr>
      </w:pPr>
      <w:r w:rsidRPr="002C310E">
        <w:rPr>
          <w:rFonts w:cstheme="minorHAnsi"/>
          <w:sz w:val="20"/>
          <w:szCs w:val="20"/>
        </w:rPr>
        <w:t>1 – Projekt je účelný, resp. efektivní.</w:t>
      </w:r>
    </w:p>
    <w:p w14:paraId="4028E144" w14:textId="09EE9336" w:rsidR="001D5D00" w:rsidRPr="002C310E" w:rsidRDefault="001D5D00" w:rsidP="00235C66">
      <w:pPr>
        <w:spacing w:after="0" w:line="240" w:lineRule="auto"/>
        <w:rPr>
          <w:rFonts w:cstheme="minorHAnsi"/>
          <w:sz w:val="20"/>
          <w:szCs w:val="20"/>
        </w:rPr>
      </w:pPr>
      <w:r w:rsidRPr="002C310E">
        <w:rPr>
          <w:rFonts w:cstheme="minorHAnsi"/>
          <w:sz w:val="20"/>
          <w:szCs w:val="20"/>
        </w:rPr>
        <w:t>2 – Projekt je účelný, resp. efektivní s mírnými nedostatky.</w:t>
      </w:r>
    </w:p>
    <w:p w14:paraId="7B56C6CA" w14:textId="355EF90B" w:rsidR="001D5D00" w:rsidRPr="002C310E" w:rsidRDefault="001D5D00" w:rsidP="00235C66">
      <w:pPr>
        <w:tabs>
          <w:tab w:val="left" w:pos="993"/>
        </w:tabs>
        <w:spacing w:after="0" w:line="240" w:lineRule="auto"/>
        <w:rPr>
          <w:rFonts w:cstheme="minorHAnsi"/>
          <w:sz w:val="20"/>
          <w:szCs w:val="20"/>
        </w:rPr>
      </w:pPr>
      <w:r w:rsidRPr="002C310E">
        <w:rPr>
          <w:rFonts w:cstheme="minorHAnsi"/>
          <w:sz w:val="20"/>
          <w:szCs w:val="20"/>
        </w:rPr>
        <w:t>3 – Projekt je účelný, resp. efektivní omezeně.</w:t>
      </w:r>
    </w:p>
    <w:p w14:paraId="4B153276" w14:textId="1EB9CEB1" w:rsidR="001D5D00" w:rsidRPr="002C310E" w:rsidRDefault="001D5D00" w:rsidP="00235C66">
      <w:pPr>
        <w:tabs>
          <w:tab w:val="left" w:pos="993"/>
        </w:tabs>
        <w:spacing w:after="0" w:line="240" w:lineRule="auto"/>
        <w:rPr>
          <w:rFonts w:cstheme="minorHAnsi"/>
          <w:sz w:val="20"/>
          <w:szCs w:val="20"/>
        </w:rPr>
      </w:pPr>
      <w:r w:rsidRPr="002C310E">
        <w:rPr>
          <w:rFonts w:cstheme="minorHAnsi"/>
          <w:sz w:val="20"/>
          <w:szCs w:val="20"/>
        </w:rPr>
        <w:t>4 – Projekt je neúčelný, resp. neefektivní.</w:t>
      </w:r>
    </w:p>
    <w:p w14:paraId="073DB51C" w14:textId="3DF6D03B" w:rsidR="001D5D00" w:rsidRPr="002C310E" w:rsidRDefault="001D5D00" w:rsidP="00235C66">
      <w:pPr>
        <w:tabs>
          <w:tab w:val="left" w:pos="993"/>
        </w:tabs>
        <w:spacing w:after="0" w:line="240" w:lineRule="auto"/>
        <w:rPr>
          <w:rFonts w:cstheme="minorHAnsi"/>
          <w:sz w:val="20"/>
          <w:szCs w:val="20"/>
        </w:rPr>
      </w:pPr>
      <w:r w:rsidRPr="002C310E">
        <w:rPr>
          <w:rFonts w:cstheme="minorHAnsi"/>
          <w:sz w:val="20"/>
          <w:szCs w:val="20"/>
        </w:rPr>
        <w:t>X – Projekt nebyl hod</w:t>
      </w:r>
      <w:r>
        <w:rPr>
          <w:rFonts w:cstheme="minorHAnsi"/>
          <w:sz w:val="20"/>
          <w:szCs w:val="20"/>
        </w:rPr>
        <w:t>n</w:t>
      </w:r>
      <w:r w:rsidRPr="002C310E">
        <w:rPr>
          <w:rFonts w:cstheme="minorHAnsi"/>
          <w:sz w:val="20"/>
          <w:szCs w:val="20"/>
        </w:rPr>
        <w:t>ocen z důvodu neukončené realizace.</w:t>
      </w:r>
    </w:p>
    <w:p w14:paraId="0917ECD3" w14:textId="77777777" w:rsidR="001D5D00" w:rsidRDefault="001D5D00">
      <w:pPr>
        <w:rPr>
          <w:rFonts w:eastAsiaTheme="majorEastAsia" w:cstheme="minorHAnsi"/>
          <w:b/>
          <w:sz w:val="24"/>
          <w:szCs w:val="24"/>
        </w:rPr>
      </w:pPr>
      <w:r>
        <w:rPr>
          <w:rFonts w:cstheme="minorHAnsi"/>
          <w:b/>
          <w:sz w:val="24"/>
          <w:szCs w:val="24"/>
        </w:rPr>
        <w:br w:type="page"/>
      </w:r>
    </w:p>
    <w:p w14:paraId="01742FF3" w14:textId="0020E5AE" w:rsidR="009458B7" w:rsidRPr="002C310E" w:rsidRDefault="00F04DCF" w:rsidP="00871A8B">
      <w:pPr>
        <w:pStyle w:val="Nadpis1"/>
        <w:spacing w:before="0" w:after="120" w:line="240" w:lineRule="auto"/>
        <w:jc w:val="right"/>
        <w:rPr>
          <w:rFonts w:asciiTheme="minorHAnsi" w:hAnsiTheme="minorHAnsi" w:cstheme="minorHAnsi"/>
          <w:b/>
          <w:color w:val="auto"/>
          <w:sz w:val="24"/>
          <w:szCs w:val="24"/>
        </w:rPr>
      </w:pPr>
      <w:r w:rsidRPr="002C310E">
        <w:rPr>
          <w:rFonts w:asciiTheme="minorHAnsi" w:hAnsiTheme="minorHAnsi" w:cstheme="minorHAnsi"/>
          <w:b/>
          <w:color w:val="auto"/>
          <w:sz w:val="24"/>
          <w:szCs w:val="24"/>
        </w:rPr>
        <w:lastRenderedPageBreak/>
        <w:t>Příloha č. 4</w:t>
      </w:r>
    </w:p>
    <w:p w14:paraId="61603FD0" w14:textId="77777777" w:rsidR="009458B7" w:rsidRPr="002C310E" w:rsidRDefault="00F04DCF" w:rsidP="00AF2905">
      <w:pPr>
        <w:spacing w:after="120" w:line="240" w:lineRule="auto"/>
        <w:jc w:val="center"/>
        <w:rPr>
          <w:rFonts w:eastAsia="Arial" w:cstheme="minorHAnsi"/>
          <w:b/>
          <w:color w:val="000000" w:themeColor="text1"/>
          <w:sz w:val="24"/>
          <w:szCs w:val="20"/>
        </w:rPr>
      </w:pPr>
      <w:r>
        <w:rPr>
          <w:rFonts w:eastAsia="Arial" w:cstheme="minorHAnsi"/>
          <w:b/>
          <w:color w:val="000000" w:themeColor="text1"/>
          <w:sz w:val="24"/>
          <w:szCs w:val="20"/>
        </w:rPr>
        <w:t xml:space="preserve">Kritéria </w:t>
      </w:r>
      <w:r w:rsidRPr="002C310E">
        <w:rPr>
          <w:rFonts w:eastAsia="Arial" w:cstheme="minorHAnsi"/>
          <w:b/>
          <w:color w:val="000000" w:themeColor="text1"/>
          <w:sz w:val="24"/>
          <w:szCs w:val="20"/>
        </w:rPr>
        <w:t xml:space="preserve">hodnocení účelnosti, efektivnosti a hospodárnosti projektů </w:t>
      </w:r>
      <w:r>
        <w:rPr>
          <w:rFonts w:eastAsia="Arial" w:cstheme="minorHAnsi"/>
          <w:b/>
          <w:color w:val="000000" w:themeColor="text1"/>
          <w:sz w:val="24"/>
          <w:szCs w:val="20"/>
        </w:rPr>
        <w:t xml:space="preserve">NP </w:t>
      </w:r>
      <w:r w:rsidR="00871A8B">
        <w:rPr>
          <w:rFonts w:eastAsia="Arial" w:cstheme="minorHAnsi"/>
          <w:b/>
          <w:color w:val="000000" w:themeColor="text1"/>
          <w:sz w:val="24"/>
          <w:szCs w:val="20"/>
        </w:rPr>
        <w:t xml:space="preserve">ISF a </w:t>
      </w:r>
      <w:r>
        <w:rPr>
          <w:rFonts w:eastAsia="Arial" w:cstheme="minorHAnsi"/>
          <w:b/>
          <w:color w:val="000000" w:themeColor="text1"/>
          <w:sz w:val="24"/>
          <w:szCs w:val="20"/>
        </w:rPr>
        <w:t xml:space="preserve">NP </w:t>
      </w:r>
      <w:r w:rsidR="00871A8B">
        <w:rPr>
          <w:rFonts w:eastAsia="Arial" w:cstheme="minorHAnsi"/>
          <w:b/>
          <w:color w:val="000000" w:themeColor="text1"/>
          <w:sz w:val="24"/>
          <w:szCs w:val="20"/>
        </w:rPr>
        <w:t>AMIF</w:t>
      </w:r>
    </w:p>
    <w:p w14:paraId="447CF3CB" w14:textId="77777777" w:rsidR="009458B7" w:rsidRPr="002C310E" w:rsidRDefault="00F04DCF" w:rsidP="006D3643">
      <w:pPr>
        <w:keepNext/>
        <w:spacing w:after="40" w:line="240" w:lineRule="auto"/>
        <w:rPr>
          <w:rFonts w:cstheme="minorHAnsi"/>
          <w:b/>
          <w:sz w:val="24"/>
        </w:rPr>
      </w:pPr>
      <w:r w:rsidRPr="002C310E">
        <w:rPr>
          <w:rFonts w:cstheme="minorHAnsi"/>
          <w:b/>
          <w:sz w:val="24"/>
        </w:rPr>
        <w:t>1. Vyhodnocení účelnosti</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5953"/>
      </w:tblGrid>
      <w:tr w:rsidR="00C72C9E" w14:paraId="007825B5" w14:textId="77777777" w:rsidTr="00AF2426">
        <w:trPr>
          <w:trHeight w:val="660"/>
          <w:jc w:val="center"/>
        </w:trPr>
        <w:tc>
          <w:tcPr>
            <w:tcW w:w="3118" w:type="dxa"/>
            <w:vAlign w:val="center"/>
            <w:hideMark/>
          </w:tcPr>
          <w:p w14:paraId="08A180E6" w14:textId="77777777" w:rsidR="009458B7" w:rsidRPr="002C310E" w:rsidRDefault="00F04DCF" w:rsidP="002E3D7A">
            <w:pPr>
              <w:spacing w:after="0" w:line="240" w:lineRule="auto"/>
              <w:jc w:val="center"/>
              <w:rPr>
                <w:rFonts w:cstheme="minorHAnsi"/>
                <w:b/>
                <w:sz w:val="20"/>
                <w:szCs w:val="20"/>
              </w:rPr>
            </w:pPr>
            <w:r w:rsidRPr="002C310E">
              <w:rPr>
                <w:rFonts w:cstheme="minorHAnsi"/>
                <w:b/>
                <w:sz w:val="20"/>
                <w:szCs w:val="20"/>
              </w:rPr>
              <w:t>Stupeň účelnosti projektu</w:t>
            </w:r>
          </w:p>
        </w:tc>
        <w:tc>
          <w:tcPr>
            <w:tcW w:w="5953" w:type="dxa"/>
            <w:vAlign w:val="center"/>
          </w:tcPr>
          <w:p w14:paraId="36DABC57" w14:textId="77777777" w:rsidR="009458B7" w:rsidRPr="002C310E" w:rsidRDefault="00F04DCF" w:rsidP="002E3D7A">
            <w:pPr>
              <w:spacing w:after="0" w:line="240" w:lineRule="auto"/>
              <w:jc w:val="center"/>
              <w:rPr>
                <w:rFonts w:cstheme="minorHAnsi"/>
                <w:b/>
                <w:sz w:val="20"/>
                <w:szCs w:val="20"/>
              </w:rPr>
            </w:pPr>
            <w:r w:rsidRPr="002C310E">
              <w:rPr>
                <w:rFonts w:cstheme="minorHAnsi"/>
                <w:b/>
                <w:sz w:val="20"/>
                <w:szCs w:val="20"/>
              </w:rPr>
              <w:t>Definice stupně účelnosti</w:t>
            </w:r>
          </w:p>
        </w:tc>
      </w:tr>
      <w:tr w:rsidR="00C72C9E" w14:paraId="414C0298" w14:textId="77777777" w:rsidTr="00AF2426">
        <w:trPr>
          <w:jc w:val="center"/>
        </w:trPr>
        <w:tc>
          <w:tcPr>
            <w:tcW w:w="3118" w:type="dxa"/>
            <w:vAlign w:val="center"/>
            <w:hideMark/>
          </w:tcPr>
          <w:p w14:paraId="1C4B4AE7" w14:textId="77777777" w:rsidR="009458B7" w:rsidRPr="002C310E" w:rsidRDefault="00F04DCF" w:rsidP="002E3D7A">
            <w:pPr>
              <w:spacing w:after="0" w:line="240" w:lineRule="auto"/>
              <w:jc w:val="center"/>
              <w:rPr>
                <w:rFonts w:cstheme="minorHAnsi"/>
                <w:b/>
                <w:sz w:val="20"/>
                <w:szCs w:val="20"/>
              </w:rPr>
            </w:pPr>
            <w:r w:rsidRPr="002C310E">
              <w:rPr>
                <w:rFonts w:cstheme="minorHAnsi"/>
                <w:b/>
                <w:sz w:val="20"/>
                <w:szCs w:val="20"/>
              </w:rPr>
              <w:t>1.</w:t>
            </w:r>
          </w:p>
          <w:p w14:paraId="0F85319A" w14:textId="77777777" w:rsidR="009458B7" w:rsidRPr="002C310E" w:rsidRDefault="00F04DCF" w:rsidP="002E3D7A">
            <w:pPr>
              <w:spacing w:after="0" w:line="240" w:lineRule="auto"/>
              <w:jc w:val="center"/>
              <w:rPr>
                <w:rFonts w:cstheme="minorHAnsi"/>
                <w:b/>
                <w:sz w:val="20"/>
                <w:szCs w:val="20"/>
              </w:rPr>
            </w:pPr>
            <w:r w:rsidRPr="002C310E">
              <w:rPr>
                <w:rFonts w:cstheme="minorHAnsi"/>
                <w:b/>
                <w:sz w:val="20"/>
                <w:szCs w:val="20"/>
              </w:rPr>
              <w:t>Projekt je účelný</w:t>
            </w:r>
          </w:p>
        </w:tc>
        <w:tc>
          <w:tcPr>
            <w:tcW w:w="5953" w:type="dxa"/>
          </w:tcPr>
          <w:p w14:paraId="03CC89F9" w14:textId="77777777" w:rsidR="009458B7" w:rsidRPr="002C310E" w:rsidRDefault="00F04DCF" w:rsidP="002E3D7A">
            <w:pPr>
              <w:spacing w:after="0" w:line="240" w:lineRule="auto"/>
              <w:jc w:val="both"/>
              <w:rPr>
                <w:rFonts w:eastAsia="Calibri" w:cstheme="minorHAnsi"/>
                <w:sz w:val="20"/>
                <w:szCs w:val="20"/>
                <w:lang w:eastAsia="zh-TW"/>
              </w:rPr>
            </w:pPr>
            <w:r w:rsidRPr="00871A8B">
              <w:rPr>
                <w:rFonts w:eastAsia="Calibri" w:cstheme="minorHAnsi"/>
                <w:color w:val="000000"/>
                <w:sz w:val="20"/>
                <w:szCs w:val="20"/>
                <w:lang w:eastAsia="zh-TW"/>
              </w:rPr>
              <w:t>Projekt byl řádně realizován a jeho realizací bylo dosaženo stanovený</w:t>
            </w:r>
            <w:r w:rsidRPr="00510093">
              <w:rPr>
                <w:rFonts w:eastAsia="Calibri" w:cstheme="minorHAnsi"/>
                <w:color w:val="000000" w:themeColor="text1"/>
                <w:sz w:val="20"/>
                <w:szCs w:val="20"/>
                <w:lang w:eastAsia="zh-TW"/>
              </w:rPr>
              <w:t xml:space="preserve">ch </w:t>
            </w:r>
            <w:r w:rsidRPr="00871A8B">
              <w:rPr>
                <w:rFonts w:eastAsia="Calibri" w:cstheme="minorHAnsi"/>
                <w:color w:val="000000"/>
                <w:sz w:val="20"/>
                <w:szCs w:val="20"/>
                <w:lang w:eastAsia="zh-TW"/>
              </w:rPr>
              <w:t>výstupů a cílů.</w:t>
            </w:r>
            <w:r w:rsidRPr="002C310E">
              <w:rPr>
                <w:rFonts w:eastAsia="Calibri" w:cstheme="minorHAnsi"/>
                <w:color w:val="000000"/>
                <w:sz w:val="20"/>
                <w:szCs w:val="20"/>
                <w:lang w:eastAsia="zh-TW"/>
              </w:rPr>
              <w:t xml:space="preserve"> Je předpoklad, že realizace projektu znamenala skutečný přínos pro příslušnou oblast migrační politiky. </w:t>
            </w:r>
            <w:r w:rsidRPr="002C310E">
              <w:rPr>
                <w:rFonts w:eastAsia="Calibri" w:cstheme="minorHAnsi"/>
                <w:sz w:val="20"/>
                <w:szCs w:val="20"/>
                <w:lang w:eastAsia="zh-TW"/>
              </w:rPr>
              <w:t xml:space="preserve">Projekt byl úspěšný, protože cíle projektu jsou nastaveny ve prospěch správné cílové skupiny a vede (nebo má předpoklad vést) k plnění cílů programu (projekt vedl k účinné integraci cizince/azylanta do společnosti apod.). </w:t>
            </w:r>
          </w:p>
          <w:p w14:paraId="58D5C6F2" w14:textId="27BBB641" w:rsidR="009458B7" w:rsidRPr="002C310E" w:rsidRDefault="00F04DCF" w:rsidP="002E3D7A">
            <w:pPr>
              <w:spacing w:after="0" w:line="240" w:lineRule="auto"/>
              <w:jc w:val="both"/>
              <w:rPr>
                <w:rFonts w:eastAsia="Calibri" w:cstheme="minorHAnsi"/>
                <w:sz w:val="20"/>
                <w:szCs w:val="20"/>
                <w:lang w:eastAsia="zh-TW"/>
              </w:rPr>
            </w:pPr>
            <w:r w:rsidRPr="002C310E">
              <w:rPr>
                <w:rFonts w:eastAsia="Calibri" w:cstheme="minorHAnsi"/>
                <w:sz w:val="20"/>
                <w:szCs w:val="20"/>
                <w:lang w:eastAsia="zh-TW"/>
              </w:rPr>
              <w:t xml:space="preserve">Cíle (nejen monitorovací </w:t>
            </w:r>
            <w:r w:rsidR="00017F62">
              <w:rPr>
                <w:rFonts w:eastAsia="Calibri" w:cstheme="minorHAnsi"/>
                <w:sz w:val="20"/>
                <w:szCs w:val="20"/>
                <w:lang w:eastAsia="zh-TW"/>
              </w:rPr>
              <w:t>ukazatele</w:t>
            </w:r>
            <w:r w:rsidRPr="002C310E">
              <w:rPr>
                <w:rFonts w:eastAsia="Calibri" w:cstheme="minorHAnsi"/>
                <w:sz w:val="20"/>
                <w:szCs w:val="20"/>
                <w:lang w:eastAsia="zh-TW"/>
              </w:rPr>
              <w:t>) jsou měřitelné, jejich plnění je možno ověřit a poskytovatel má zpětnou vazbu</w:t>
            </w:r>
            <w:r w:rsidR="00904335">
              <w:rPr>
                <w:rFonts w:eastAsia="Calibri" w:cstheme="minorHAnsi"/>
                <w:sz w:val="20"/>
                <w:szCs w:val="20"/>
                <w:lang w:eastAsia="zh-TW"/>
              </w:rPr>
              <w:t xml:space="preserve"> o tom</w:t>
            </w:r>
            <w:r w:rsidRPr="002C310E">
              <w:rPr>
                <w:rFonts w:eastAsia="Calibri" w:cstheme="minorHAnsi"/>
                <w:sz w:val="20"/>
                <w:szCs w:val="20"/>
                <w:lang w:eastAsia="zh-TW"/>
              </w:rPr>
              <w:t>, zda byl projekt úspěšný.</w:t>
            </w:r>
          </w:p>
          <w:p w14:paraId="1C3E1DED" w14:textId="17AFF6BC" w:rsidR="009458B7" w:rsidRPr="002C310E" w:rsidRDefault="00F04DCF" w:rsidP="002E3D7A">
            <w:pPr>
              <w:spacing w:after="0" w:line="240" w:lineRule="auto"/>
              <w:jc w:val="both"/>
              <w:rPr>
                <w:rFonts w:eastAsia="Calibri" w:cstheme="minorHAnsi"/>
                <w:color w:val="000000"/>
                <w:sz w:val="20"/>
                <w:szCs w:val="20"/>
                <w:lang w:eastAsia="zh-TW"/>
              </w:rPr>
            </w:pPr>
            <w:r w:rsidRPr="002C310E">
              <w:rPr>
                <w:rFonts w:eastAsia="Calibri" w:cstheme="minorHAnsi"/>
                <w:color w:val="000000"/>
                <w:sz w:val="20"/>
                <w:szCs w:val="20"/>
                <w:lang w:eastAsia="zh-TW"/>
              </w:rPr>
              <w:t>Byly naplněny dílčí cíle a klíčové aktivity dle harmonogramu projektu a</w:t>
            </w:r>
            <w:r w:rsidR="00510093">
              <w:rPr>
                <w:rFonts w:eastAsia="Calibri" w:cstheme="minorHAnsi"/>
                <w:color w:val="000000"/>
                <w:sz w:val="20"/>
                <w:szCs w:val="20"/>
                <w:lang w:eastAsia="zh-TW"/>
              </w:rPr>
              <w:t> </w:t>
            </w:r>
            <w:r w:rsidRPr="002C310E">
              <w:rPr>
                <w:rFonts w:eastAsia="Calibri" w:cstheme="minorHAnsi"/>
                <w:color w:val="000000"/>
                <w:sz w:val="20"/>
                <w:szCs w:val="20"/>
                <w:lang w:eastAsia="zh-TW"/>
              </w:rPr>
              <w:t>lze konstatovat očekávaný přínos projektu pro plnění obecných cílů programu (příslušná část 3. NP AMIF a NP ISF).</w:t>
            </w:r>
          </w:p>
          <w:p w14:paraId="160ECD64" w14:textId="77777777" w:rsidR="009458B7" w:rsidRPr="002C310E" w:rsidRDefault="00F04DCF" w:rsidP="002E3D7A">
            <w:pPr>
              <w:spacing w:after="0" w:line="240" w:lineRule="auto"/>
              <w:jc w:val="both"/>
              <w:rPr>
                <w:rFonts w:eastAsia="Calibri" w:cstheme="minorHAnsi"/>
                <w:sz w:val="20"/>
                <w:szCs w:val="20"/>
                <w:lang w:eastAsia="zh-TW"/>
              </w:rPr>
            </w:pPr>
            <w:r w:rsidRPr="002C310E">
              <w:rPr>
                <w:rFonts w:eastAsia="Calibri" w:cstheme="minorHAnsi"/>
                <w:color w:val="000000"/>
                <w:sz w:val="20"/>
                <w:szCs w:val="20"/>
                <w:lang w:eastAsia="zh-TW"/>
              </w:rPr>
              <w:t xml:space="preserve">Standardně se jedná o dosažení 100 % stanovených dílčích cílů a jejich klíčových aktivit. Nicméně je třeba brát v úvahu relativní důležitost stanoveného cíle a klíčových aktivit dílčího cíle, </w:t>
            </w:r>
            <w:r w:rsidRPr="002C310E">
              <w:rPr>
                <w:rFonts w:eastAsia="Calibri" w:cstheme="minorHAnsi"/>
                <w:sz w:val="20"/>
                <w:szCs w:val="20"/>
                <w:lang w:eastAsia="zh-TW"/>
              </w:rPr>
              <w:t xml:space="preserve">např. některá z klíčových aktivit nebyla splněna, aniž by to však mělo vliv na úspěšnost projektu. Lze vyhodnotit jako „projekt naplnil stanovené dílčí cíle“ (přitom je nutno brát v úvahu počet stanovených klíčových aktivit). </w:t>
            </w:r>
          </w:p>
          <w:p w14:paraId="50EA22F5" w14:textId="4CD7D0D8" w:rsidR="009458B7" w:rsidRPr="002C310E" w:rsidRDefault="00F04DCF" w:rsidP="00B96B14">
            <w:pPr>
              <w:spacing w:after="0" w:line="240" w:lineRule="auto"/>
              <w:jc w:val="both"/>
              <w:rPr>
                <w:rFonts w:cstheme="minorHAnsi"/>
                <w:color w:val="000000" w:themeColor="text1"/>
                <w:sz w:val="20"/>
                <w:szCs w:val="20"/>
                <w:highlight w:val="yellow"/>
              </w:rPr>
            </w:pPr>
            <w:r w:rsidRPr="002C310E">
              <w:rPr>
                <w:rFonts w:eastAsia="Calibri" w:cstheme="minorHAnsi"/>
                <w:sz w:val="20"/>
                <w:szCs w:val="20"/>
                <w:lang w:eastAsia="zh-TW"/>
              </w:rPr>
              <w:t>U investičních akcí je dále nutno ověřit, zda jsou výstupy projektu využívány ke stanovenému účelu (např. všechna pořízená vozidla jsou využívána k řešení migrační politiky nebo zrekonstruované ubytovací zařízení je využíváno cílovou skupinou).</w:t>
            </w:r>
          </w:p>
        </w:tc>
      </w:tr>
      <w:tr w:rsidR="00C72C9E" w14:paraId="2E8BD851" w14:textId="77777777" w:rsidTr="00AF2426">
        <w:trPr>
          <w:trHeight w:val="1542"/>
          <w:jc w:val="center"/>
        </w:trPr>
        <w:tc>
          <w:tcPr>
            <w:tcW w:w="3118" w:type="dxa"/>
            <w:vAlign w:val="center"/>
            <w:hideMark/>
          </w:tcPr>
          <w:p w14:paraId="1C0C6926" w14:textId="77777777" w:rsidR="009458B7" w:rsidRPr="002C310E" w:rsidRDefault="00F04DCF" w:rsidP="002E3D7A">
            <w:pPr>
              <w:spacing w:after="0" w:line="240" w:lineRule="auto"/>
              <w:jc w:val="center"/>
              <w:rPr>
                <w:rFonts w:cstheme="minorHAnsi"/>
                <w:b/>
                <w:sz w:val="20"/>
                <w:szCs w:val="20"/>
              </w:rPr>
            </w:pPr>
            <w:r w:rsidRPr="002C310E">
              <w:rPr>
                <w:rFonts w:cstheme="minorHAnsi"/>
                <w:b/>
                <w:sz w:val="20"/>
                <w:szCs w:val="20"/>
              </w:rPr>
              <w:t>2.</w:t>
            </w:r>
          </w:p>
          <w:p w14:paraId="232A87CF" w14:textId="77777777" w:rsidR="009458B7" w:rsidRPr="002C310E" w:rsidRDefault="00F04DCF" w:rsidP="002E3D7A">
            <w:pPr>
              <w:spacing w:after="0" w:line="240" w:lineRule="auto"/>
              <w:jc w:val="center"/>
              <w:rPr>
                <w:rFonts w:cstheme="minorHAnsi"/>
                <w:b/>
                <w:sz w:val="20"/>
                <w:szCs w:val="20"/>
              </w:rPr>
            </w:pPr>
            <w:r w:rsidRPr="002C310E">
              <w:rPr>
                <w:rFonts w:cstheme="minorHAnsi"/>
                <w:b/>
                <w:sz w:val="20"/>
                <w:szCs w:val="20"/>
              </w:rPr>
              <w:t>Projekt je účelný s mírnými nedostatky</w:t>
            </w:r>
          </w:p>
        </w:tc>
        <w:tc>
          <w:tcPr>
            <w:tcW w:w="5953" w:type="dxa"/>
            <w:vAlign w:val="center"/>
            <w:hideMark/>
          </w:tcPr>
          <w:p w14:paraId="31A8E219" w14:textId="2D25B4FD" w:rsidR="009458B7" w:rsidRPr="002C310E" w:rsidRDefault="00B96B14" w:rsidP="002E3D7A">
            <w:pPr>
              <w:spacing w:after="0" w:line="240" w:lineRule="auto"/>
              <w:jc w:val="both"/>
              <w:rPr>
                <w:rFonts w:cstheme="minorHAnsi"/>
                <w:sz w:val="20"/>
                <w:szCs w:val="20"/>
              </w:rPr>
            </w:pPr>
            <w:r>
              <w:rPr>
                <w:rFonts w:cstheme="minorHAnsi"/>
                <w:sz w:val="20"/>
                <w:szCs w:val="20"/>
              </w:rPr>
              <w:t>Téměř všechny s</w:t>
            </w:r>
            <w:r w:rsidR="00F04DCF" w:rsidRPr="002C310E">
              <w:rPr>
                <w:rFonts w:cstheme="minorHAnsi"/>
                <w:sz w:val="20"/>
                <w:szCs w:val="20"/>
              </w:rPr>
              <w:t xml:space="preserve">tanovené dílčí cíle a klíčové aktivity byly splněny. Nesplnění některých dílčích cílů/klíčových aktivit nemá podstatný vliv na úspěšnost projektu. </w:t>
            </w:r>
          </w:p>
          <w:p w14:paraId="36F6A104" w14:textId="77777777" w:rsidR="009458B7" w:rsidRPr="002C310E" w:rsidRDefault="00F04DCF" w:rsidP="002E3D7A">
            <w:pPr>
              <w:spacing w:after="0" w:line="240" w:lineRule="auto"/>
              <w:jc w:val="both"/>
              <w:rPr>
                <w:rFonts w:cstheme="minorHAnsi"/>
                <w:sz w:val="20"/>
                <w:szCs w:val="20"/>
                <w:highlight w:val="yellow"/>
              </w:rPr>
            </w:pPr>
            <w:r w:rsidRPr="002C310E">
              <w:rPr>
                <w:rFonts w:cstheme="minorHAnsi"/>
                <w:sz w:val="20"/>
                <w:szCs w:val="20"/>
              </w:rPr>
              <w:t>Výstupy investičních projektů jsou z větší části využívány ke stanovenému účelu.</w:t>
            </w:r>
          </w:p>
        </w:tc>
      </w:tr>
      <w:tr w:rsidR="00C72C9E" w14:paraId="2BC13E25" w14:textId="77777777" w:rsidTr="00AF2426">
        <w:trPr>
          <w:jc w:val="center"/>
        </w:trPr>
        <w:tc>
          <w:tcPr>
            <w:tcW w:w="3118" w:type="dxa"/>
            <w:vAlign w:val="center"/>
            <w:hideMark/>
          </w:tcPr>
          <w:p w14:paraId="45F6684D" w14:textId="77777777" w:rsidR="009458B7" w:rsidRPr="002C310E" w:rsidRDefault="00F04DCF" w:rsidP="002E3D7A">
            <w:pPr>
              <w:spacing w:after="0" w:line="240" w:lineRule="auto"/>
              <w:jc w:val="center"/>
              <w:rPr>
                <w:rFonts w:cstheme="minorHAnsi"/>
                <w:b/>
                <w:sz w:val="20"/>
                <w:szCs w:val="20"/>
              </w:rPr>
            </w:pPr>
            <w:r w:rsidRPr="002C310E">
              <w:rPr>
                <w:rFonts w:cstheme="minorHAnsi"/>
                <w:b/>
                <w:sz w:val="20"/>
                <w:szCs w:val="20"/>
              </w:rPr>
              <w:t>3.</w:t>
            </w:r>
          </w:p>
          <w:p w14:paraId="190C39C0" w14:textId="77777777" w:rsidR="009458B7" w:rsidRPr="002C310E" w:rsidRDefault="00F04DCF" w:rsidP="002E3D7A">
            <w:pPr>
              <w:spacing w:after="0" w:line="240" w:lineRule="auto"/>
              <w:jc w:val="center"/>
              <w:rPr>
                <w:rFonts w:cstheme="minorHAnsi"/>
                <w:b/>
                <w:sz w:val="20"/>
                <w:szCs w:val="20"/>
              </w:rPr>
            </w:pPr>
            <w:r w:rsidRPr="002C310E">
              <w:rPr>
                <w:rFonts w:cstheme="minorHAnsi"/>
                <w:b/>
                <w:sz w:val="20"/>
                <w:szCs w:val="20"/>
              </w:rPr>
              <w:t>Projekt je účelný pouze omezeně</w:t>
            </w:r>
          </w:p>
        </w:tc>
        <w:tc>
          <w:tcPr>
            <w:tcW w:w="5953" w:type="dxa"/>
            <w:hideMark/>
          </w:tcPr>
          <w:p w14:paraId="0510442F" w14:textId="1A9D1039" w:rsidR="009458B7" w:rsidRPr="002C310E" w:rsidRDefault="00F04DCF" w:rsidP="002E3D7A">
            <w:pPr>
              <w:spacing w:after="0" w:line="240" w:lineRule="auto"/>
              <w:jc w:val="both"/>
              <w:rPr>
                <w:rFonts w:cstheme="minorHAnsi"/>
                <w:sz w:val="20"/>
                <w:szCs w:val="20"/>
              </w:rPr>
            </w:pPr>
            <w:r w:rsidRPr="002C310E">
              <w:rPr>
                <w:rFonts w:cstheme="minorHAnsi"/>
                <w:sz w:val="20"/>
                <w:szCs w:val="20"/>
              </w:rPr>
              <w:t>Stanovené dílčí cíle a klíčové aktivity byly splněny jen částečně. Počet splněných dílčích cílů/klíčových aktivit je tak významně nižší, než bylo stanoveno.</w:t>
            </w:r>
            <w:r w:rsidR="001C75CC">
              <w:rPr>
                <w:rFonts w:cstheme="minorHAnsi"/>
                <w:sz w:val="20"/>
                <w:szCs w:val="20"/>
              </w:rPr>
              <w:t xml:space="preserve"> </w:t>
            </w:r>
          </w:p>
          <w:p w14:paraId="5C1472D9" w14:textId="77777777" w:rsidR="009458B7" w:rsidRDefault="00F04DCF" w:rsidP="002E3D7A">
            <w:pPr>
              <w:spacing w:after="0" w:line="240" w:lineRule="auto"/>
              <w:jc w:val="both"/>
              <w:rPr>
                <w:rFonts w:cstheme="minorHAnsi"/>
                <w:sz w:val="20"/>
                <w:szCs w:val="20"/>
              </w:rPr>
            </w:pPr>
            <w:r w:rsidRPr="002C310E">
              <w:rPr>
                <w:rFonts w:cstheme="minorHAnsi"/>
                <w:sz w:val="20"/>
                <w:szCs w:val="20"/>
              </w:rPr>
              <w:t>Výstupy investičních projektů jsou využívány jen omezeně a zároveň neexistuje důvodný předpoklad významnějšího zlepšení v budoucnu.</w:t>
            </w:r>
          </w:p>
          <w:p w14:paraId="1786DC61" w14:textId="16842B08" w:rsidR="001C75CC" w:rsidRPr="002C310E" w:rsidRDefault="00FF4440" w:rsidP="00FF4440">
            <w:pPr>
              <w:spacing w:after="0" w:line="240" w:lineRule="auto"/>
              <w:jc w:val="both"/>
              <w:rPr>
                <w:rFonts w:cstheme="minorHAnsi"/>
                <w:color w:val="000000" w:themeColor="text1"/>
                <w:sz w:val="20"/>
                <w:szCs w:val="20"/>
                <w:highlight w:val="yellow"/>
              </w:rPr>
            </w:pPr>
            <w:r>
              <w:rPr>
                <w:rFonts w:cstheme="minorHAnsi"/>
                <w:sz w:val="20"/>
                <w:szCs w:val="20"/>
              </w:rPr>
              <w:t>Již na počátku realizace projektu b</w:t>
            </w:r>
            <w:r w:rsidR="001C75CC">
              <w:rPr>
                <w:rFonts w:cstheme="minorHAnsi"/>
                <w:sz w:val="20"/>
                <w:szCs w:val="20"/>
              </w:rPr>
              <w:t xml:space="preserve">ylo identifikováno významné riziko pro </w:t>
            </w:r>
            <w:r>
              <w:rPr>
                <w:rFonts w:cstheme="minorHAnsi"/>
                <w:sz w:val="20"/>
                <w:szCs w:val="20"/>
              </w:rPr>
              <w:t xml:space="preserve">naplnění stanovených cílů anebo nastavení cílů a ukazatelů nedává předpoklad pro jejich řádné vyhodnocení. </w:t>
            </w:r>
          </w:p>
        </w:tc>
      </w:tr>
      <w:tr w:rsidR="00C72C9E" w14:paraId="3B9611F2" w14:textId="77777777" w:rsidTr="00AF2426">
        <w:trPr>
          <w:trHeight w:val="1140"/>
          <w:jc w:val="center"/>
        </w:trPr>
        <w:tc>
          <w:tcPr>
            <w:tcW w:w="3118" w:type="dxa"/>
            <w:vAlign w:val="center"/>
            <w:hideMark/>
          </w:tcPr>
          <w:p w14:paraId="2F79E12B" w14:textId="77777777" w:rsidR="009458B7" w:rsidRPr="002C310E" w:rsidRDefault="00F04DCF" w:rsidP="002E3D7A">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4.</w:t>
            </w:r>
          </w:p>
          <w:p w14:paraId="71BFEC49" w14:textId="77777777" w:rsidR="009458B7" w:rsidRPr="002C310E" w:rsidRDefault="00F04DCF" w:rsidP="002E3D7A">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Projekt není účelný</w:t>
            </w:r>
          </w:p>
        </w:tc>
        <w:tc>
          <w:tcPr>
            <w:tcW w:w="5953" w:type="dxa"/>
            <w:hideMark/>
          </w:tcPr>
          <w:p w14:paraId="6AD8992A" w14:textId="77777777" w:rsidR="009458B7" w:rsidRPr="002C310E" w:rsidRDefault="00F04DCF" w:rsidP="002E3D7A">
            <w:pPr>
              <w:spacing w:after="0" w:line="240" w:lineRule="auto"/>
              <w:jc w:val="both"/>
              <w:rPr>
                <w:rFonts w:cstheme="minorHAnsi"/>
                <w:color w:val="000000" w:themeColor="text1"/>
                <w:sz w:val="20"/>
                <w:szCs w:val="20"/>
              </w:rPr>
            </w:pPr>
            <w:r w:rsidRPr="002C310E">
              <w:rPr>
                <w:rFonts w:cstheme="minorHAnsi"/>
                <w:color w:val="000000" w:themeColor="text1"/>
                <w:sz w:val="20"/>
                <w:szCs w:val="20"/>
              </w:rPr>
              <w:t xml:space="preserve">Stanovené dílčí cíle a klíčové aktivity nebyly naplněny, např. z důvodu jejich nereálnosti. Projekt nesplnil ani polovinu dílčích cílů/klíčových aktivit. </w:t>
            </w:r>
          </w:p>
          <w:p w14:paraId="1278C8C9" w14:textId="77777777" w:rsidR="009458B7" w:rsidRPr="002C310E" w:rsidRDefault="00F04DCF" w:rsidP="002E3D7A">
            <w:pPr>
              <w:spacing w:after="0" w:line="240" w:lineRule="auto"/>
              <w:jc w:val="both"/>
              <w:rPr>
                <w:rFonts w:cstheme="minorHAnsi"/>
                <w:color w:val="000000" w:themeColor="text1"/>
                <w:sz w:val="20"/>
                <w:szCs w:val="20"/>
              </w:rPr>
            </w:pPr>
            <w:r w:rsidRPr="002C310E">
              <w:rPr>
                <w:rFonts w:cstheme="minorHAnsi"/>
                <w:color w:val="000000" w:themeColor="text1"/>
                <w:sz w:val="20"/>
                <w:szCs w:val="20"/>
              </w:rPr>
              <w:t xml:space="preserve">Výstupy investičních akcí nejsou využívány ke stanovenému účelu a neexistuje ani důvodný předpoklad pro jejich využívání v budoucnu. </w:t>
            </w:r>
          </w:p>
          <w:p w14:paraId="3EBB897B" w14:textId="709C3A46" w:rsidR="009458B7" w:rsidRPr="002C310E" w:rsidRDefault="00F04DCF" w:rsidP="002E3D7A">
            <w:pPr>
              <w:spacing w:after="0" w:line="240" w:lineRule="auto"/>
              <w:jc w:val="both"/>
              <w:rPr>
                <w:rFonts w:cstheme="minorHAnsi"/>
                <w:color w:val="000000" w:themeColor="text1"/>
                <w:sz w:val="20"/>
                <w:szCs w:val="20"/>
                <w:highlight w:val="yellow"/>
              </w:rPr>
            </w:pPr>
            <w:r w:rsidRPr="002C310E">
              <w:rPr>
                <w:rFonts w:cstheme="minorHAnsi"/>
                <w:sz w:val="20"/>
                <w:szCs w:val="20"/>
              </w:rPr>
              <w:t>Nebo projekt byl poskytovatelem podpory vybrán zcela v rozporu s příslušnými podmínkami a předpisy</w:t>
            </w:r>
            <w:r w:rsidR="00B96B14">
              <w:rPr>
                <w:rFonts w:cstheme="minorHAnsi"/>
                <w:sz w:val="20"/>
                <w:szCs w:val="20"/>
              </w:rPr>
              <w:t>,</w:t>
            </w:r>
            <w:r w:rsidRPr="002C310E">
              <w:rPr>
                <w:rFonts w:cstheme="minorHAnsi"/>
                <w:sz w:val="20"/>
                <w:szCs w:val="20"/>
              </w:rPr>
              <w:t xml:space="preserve"> a byl tak od počátku nezpůsobilý.</w:t>
            </w:r>
          </w:p>
        </w:tc>
      </w:tr>
    </w:tbl>
    <w:p w14:paraId="073B37BA" w14:textId="77777777" w:rsidR="009458B7" w:rsidRPr="002C310E" w:rsidRDefault="009458B7" w:rsidP="009458B7">
      <w:pPr>
        <w:spacing w:after="0" w:line="240" w:lineRule="auto"/>
        <w:jc w:val="both"/>
        <w:rPr>
          <w:rFonts w:cstheme="minorHAnsi"/>
          <w:color w:val="000000" w:themeColor="text1"/>
          <w:sz w:val="20"/>
          <w:szCs w:val="20"/>
          <w:highlight w:val="yellow"/>
        </w:rPr>
      </w:pPr>
    </w:p>
    <w:p w14:paraId="10632208" w14:textId="77777777" w:rsidR="006D3643" w:rsidRDefault="006D3643">
      <w:pPr>
        <w:rPr>
          <w:rFonts w:cstheme="minorHAnsi"/>
          <w:b/>
          <w:sz w:val="24"/>
        </w:rPr>
      </w:pPr>
      <w:r>
        <w:rPr>
          <w:rFonts w:cstheme="minorHAnsi"/>
          <w:b/>
          <w:sz w:val="24"/>
        </w:rPr>
        <w:br w:type="page"/>
      </w:r>
    </w:p>
    <w:p w14:paraId="6AB4AB2E" w14:textId="22AAE014" w:rsidR="009458B7" w:rsidRPr="002C310E" w:rsidRDefault="00F04DCF" w:rsidP="006D3643">
      <w:pPr>
        <w:keepNext/>
        <w:spacing w:after="40" w:line="240" w:lineRule="auto"/>
        <w:rPr>
          <w:rFonts w:cstheme="minorHAnsi"/>
          <w:b/>
          <w:sz w:val="24"/>
        </w:rPr>
      </w:pPr>
      <w:r w:rsidRPr="002C310E">
        <w:rPr>
          <w:rFonts w:cstheme="minorHAnsi"/>
          <w:b/>
          <w:sz w:val="24"/>
        </w:rPr>
        <w:lastRenderedPageBreak/>
        <w:t xml:space="preserve">2. Vyhodnocení efektivnosti (a hospodárnosti </w:t>
      </w:r>
      <w:r w:rsidR="00871A8B">
        <w:rPr>
          <w:rFonts w:cstheme="minorHAnsi"/>
          <w:b/>
          <w:sz w:val="24"/>
        </w:rPr>
        <w:t>jako její součásti)</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5953"/>
      </w:tblGrid>
      <w:tr w:rsidR="00C72C9E" w14:paraId="14DD8373" w14:textId="77777777" w:rsidTr="00AF2426">
        <w:trPr>
          <w:trHeight w:val="624"/>
          <w:jc w:val="center"/>
        </w:trPr>
        <w:tc>
          <w:tcPr>
            <w:tcW w:w="3118" w:type="dxa"/>
            <w:vAlign w:val="center"/>
            <w:hideMark/>
          </w:tcPr>
          <w:p w14:paraId="3017E5DE" w14:textId="77777777" w:rsidR="009458B7" w:rsidRPr="002C310E" w:rsidRDefault="00F04DCF" w:rsidP="00871A8B">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Stupeň efektivnosti projektu</w:t>
            </w:r>
          </w:p>
        </w:tc>
        <w:tc>
          <w:tcPr>
            <w:tcW w:w="5953" w:type="dxa"/>
            <w:vAlign w:val="center"/>
            <w:hideMark/>
          </w:tcPr>
          <w:p w14:paraId="1FDA4D8B" w14:textId="77777777" w:rsidR="009458B7" w:rsidRPr="002C310E" w:rsidRDefault="00F04DCF" w:rsidP="002E3D7A">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Definice stupně efektivnosti</w:t>
            </w:r>
          </w:p>
        </w:tc>
      </w:tr>
      <w:tr w:rsidR="00C72C9E" w14:paraId="13B5986E" w14:textId="77777777" w:rsidTr="00AF2426">
        <w:trPr>
          <w:jc w:val="center"/>
        </w:trPr>
        <w:tc>
          <w:tcPr>
            <w:tcW w:w="3118" w:type="dxa"/>
            <w:vAlign w:val="center"/>
            <w:hideMark/>
          </w:tcPr>
          <w:p w14:paraId="11087DDD" w14:textId="77777777" w:rsidR="009458B7" w:rsidRPr="002C310E" w:rsidRDefault="00F04DCF" w:rsidP="002E3D7A">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1.</w:t>
            </w:r>
          </w:p>
          <w:p w14:paraId="0DD14BC6" w14:textId="77777777" w:rsidR="009458B7" w:rsidRPr="002C310E" w:rsidRDefault="00F04DCF" w:rsidP="00871A8B">
            <w:pPr>
              <w:spacing w:after="0" w:line="240" w:lineRule="auto"/>
              <w:jc w:val="center"/>
              <w:rPr>
                <w:rFonts w:cstheme="minorHAnsi"/>
                <w:color w:val="000000" w:themeColor="text1"/>
                <w:sz w:val="20"/>
                <w:szCs w:val="20"/>
              </w:rPr>
            </w:pPr>
            <w:r w:rsidRPr="002C310E">
              <w:rPr>
                <w:rFonts w:cstheme="minorHAnsi"/>
                <w:b/>
                <w:color w:val="000000" w:themeColor="text1"/>
                <w:sz w:val="20"/>
                <w:szCs w:val="20"/>
              </w:rPr>
              <w:t>Projekt je efektivní</w:t>
            </w:r>
          </w:p>
        </w:tc>
        <w:tc>
          <w:tcPr>
            <w:tcW w:w="5953" w:type="dxa"/>
            <w:vAlign w:val="center"/>
          </w:tcPr>
          <w:p w14:paraId="31549F28" w14:textId="77777777" w:rsidR="009458B7" w:rsidRPr="00871A8B" w:rsidRDefault="00F04DCF" w:rsidP="002E3D7A">
            <w:pPr>
              <w:spacing w:after="0" w:line="240" w:lineRule="auto"/>
              <w:jc w:val="both"/>
              <w:rPr>
                <w:rFonts w:cstheme="minorHAnsi"/>
                <w:sz w:val="20"/>
                <w:szCs w:val="20"/>
              </w:rPr>
            </w:pPr>
            <w:r w:rsidRPr="00871A8B">
              <w:rPr>
                <w:rFonts w:cstheme="minorHAnsi"/>
                <w:sz w:val="20"/>
                <w:szCs w:val="20"/>
              </w:rPr>
              <w:t xml:space="preserve">Jsou naplněny dílčí cíle/klíčové aktivity projektu s odpovídající výší vynaložených prostředků. </w:t>
            </w:r>
          </w:p>
          <w:p w14:paraId="166A8C2A" w14:textId="77777777" w:rsidR="009458B7" w:rsidRPr="002C310E" w:rsidRDefault="00F04DCF" w:rsidP="002E3D7A">
            <w:pPr>
              <w:spacing w:after="0" w:line="240" w:lineRule="auto"/>
              <w:jc w:val="both"/>
              <w:rPr>
                <w:rFonts w:cstheme="minorHAnsi"/>
                <w:sz w:val="20"/>
                <w:szCs w:val="20"/>
              </w:rPr>
            </w:pPr>
            <w:r w:rsidRPr="002C310E">
              <w:rPr>
                <w:rFonts w:cstheme="minorHAnsi"/>
                <w:sz w:val="20"/>
                <w:szCs w:val="20"/>
              </w:rPr>
              <w:t>Výše vynaložených prostředků na projekt byla úměrná počtu účastníků (cizinců, žadatelů apod.) zapojených do projektu.</w:t>
            </w:r>
          </w:p>
          <w:p w14:paraId="108FD771" w14:textId="77777777" w:rsidR="009458B7" w:rsidRPr="002C310E" w:rsidRDefault="00F04DCF" w:rsidP="002E3D7A">
            <w:pPr>
              <w:spacing w:after="0" w:line="240" w:lineRule="auto"/>
              <w:jc w:val="both"/>
              <w:rPr>
                <w:rFonts w:cstheme="minorHAnsi"/>
                <w:sz w:val="20"/>
                <w:szCs w:val="20"/>
              </w:rPr>
            </w:pPr>
            <w:r w:rsidRPr="002C310E">
              <w:rPr>
                <w:rFonts w:cstheme="minorHAnsi"/>
                <w:sz w:val="20"/>
                <w:szCs w:val="20"/>
              </w:rPr>
              <w:t>Rozsah prací a provedených aktivit odpovídal plánovanému harmonogramu jak termínově, tak věcně.</w:t>
            </w:r>
            <w:r w:rsidR="00D75E98">
              <w:rPr>
                <w:rFonts w:cstheme="minorHAnsi"/>
                <w:sz w:val="20"/>
                <w:szCs w:val="20"/>
              </w:rPr>
              <w:t xml:space="preserve"> Rozpočet projektu byl řádně doložen.</w:t>
            </w:r>
          </w:p>
          <w:p w14:paraId="7948B5A8" w14:textId="77777777" w:rsidR="009458B7" w:rsidRPr="002C310E" w:rsidRDefault="00F04DCF" w:rsidP="002E3D7A">
            <w:pPr>
              <w:spacing w:after="0" w:line="240" w:lineRule="auto"/>
              <w:jc w:val="both"/>
              <w:rPr>
                <w:rFonts w:cstheme="minorHAnsi"/>
                <w:sz w:val="20"/>
                <w:szCs w:val="20"/>
              </w:rPr>
            </w:pPr>
            <w:r w:rsidRPr="002C310E">
              <w:rPr>
                <w:rFonts w:cstheme="minorHAnsi"/>
                <w:sz w:val="20"/>
                <w:szCs w:val="20"/>
              </w:rPr>
              <w:t>Všechny vynaložené prostředky byly v přímé souvislosti s realizací projektu a byly nezbytné pro naplnění cílů projektu (z hlediska věcného obsahu).</w:t>
            </w:r>
          </w:p>
          <w:p w14:paraId="756DE34B" w14:textId="77777777" w:rsidR="009458B7" w:rsidRPr="002C310E" w:rsidRDefault="00F04DCF" w:rsidP="00871A8B">
            <w:pPr>
              <w:spacing w:after="0" w:line="240" w:lineRule="auto"/>
              <w:jc w:val="both"/>
              <w:rPr>
                <w:rFonts w:cstheme="minorHAnsi"/>
                <w:sz w:val="20"/>
                <w:szCs w:val="20"/>
              </w:rPr>
            </w:pPr>
            <w:r w:rsidRPr="002C310E">
              <w:rPr>
                <w:rFonts w:cstheme="minorHAnsi"/>
                <w:sz w:val="20"/>
                <w:szCs w:val="20"/>
              </w:rPr>
              <w:t>Činnosti a služby byly prováděny za odpovídající ceny v místě a čase obvyklé, byly v souladu se zadávací dokumentací (v případě, že se nebude jednat o specifické činnosti) – například zda finanční ohodnocení tlumočníků, lektorů jazykové výuky, právních poradců odpovídalo cenám v místě a čase obvyklým. Ceny nebyly nadhodnocené ve vztahu k výkonům, za které byly hrazeny (srovnání cen v rámci vybraných kontrolovaných projektů). Příjemce postupoval v souladu se zákonem č. 134/2016 Sb., o zadávání veřejných zakázek, a podmínkami stanovenými poskytovatelem podpory.</w:t>
            </w:r>
          </w:p>
        </w:tc>
      </w:tr>
      <w:tr w:rsidR="00C72C9E" w14:paraId="377891C9" w14:textId="77777777" w:rsidTr="00AF2426">
        <w:trPr>
          <w:trHeight w:val="1101"/>
          <w:jc w:val="center"/>
        </w:trPr>
        <w:tc>
          <w:tcPr>
            <w:tcW w:w="3118" w:type="dxa"/>
            <w:vAlign w:val="center"/>
            <w:hideMark/>
          </w:tcPr>
          <w:p w14:paraId="38A561E5" w14:textId="77777777" w:rsidR="006668D1" w:rsidRPr="002C310E" w:rsidRDefault="00F04DCF" w:rsidP="002E3D7A">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2.</w:t>
            </w:r>
          </w:p>
          <w:p w14:paraId="3BA94EEE" w14:textId="77777777" w:rsidR="006668D1" w:rsidRPr="002C310E" w:rsidRDefault="00F04DCF" w:rsidP="002E3D7A">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Projekt</w:t>
            </w:r>
            <w:r>
              <w:rPr>
                <w:rFonts w:cstheme="minorHAnsi"/>
                <w:b/>
                <w:color w:val="000000" w:themeColor="text1"/>
                <w:sz w:val="20"/>
                <w:szCs w:val="20"/>
              </w:rPr>
              <w:t xml:space="preserve"> </w:t>
            </w:r>
            <w:r w:rsidRPr="002C310E">
              <w:rPr>
                <w:rFonts w:cstheme="minorHAnsi"/>
                <w:b/>
                <w:color w:val="000000" w:themeColor="text1"/>
                <w:sz w:val="20"/>
                <w:szCs w:val="20"/>
              </w:rPr>
              <w:t>je efektivní s mírnými nedostatky</w:t>
            </w:r>
          </w:p>
        </w:tc>
        <w:tc>
          <w:tcPr>
            <w:tcW w:w="5953" w:type="dxa"/>
            <w:vAlign w:val="center"/>
          </w:tcPr>
          <w:p w14:paraId="6945D7E6" w14:textId="4863189F" w:rsidR="006668D1" w:rsidRPr="006668D1" w:rsidRDefault="00F04DCF" w:rsidP="004F0F17">
            <w:pPr>
              <w:spacing w:after="0"/>
              <w:jc w:val="both"/>
            </w:pPr>
            <w:r w:rsidRPr="002C310E">
              <w:rPr>
                <w:rFonts w:cstheme="minorHAnsi"/>
                <w:sz w:val="20"/>
                <w:szCs w:val="20"/>
              </w:rPr>
              <w:t>Některý z předpokladů uvedených pro efektivnost projektu (viz první stupeň hodnocení efektivnosti) není zcela naplněn, ale má to jen dílčí</w:t>
            </w:r>
            <w:r w:rsidR="00766ED8">
              <w:rPr>
                <w:rFonts w:cstheme="minorHAnsi"/>
                <w:sz w:val="20"/>
                <w:szCs w:val="20"/>
              </w:rPr>
              <w:t>,</w:t>
            </w:r>
            <w:r w:rsidRPr="002C310E">
              <w:rPr>
                <w:rFonts w:cstheme="minorHAnsi"/>
                <w:sz w:val="20"/>
                <w:szCs w:val="20"/>
              </w:rPr>
              <w:t xml:space="preserve"> resp. nevýznamný vliv na celkové pozitivní hodnocení efektivnosti projektu. Bylo např. zjištěno nehospodárné vynaložení malé části projektových nákladů (např. vyšší než obvyklá cena). Dílčí, ale z hlediska celku nevýznamný výdaj neměl prokazatelnou přímou souvislost se zajištěním cílů projektu.</w:t>
            </w:r>
          </w:p>
        </w:tc>
      </w:tr>
      <w:tr w:rsidR="00C72C9E" w14:paraId="186CE4D4" w14:textId="77777777" w:rsidTr="00AF2426">
        <w:trPr>
          <w:trHeight w:val="2063"/>
          <w:jc w:val="center"/>
        </w:trPr>
        <w:tc>
          <w:tcPr>
            <w:tcW w:w="3118" w:type="dxa"/>
            <w:vAlign w:val="center"/>
            <w:hideMark/>
          </w:tcPr>
          <w:p w14:paraId="277D8FD5" w14:textId="77777777" w:rsidR="009458B7" w:rsidRPr="002C310E" w:rsidRDefault="00F04DCF" w:rsidP="002E3D7A">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3.</w:t>
            </w:r>
          </w:p>
          <w:p w14:paraId="1703A09E" w14:textId="77777777" w:rsidR="009458B7" w:rsidRPr="002C310E" w:rsidRDefault="00F04DCF" w:rsidP="00871A8B">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Projekt je efektivní pouze omezeně</w:t>
            </w:r>
          </w:p>
        </w:tc>
        <w:tc>
          <w:tcPr>
            <w:tcW w:w="5953" w:type="dxa"/>
            <w:vAlign w:val="center"/>
          </w:tcPr>
          <w:p w14:paraId="013596C2" w14:textId="77777777" w:rsidR="00EE6599" w:rsidRDefault="00F04DCF" w:rsidP="00EE6599">
            <w:pPr>
              <w:spacing w:after="0"/>
              <w:jc w:val="both"/>
              <w:rPr>
                <w:rFonts w:cstheme="minorHAnsi"/>
                <w:color w:val="000000" w:themeColor="text1"/>
                <w:sz w:val="20"/>
                <w:szCs w:val="20"/>
              </w:rPr>
            </w:pPr>
            <w:r w:rsidRPr="002C310E">
              <w:rPr>
                <w:rFonts w:cstheme="minorHAnsi"/>
                <w:color w:val="000000" w:themeColor="text1"/>
                <w:sz w:val="20"/>
                <w:szCs w:val="20"/>
              </w:rPr>
              <w:t xml:space="preserve">Více z předpokladů efektivnosti (viz první stupeň hodnocení efektivnosti) není naplněno, resp. jejich vliv není jen dílčí a omezuje celkovou efektivnost projektu. U více nákladů bylo zjištěno nehospodárné vynaložení, resp. nehospodárnost je u některého z nich významná. Nebyla snížena nebo byla dokonce navýšena celková částka plánovaných výdajů, přestože došlo pouze k částečnému naplnění dílčích cílů/klíčových aktivit. </w:t>
            </w:r>
            <w:r w:rsidR="00D75E98">
              <w:rPr>
                <w:rFonts w:cstheme="minorHAnsi"/>
                <w:color w:val="000000" w:themeColor="text1"/>
                <w:sz w:val="20"/>
                <w:szCs w:val="20"/>
              </w:rPr>
              <w:t xml:space="preserve">Příprava projektu nebyla dostatečná nebo jeho rozpočet nebyl dostatečně doložen. </w:t>
            </w:r>
            <w:r w:rsidRPr="002C310E">
              <w:rPr>
                <w:rFonts w:cstheme="minorHAnsi"/>
                <w:color w:val="000000" w:themeColor="text1"/>
                <w:sz w:val="20"/>
                <w:szCs w:val="20"/>
              </w:rPr>
              <w:t>Nebo více výdajů vynaložených v rámci projektu nemělo prokazatelnou přímou souvislost se zajištěním jeho cílů.</w:t>
            </w:r>
          </w:p>
          <w:p w14:paraId="7FE53D48" w14:textId="77777777" w:rsidR="006668D1" w:rsidRPr="006668D1" w:rsidRDefault="00FF4440" w:rsidP="00EE6599">
            <w:pPr>
              <w:spacing w:after="0"/>
              <w:jc w:val="both"/>
            </w:pPr>
            <w:r>
              <w:rPr>
                <w:rFonts w:cstheme="minorHAnsi"/>
                <w:color w:val="000000" w:themeColor="text1"/>
                <w:sz w:val="20"/>
                <w:szCs w:val="20"/>
              </w:rPr>
              <w:t>Již na počátku realizace projektu bylo identifikováno významné riziko jeho neefektivnosti.</w:t>
            </w:r>
          </w:p>
        </w:tc>
      </w:tr>
      <w:tr w:rsidR="00C72C9E" w14:paraId="1A025AA7" w14:textId="77777777" w:rsidTr="00AF2426">
        <w:trPr>
          <w:trHeight w:val="1388"/>
          <w:jc w:val="center"/>
        </w:trPr>
        <w:tc>
          <w:tcPr>
            <w:tcW w:w="3118" w:type="dxa"/>
            <w:vAlign w:val="center"/>
            <w:hideMark/>
          </w:tcPr>
          <w:p w14:paraId="249346CC" w14:textId="77777777" w:rsidR="009458B7" w:rsidRPr="002C310E" w:rsidRDefault="00F04DCF" w:rsidP="002E3D7A">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4.</w:t>
            </w:r>
          </w:p>
          <w:p w14:paraId="410FD946" w14:textId="77777777" w:rsidR="009458B7" w:rsidRPr="002C310E" w:rsidRDefault="00F04DCF" w:rsidP="00871A8B">
            <w:pPr>
              <w:spacing w:after="0" w:line="240" w:lineRule="auto"/>
              <w:jc w:val="center"/>
              <w:rPr>
                <w:rFonts w:cstheme="minorHAnsi"/>
                <w:b/>
                <w:color w:val="000000" w:themeColor="text1"/>
                <w:sz w:val="20"/>
                <w:szCs w:val="20"/>
              </w:rPr>
            </w:pPr>
            <w:r w:rsidRPr="002C310E">
              <w:rPr>
                <w:rFonts w:cstheme="minorHAnsi"/>
                <w:b/>
                <w:color w:val="000000" w:themeColor="text1"/>
                <w:sz w:val="20"/>
                <w:szCs w:val="20"/>
              </w:rPr>
              <w:t>Projekt není efektivní</w:t>
            </w:r>
          </w:p>
        </w:tc>
        <w:tc>
          <w:tcPr>
            <w:tcW w:w="5953" w:type="dxa"/>
            <w:vAlign w:val="center"/>
          </w:tcPr>
          <w:p w14:paraId="180F321E" w14:textId="77777777" w:rsidR="00871A8B" w:rsidRPr="006668D1" w:rsidRDefault="00F04DCF" w:rsidP="004F0F17">
            <w:pPr>
              <w:spacing w:after="0"/>
              <w:jc w:val="both"/>
            </w:pPr>
            <w:r w:rsidRPr="002C310E">
              <w:rPr>
                <w:rFonts w:cstheme="minorHAnsi"/>
                <w:color w:val="000000" w:themeColor="text1"/>
                <w:sz w:val="20"/>
                <w:szCs w:val="20"/>
              </w:rPr>
              <w:t xml:space="preserve">Projekt a jeho realizaci doprovází zásadní nedostatky, pokud jde o efektivnost vynaložených výdajů. Výdaje na daný projekt jsou zcela neúměrné dosaženým cílům, např. proto, že většiny dílčích cílů nebylo dosaženo. Významné části výdajů byly nadhodnoceny a neodpovídají </w:t>
            </w:r>
            <w:r w:rsidRPr="00871A8B">
              <w:rPr>
                <w:rFonts w:cstheme="minorHAnsi"/>
                <w:color w:val="000000" w:themeColor="text1"/>
                <w:sz w:val="20"/>
                <w:szCs w:val="20"/>
              </w:rPr>
              <w:t>cenám obvyklým v místě a čase. Nebo rozpočet projektu byl výrazně překročen bez řádného opodstatnění. Projekt je vždy hodnocen jako neefektivní, je-li hodnocen jako neúčelný.</w:t>
            </w:r>
          </w:p>
        </w:tc>
      </w:tr>
    </w:tbl>
    <w:p w14:paraId="675C8385" w14:textId="77777777" w:rsidR="009458B7" w:rsidRPr="002C310E" w:rsidRDefault="009458B7" w:rsidP="003A0F4D">
      <w:pPr>
        <w:spacing w:after="120"/>
        <w:jc w:val="both"/>
        <w:rPr>
          <w:rFonts w:cstheme="minorHAnsi"/>
        </w:rPr>
      </w:pPr>
    </w:p>
    <w:sectPr w:rsidR="009458B7" w:rsidRPr="002C310E" w:rsidSect="00425DA2">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931A" w14:textId="77777777" w:rsidR="00722F4E" w:rsidRDefault="00722F4E">
      <w:pPr>
        <w:spacing w:after="0" w:line="240" w:lineRule="auto"/>
      </w:pPr>
      <w:r>
        <w:separator/>
      </w:r>
    </w:p>
  </w:endnote>
  <w:endnote w:type="continuationSeparator" w:id="0">
    <w:p w14:paraId="76A0D2B4" w14:textId="77777777" w:rsidR="00722F4E" w:rsidRDefault="00722F4E">
      <w:pPr>
        <w:spacing w:after="0" w:line="240" w:lineRule="auto"/>
      </w:pPr>
      <w:r>
        <w:continuationSeparator/>
      </w:r>
    </w:p>
  </w:endnote>
  <w:endnote w:type="continuationNotice" w:id="1">
    <w:p w14:paraId="328F907A" w14:textId="77777777" w:rsidR="00722F4E" w:rsidRDefault="00722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95841"/>
      <w:docPartObj>
        <w:docPartGallery w:val="Page Numbers (Bottom of Page)"/>
        <w:docPartUnique/>
      </w:docPartObj>
    </w:sdtPr>
    <w:sdtEndPr/>
    <w:sdtContent>
      <w:p w14:paraId="75248D95" w14:textId="5D3FA766" w:rsidR="00722F4E" w:rsidRDefault="00722F4E" w:rsidP="00BE748F">
        <w:pPr>
          <w:pStyle w:val="Zpat"/>
          <w:jc w:val="center"/>
        </w:pPr>
        <w:r>
          <w:fldChar w:fldCharType="begin"/>
        </w:r>
        <w:r>
          <w:instrText>PAGE   \* MERGEFORMAT</w:instrText>
        </w:r>
        <w:r>
          <w:fldChar w:fldCharType="separate"/>
        </w:r>
        <w:r w:rsidR="00534C1A">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ECD1" w14:textId="77777777" w:rsidR="00722F4E" w:rsidRDefault="00722F4E" w:rsidP="00B47D21">
      <w:pPr>
        <w:spacing w:after="0" w:line="240" w:lineRule="auto"/>
      </w:pPr>
      <w:r>
        <w:separator/>
      </w:r>
    </w:p>
  </w:footnote>
  <w:footnote w:type="continuationSeparator" w:id="0">
    <w:p w14:paraId="1B807709" w14:textId="77777777" w:rsidR="00722F4E" w:rsidRDefault="00722F4E" w:rsidP="00B47D21">
      <w:pPr>
        <w:spacing w:after="0" w:line="240" w:lineRule="auto"/>
      </w:pPr>
      <w:r>
        <w:continuationSeparator/>
      </w:r>
    </w:p>
  </w:footnote>
  <w:footnote w:type="continuationNotice" w:id="1">
    <w:p w14:paraId="40E917D9" w14:textId="77777777" w:rsidR="00722F4E" w:rsidRDefault="00722F4E">
      <w:pPr>
        <w:spacing w:after="0" w:line="240" w:lineRule="auto"/>
      </w:pPr>
    </w:p>
  </w:footnote>
  <w:footnote w:id="2">
    <w:p w14:paraId="2F6C8B3E" w14:textId="547CE4F6" w:rsidR="00722F4E" w:rsidRDefault="00722F4E" w:rsidP="0015690E">
      <w:pPr>
        <w:pStyle w:val="Textpoznpodarou"/>
        <w:ind w:left="284" w:hanging="284"/>
        <w:jc w:val="both"/>
      </w:pPr>
      <w:r>
        <w:rPr>
          <w:rStyle w:val="Znakapoznpodarou"/>
        </w:rPr>
        <w:footnoteRef/>
      </w:r>
      <w:r>
        <w:t xml:space="preserve"> </w:t>
      </w:r>
      <w:r>
        <w:tab/>
        <w:t>Ustanovení § 39 odst. 3 zákona č. 218/2000 Sb., o rozpočtových pravidlech a o změně některých souvisejících zákonů (rozpočtová pravidla).</w:t>
      </w:r>
    </w:p>
  </w:footnote>
  <w:footnote w:id="3">
    <w:p w14:paraId="7226A575" w14:textId="1ECCE3A2" w:rsidR="00722F4E" w:rsidRDefault="00722F4E" w:rsidP="00491FCA">
      <w:pPr>
        <w:pStyle w:val="Textpoznpodarou"/>
        <w:ind w:left="284" w:hanging="284"/>
        <w:jc w:val="both"/>
      </w:pPr>
      <w:r>
        <w:rPr>
          <w:rStyle w:val="Znakapoznpodarou"/>
        </w:rPr>
        <w:footnoteRef/>
      </w:r>
      <w:r>
        <w:t xml:space="preserve"> </w:t>
      </w:r>
      <w:r>
        <w:tab/>
        <w:t>Ve všech případech kontrolovaných projektů z programů NP ISF a NP AMIF, kde NKÚ uvádí, že nemohl provést vyhodnocení účelnosti/efektivnosti, to bylo zejména z důvodu stavu realizace daného projektu, tedy že projekt byl ještě před dokončením. Neuvedení výroku o účelnosti/efektivnosti však neznamená, že by u</w:t>
      </w:r>
      <w:r w:rsidR="00254BC5">
        <w:t> </w:t>
      </w:r>
      <w:r>
        <w:t>těchto projektů nebyly prověřeny skutečnosti, které nastaly u probíhajících projektů do doby ukončení kontroly. Pokud z tohoto prověření byly zřejmé nedostatky, které jsou významným rizikem pro účelnost/efektivnost projektu, bylo i u nedokončených projektů takové hodnocení provedeno (viz např.</w:t>
      </w:r>
      <w:r w:rsidR="00351D73">
        <w:t> </w:t>
      </w:r>
      <w:r>
        <w:t>projekty v příkladech č. 1, 5 a 6 v části IV.).</w:t>
      </w:r>
    </w:p>
  </w:footnote>
  <w:footnote w:id="4">
    <w:p w14:paraId="4FA674D6" w14:textId="43E40C5D" w:rsidR="00722F4E" w:rsidRDefault="00722F4E" w:rsidP="002155B1">
      <w:pPr>
        <w:pStyle w:val="Textpoznpodarou"/>
        <w:ind w:left="284" w:hanging="284"/>
        <w:jc w:val="both"/>
      </w:pPr>
      <w:r>
        <w:rPr>
          <w:rStyle w:val="Znakapoznpodarou"/>
        </w:rPr>
        <w:footnoteRef/>
      </w:r>
      <w:r>
        <w:t xml:space="preserve"> </w:t>
      </w:r>
      <w:r>
        <w:tab/>
        <w:t xml:space="preserve">Činnost regionálních center na podporu integrace cizinců v ČR je jedním z hlavních </w:t>
      </w:r>
      <w:r w:rsidRPr="00E930D8">
        <w:t xml:space="preserve">nástrojů </w:t>
      </w:r>
      <w:r w:rsidRPr="00525518">
        <w:rPr>
          <w:i/>
          <w:iCs/>
        </w:rPr>
        <w:t>Koncepce integrace cizinců – Ve vzájemném respektu</w:t>
      </w:r>
      <w:r w:rsidRPr="00525518">
        <w:t xml:space="preserve"> (viz odst. 2.6</w:t>
      </w:r>
      <w:r>
        <w:t xml:space="preserve"> </w:t>
      </w:r>
      <w:r w:rsidRPr="00366836">
        <w:rPr>
          <w:rFonts w:eastAsia="Times New Roman" w:cstheme="minorHAnsi"/>
          <w:szCs w:val="24"/>
        </w:rPr>
        <w:t>tohoto kontrolního závěru</w:t>
      </w:r>
      <w:r w:rsidRPr="00525518">
        <w:t>)</w:t>
      </w:r>
      <w:r>
        <w:t>. V 10 ze 14 krajů je provozuje SUZ MV, v jednom Jihomoravský kraj a ve třech krajích nevládní neziskové organizace. C</w:t>
      </w:r>
      <w:r w:rsidRPr="00E930D8">
        <w:t>entra nabízejí cizincům ze třetích zemí zejména bezplatné kurzy českého jazyka</w:t>
      </w:r>
      <w:r>
        <w:t xml:space="preserve">, </w:t>
      </w:r>
      <w:r w:rsidRPr="00E930D8">
        <w:t>poradenskou a informační činnost, právní a další služby. V letech 2009</w:t>
      </w:r>
      <w:r>
        <w:t xml:space="preserve"> až </w:t>
      </w:r>
      <w:r w:rsidRPr="00E930D8">
        <w:t xml:space="preserve">2020 byl provoz </w:t>
      </w:r>
      <w:r>
        <w:t>center spolufinancován</w:t>
      </w:r>
      <w:r w:rsidRPr="00E930D8">
        <w:t xml:space="preserve"> z</w:t>
      </w:r>
      <w:r>
        <w:t xml:space="preserve"> fondů </w:t>
      </w:r>
      <w:r w:rsidRPr="00E930D8">
        <w:t xml:space="preserve">EU. Od 1. </w:t>
      </w:r>
      <w:r>
        <w:t>července</w:t>
      </w:r>
      <w:r w:rsidRPr="00E930D8">
        <w:t xml:space="preserve"> 2020 je provoz </w:t>
      </w:r>
      <w:r>
        <w:t>c</w:t>
      </w:r>
      <w:r w:rsidRPr="00E930D8">
        <w:t xml:space="preserve">enter </w:t>
      </w:r>
      <w:r>
        <w:t xml:space="preserve">financován </w:t>
      </w:r>
      <w:r w:rsidRPr="00E930D8">
        <w:t>ze státního rozpočtu</w:t>
      </w:r>
      <w:r>
        <w:t xml:space="preserve"> </w:t>
      </w:r>
      <w:r w:rsidRPr="00E930D8">
        <w:t xml:space="preserve">na základě </w:t>
      </w:r>
      <w:r>
        <w:t>zákona č. 176/2019 Sb., kterým se mění zákon č. 326/1999 Sb., o pobytu cizinců na území České republiky a o změně některých zákonů, ve znění pozdějších předpisů, a další související zákony.</w:t>
      </w:r>
    </w:p>
  </w:footnote>
  <w:footnote w:id="5">
    <w:p w14:paraId="3FDD0EFB" w14:textId="1E82185E" w:rsidR="00722F4E" w:rsidRDefault="00722F4E" w:rsidP="00491FCA">
      <w:pPr>
        <w:pStyle w:val="Textpoznpodarou"/>
        <w:ind w:left="284" w:hanging="284"/>
        <w:jc w:val="both"/>
      </w:pPr>
      <w:r>
        <w:rPr>
          <w:rStyle w:val="Znakapoznpodarou"/>
        </w:rPr>
        <w:footnoteRef/>
      </w:r>
      <w:r>
        <w:t xml:space="preserve"> </w:t>
      </w:r>
      <w:r>
        <w:tab/>
        <w:t xml:space="preserve">Jedná se o základní dokument realizace </w:t>
      </w:r>
      <w:r w:rsidRPr="00694B3F">
        <w:rPr>
          <w:i/>
        </w:rPr>
        <w:t>Státního integračního programu</w:t>
      </w:r>
      <w:r>
        <w:t xml:space="preserve"> (viz odst. 2.12), který popisuje konkrétní aktivity prováděné ve prospěch oprávněné osoby / oprávněných osob. Integrační plán je aktualizován po celou dobu poskytování integračních služeb, která činí nejvýše 12 měsíců.  </w:t>
      </w:r>
    </w:p>
  </w:footnote>
  <w:footnote w:id="6">
    <w:p w14:paraId="1E9499D6" w14:textId="77777777" w:rsidR="00722F4E" w:rsidRDefault="00722F4E" w:rsidP="0027092E">
      <w:pPr>
        <w:pStyle w:val="Textpoznpodarou"/>
        <w:ind w:left="284" w:hanging="284"/>
        <w:jc w:val="both"/>
      </w:pPr>
      <w:r>
        <w:rPr>
          <w:rStyle w:val="Znakapoznpodarou"/>
        </w:rPr>
        <w:footnoteRef/>
      </w:r>
      <w:r w:rsidRPr="0027092E">
        <w:rPr>
          <w:rStyle w:val="Znakapoznpodarou"/>
        </w:rPr>
        <w:t xml:space="preserve"> </w:t>
      </w:r>
      <w:r w:rsidRPr="0027092E">
        <w:rPr>
          <w:rStyle w:val="Znakapoznpodarou"/>
        </w:rPr>
        <w:tab/>
      </w:r>
      <w:r w:rsidRPr="0027092E">
        <w:rPr>
          <w:rStyle w:val="Znakapoznpodarou"/>
          <w:vertAlign w:val="baseline"/>
        </w:rPr>
        <w:t xml:space="preserve">Klient ukončil </w:t>
      </w:r>
      <w:r>
        <w:t xml:space="preserve">integrační </w:t>
      </w:r>
      <w:r w:rsidRPr="0027092E">
        <w:rPr>
          <w:rStyle w:val="Znakapoznpodarou"/>
          <w:vertAlign w:val="baseline"/>
        </w:rPr>
        <w:t>plán v jednom případě bez uvedení důvodů, v ostatních případech klienti před ukončení</w:t>
      </w:r>
      <w:r>
        <w:t>m</w:t>
      </w:r>
      <w:r w:rsidRPr="0027092E">
        <w:rPr>
          <w:rStyle w:val="Znakapoznpodarou"/>
          <w:vertAlign w:val="baseline"/>
        </w:rPr>
        <w:t xml:space="preserve"> integračního plánu přestali komunikovat a SUZ MV se nepodařilo je kontaktovat</w:t>
      </w:r>
      <w:r>
        <w:t>.</w:t>
      </w:r>
    </w:p>
  </w:footnote>
  <w:footnote w:id="7">
    <w:p w14:paraId="45DE7ABD" w14:textId="77777777" w:rsidR="00722F4E" w:rsidRDefault="00722F4E" w:rsidP="009741DB">
      <w:pPr>
        <w:pStyle w:val="Textpoznpodarou"/>
        <w:ind w:left="284" w:hanging="284"/>
        <w:jc w:val="both"/>
      </w:pPr>
      <w:r>
        <w:rPr>
          <w:rStyle w:val="Znakapoznpodarou"/>
        </w:rPr>
        <w:footnoteRef/>
      </w:r>
      <w:r>
        <w:t xml:space="preserve"> </w:t>
      </w:r>
      <w:r>
        <w:tab/>
        <w:t xml:space="preserve">Zákon č. 325/1999 Sb., o azylu, </w:t>
      </w:r>
      <w:r w:rsidRPr="009741DB">
        <w:t xml:space="preserve">vymezuje podmínky vstupu a pobytu cizince, který požádá o udělení mezinárodní ochrany na území ČR, </w:t>
      </w:r>
      <w:r>
        <w:t>p</w:t>
      </w:r>
      <w:r w:rsidRPr="009741DB">
        <w:t>obyt azylanta a osoby požívající doplňkové ochrany.</w:t>
      </w:r>
    </w:p>
  </w:footnote>
  <w:footnote w:id="8">
    <w:p w14:paraId="03176FE4" w14:textId="77777777" w:rsidR="00722F4E" w:rsidRDefault="00722F4E" w:rsidP="009741DB">
      <w:pPr>
        <w:pStyle w:val="Textpoznpodarou"/>
        <w:ind w:left="284" w:hanging="284"/>
        <w:jc w:val="both"/>
      </w:pPr>
      <w:r>
        <w:rPr>
          <w:rStyle w:val="Znakapoznpodarou"/>
        </w:rPr>
        <w:footnoteRef/>
      </w:r>
      <w:r>
        <w:t xml:space="preserve"> </w:t>
      </w:r>
      <w:r>
        <w:tab/>
        <w:t xml:space="preserve">Zákon č. 326/1999 Sb., o </w:t>
      </w:r>
      <w:r w:rsidRPr="00EE7038">
        <w:t>pobytu cizinců na území České republiky</w:t>
      </w:r>
      <w:r>
        <w:t xml:space="preserve"> a o změně některých zákonů, </w:t>
      </w:r>
      <w:r w:rsidRPr="009741DB">
        <w:t>stanoví podmínky vstupu a pobytu cizinců v působnosti tohoto zákona na územ</w:t>
      </w:r>
      <w:r>
        <w:t>í ČR a jejich vycestování</w:t>
      </w:r>
      <w:r w:rsidRPr="009741DB">
        <w:t>.</w:t>
      </w:r>
    </w:p>
  </w:footnote>
  <w:footnote w:id="9">
    <w:p w14:paraId="352C3F64" w14:textId="77777777" w:rsidR="00722F4E" w:rsidRDefault="00722F4E" w:rsidP="009741DB">
      <w:pPr>
        <w:pStyle w:val="Textpoznpodarou"/>
        <w:ind w:left="284" w:hanging="284"/>
        <w:jc w:val="both"/>
      </w:pPr>
      <w:r>
        <w:rPr>
          <w:rStyle w:val="Znakapoznpodarou"/>
        </w:rPr>
        <w:footnoteRef/>
      </w:r>
      <w:r>
        <w:t xml:space="preserve"> </w:t>
      </w:r>
      <w:r>
        <w:tab/>
        <w:t>Z</w:t>
      </w:r>
      <w:r w:rsidRPr="009741DB">
        <w:t>ákon č. 191/2016 Sb., o ochraně státních hranic České republiky a o změn</w:t>
      </w:r>
      <w:r>
        <w:t>ě souvisejících zákonů (zákon o </w:t>
      </w:r>
      <w:r w:rsidRPr="009741DB">
        <w:t>ochraně státních hranic).</w:t>
      </w:r>
    </w:p>
  </w:footnote>
  <w:footnote w:id="10">
    <w:p w14:paraId="7D88B6B2" w14:textId="5604F941" w:rsidR="00722F4E" w:rsidRDefault="00722F4E" w:rsidP="00A07594">
      <w:pPr>
        <w:pStyle w:val="Textpoznpodarou"/>
        <w:ind w:left="284" w:hanging="284"/>
        <w:jc w:val="both"/>
      </w:pPr>
      <w:r>
        <w:rPr>
          <w:rStyle w:val="Znakapoznpodarou"/>
        </w:rPr>
        <w:footnoteRef/>
      </w:r>
      <w:r w:rsidRPr="00A07594">
        <w:rPr>
          <w:rStyle w:val="Znakapoznpodarou"/>
        </w:rPr>
        <w:t xml:space="preserve"> </w:t>
      </w:r>
      <w:r>
        <w:tab/>
      </w:r>
      <w:r w:rsidRPr="00A07594">
        <w:rPr>
          <w:rStyle w:val="Znakapoznpodarou"/>
          <w:vertAlign w:val="baseline"/>
        </w:rPr>
        <w:t xml:space="preserve">V částce </w:t>
      </w:r>
      <w:r>
        <w:rPr>
          <w:rStyle w:val="Znakapoznpodarou"/>
          <w:vertAlign w:val="baseline"/>
        </w:rPr>
        <w:t xml:space="preserve">jsou kromě </w:t>
      </w:r>
      <w:r w:rsidRPr="00A07594">
        <w:rPr>
          <w:rStyle w:val="Znakapoznpodarou"/>
          <w:vertAlign w:val="baseline"/>
        </w:rPr>
        <w:t xml:space="preserve">peněžních prostředků kontrolovaných programů zahrnuty </w:t>
      </w:r>
      <w:r>
        <w:rPr>
          <w:rStyle w:val="Znakapoznpodarou"/>
          <w:vertAlign w:val="baseline"/>
        </w:rPr>
        <w:t>také</w:t>
      </w:r>
      <w:r w:rsidRPr="00A07594">
        <w:rPr>
          <w:rStyle w:val="Znakapoznpodarou"/>
          <w:vertAlign w:val="baseline"/>
        </w:rPr>
        <w:t xml:space="preserve"> osobní (mzdové a</w:t>
      </w:r>
      <w:r>
        <w:t> </w:t>
      </w:r>
      <w:r w:rsidRPr="00A07594">
        <w:rPr>
          <w:rStyle w:val="Znakapoznpodarou"/>
          <w:vertAlign w:val="baseline"/>
        </w:rPr>
        <w:t xml:space="preserve">související) výdaje MV, výdaje na provoz SUZ MV včetně osobních výdajů, výdaje Policie ČR související s migrací, výdaje na integraci cizinců, </w:t>
      </w:r>
      <w:r>
        <w:t xml:space="preserve">prostředky vynaložené na </w:t>
      </w:r>
      <w:r w:rsidRPr="00A07594">
        <w:rPr>
          <w:rStyle w:val="Znakapoznpodarou"/>
          <w:vertAlign w:val="baseline"/>
        </w:rPr>
        <w:t xml:space="preserve">program humanitárních evakuací zdravotně postižených </w:t>
      </w:r>
      <w:r>
        <w:rPr>
          <w:rStyle w:val="Znakapoznpodarou"/>
          <w:vertAlign w:val="baseline"/>
        </w:rPr>
        <w:t>osob MEDEVAC</w:t>
      </w:r>
      <w:r>
        <w:t>,</w:t>
      </w:r>
      <w:r>
        <w:rPr>
          <w:rStyle w:val="Znakapoznpodarou"/>
          <w:vertAlign w:val="baseline"/>
        </w:rPr>
        <w:t xml:space="preserve"> </w:t>
      </w:r>
      <w:r w:rsidRPr="00A07594">
        <w:rPr>
          <w:rStyle w:val="Znakapoznpodarou"/>
          <w:vertAlign w:val="baseline"/>
        </w:rPr>
        <w:t>program přesídlování cizinců žijících v zahraničí s prokázaným českým původem</w:t>
      </w:r>
      <w:r>
        <w:t xml:space="preserve">, </w:t>
      </w:r>
      <w:r w:rsidRPr="00A07594">
        <w:rPr>
          <w:rStyle w:val="Znakapoznpodarou"/>
          <w:vertAlign w:val="baseline"/>
        </w:rPr>
        <w:t>a pořizování biometrických dokladů</w:t>
      </w:r>
      <w:r>
        <w:t>.</w:t>
      </w:r>
    </w:p>
  </w:footnote>
  <w:footnote w:id="11">
    <w:p w14:paraId="00D5B391" w14:textId="4559F6C7" w:rsidR="00722F4E" w:rsidRPr="00BC7817" w:rsidRDefault="00722F4E" w:rsidP="00BC7817">
      <w:pPr>
        <w:pStyle w:val="Textpoznpodarou"/>
        <w:ind w:left="284" w:hanging="284"/>
        <w:jc w:val="both"/>
        <w:rPr>
          <w:rFonts w:cs="Calibri"/>
        </w:rPr>
      </w:pPr>
      <w:r w:rsidRPr="00BC7817">
        <w:rPr>
          <w:rStyle w:val="Znakapoznpodarou"/>
          <w:rFonts w:cs="Calibri"/>
        </w:rPr>
        <w:footnoteRef/>
      </w:r>
      <w:r w:rsidRPr="00BC7817">
        <w:rPr>
          <w:rFonts w:cs="Calibri"/>
        </w:rPr>
        <w:t xml:space="preserve"> </w:t>
      </w:r>
      <w:r w:rsidRPr="00BC7817">
        <w:rPr>
          <w:rFonts w:cs="Calibri"/>
        </w:rPr>
        <w:tab/>
        <w:t>Schválen</w:t>
      </w:r>
      <w:r>
        <w:rPr>
          <w:rFonts w:cs="Calibri"/>
        </w:rPr>
        <w:t>á</w:t>
      </w:r>
      <w:r w:rsidRPr="00BC7817">
        <w:rPr>
          <w:rFonts w:cs="Calibri"/>
        </w:rPr>
        <w:t xml:space="preserve"> usnesením vlády České republiky ze dne 29. července 2015 č. 621</w:t>
      </w:r>
      <w:r>
        <w:rPr>
          <w:rFonts w:cs="Calibri"/>
        </w:rPr>
        <w:t>,</w:t>
      </w:r>
      <w:r w:rsidRPr="00BC7817">
        <w:rPr>
          <w:rFonts w:cs="Calibri"/>
        </w:rPr>
        <w:t xml:space="preserve"> </w:t>
      </w:r>
      <w:r w:rsidRPr="00694B3F">
        <w:rPr>
          <w:rFonts w:cs="Calibri"/>
          <w:i/>
        </w:rPr>
        <w:t>o Strategii migrační politiky České republiky a o Komunikační strategii České republiky k migraci</w:t>
      </w:r>
      <w:r w:rsidRPr="00BC7817">
        <w:rPr>
          <w:rFonts w:cs="Calibri"/>
        </w:rPr>
        <w:t>.</w:t>
      </w:r>
    </w:p>
  </w:footnote>
  <w:footnote w:id="12">
    <w:p w14:paraId="2156808B" w14:textId="7A7FFFEE" w:rsidR="00722F4E" w:rsidRPr="00DB3DED" w:rsidRDefault="00722F4E" w:rsidP="00AF2905">
      <w:pPr>
        <w:pStyle w:val="Textpoznpodarou"/>
        <w:tabs>
          <w:tab w:val="left" w:pos="284"/>
        </w:tabs>
        <w:ind w:left="284" w:hanging="284"/>
        <w:jc w:val="both"/>
        <w:rPr>
          <w:rFonts w:cs="Calibri"/>
        </w:rPr>
      </w:pPr>
      <w:r w:rsidRPr="00DB3DED">
        <w:rPr>
          <w:rStyle w:val="Znakapoznpodarou"/>
          <w:rFonts w:cs="Calibri"/>
        </w:rPr>
        <w:footnoteRef/>
      </w:r>
      <w:r w:rsidRPr="00DB3DED">
        <w:rPr>
          <w:rFonts w:cs="Calibri"/>
        </w:rPr>
        <w:t xml:space="preserve"> </w:t>
      </w:r>
      <w:r w:rsidRPr="00DB3DED">
        <w:rPr>
          <w:rFonts w:cs="Calibri"/>
        </w:rPr>
        <w:tab/>
        <w:t>Schválen usnesením vlády České republiky ze dne 2. dubna 2014 č. 198</w:t>
      </w:r>
      <w:r>
        <w:rPr>
          <w:rFonts w:cs="Calibri"/>
        </w:rPr>
        <w:t>,</w:t>
      </w:r>
      <w:r w:rsidRPr="00DB3DED">
        <w:rPr>
          <w:rFonts w:cs="Calibri"/>
        </w:rPr>
        <w:t xml:space="preserve"> </w:t>
      </w:r>
      <w:r w:rsidRPr="00694B3F">
        <w:rPr>
          <w:rFonts w:cs="Calibri"/>
          <w:i/>
        </w:rPr>
        <w:t>k Národnímu schengenskému plánu 2014</w:t>
      </w:r>
      <w:r w:rsidRPr="00DB3DED">
        <w:rPr>
          <w:rFonts w:cs="Calibri"/>
        </w:rPr>
        <w:t>.</w:t>
      </w:r>
    </w:p>
  </w:footnote>
  <w:footnote w:id="13">
    <w:p w14:paraId="0E8E1730" w14:textId="1679A3E2" w:rsidR="00722F4E" w:rsidRPr="00DB3DED" w:rsidRDefault="00722F4E" w:rsidP="001516B6">
      <w:pPr>
        <w:pStyle w:val="Textpoznpodarou"/>
        <w:tabs>
          <w:tab w:val="left" w:pos="284"/>
        </w:tabs>
        <w:ind w:left="284" w:hanging="284"/>
        <w:jc w:val="both"/>
        <w:rPr>
          <w:rFonts w:cs="Calibri"/>
        </w:rPr>
      </w:pPr>
      <w:r w:rsidRPr="00DB3DED">
        <w:rPr>
          <w:rStyle w:val="Znakapoznpodarou"/>
          <w:rFonts w:cs="Calibri"/>
        </w:rPr>
        <w:footnoteRef/>
      </w:r>
      <w:r w:rsidRPr="00DB3DED">
        <w:rPr>
          <w:rFonts w:cs="Calibri"/>
        </w:rPr>
        <w:t xml:space="preserve"> </w:t>
      </w:r>
      <w:r w:rsidRPr="00DB3DED">
        <w:rPr>
          <w:rFonts w:cs="Calibri"/>
        </w:rPr>
        <w:tab/>
        <w:t xml:space="preserve">Soubor pravidel, která jsou stanovena </w:t>
      </w:r>
      <w:r w:rsidRPr="00694B3F">
        <w:rPr>
          <w:rFonts w:cs="Calibri"/>
          <w:i/>
        </w:rPr>
        <w:t>Schengenskou smlouvou</w:t>
      </w:r>
      <w:r w:rsidRPr="00DB3DED">
        <w:rPr>
          <w:rFonts w:cs="Calibri"/>
        </w:rPr>
        <w:t xml:space="preserve">, </w:t>
      </w:r>
      <w:r w:rsidRPr="00694B3F">
        <w:rPr>
          <w:rFonts w:cs="Calibri"/>
          <w:i/>
        </w:rPr>
        <w:t>Úmluvou k provedení Schengenské dohody</w:t>
      </w:r>
      <w:r w:rsidRPr="00DB3DED">
        <w:rPr>
          <w:rFonts w:cs="Calibri"/>
        </w:rPr>
        <w:t xml:space="preserve"> a dalšími navazujícími předpisy. </w:t>
      </w:r>
      <w:r w:rsidRPr="00694B3F">
        <w:rPr>
          <w:rFonts w:cs="Calibri"/>
          <w:i/>
        </w:rPr>
        <w:t>Schengenská smlouva</w:t>
      </w:r>
      <w:r w:rsidRPr="00DB3DED">
        <w:rPr>
          <w:rFonts w:cs="Calibri"/>
        </w:rPr>
        <w:t xml:space="preserve"> uzavřená dne 14. června 1985 je součástí práva EU, jež umožňuje společný hraniční režim a společnou imigrační politiku. Smlouva byla základem pro zrušení celních a pasových kontrol na hranicích vnitřních států EU, čímž se vytvořil tzv. </w:t>
      </w:r>
      <w:r>
        <w:rPr>
          <w:rFonts w:cs="Calibri"/>
        </w:rPr>
        <w:t>s</w:t>
      </w:r>
      <w:r w:rsidRPr="00DB3DED">
        <w:rPr>
          <w:rFonts w:cs="Calibri"/>
        </w:rPr>
        <w:t xml:space="preserve">chengenský prostor. </w:t>
      </w:r>
      <w:r w:rsidRPr="00694B3F">
        <w:rPr>
          <w:rFonts w:cs="Calibri"/>
          <w:i/>
        </w:rPr>
        <w:t>Úmluva k provedení Schengenské dohody</w:t>
      </w:r>
      <w:r w:rsidRPr="00DB3DED">
        <w:rPr>
          <w:rFonts w:cs="Calibri"/>
        </w:rPr>
        <w:t xml:space="preserve"> uzavřená dne 19. června 1990 podrobněji popisuje principy </w:t>
      </w:r>
      <w:r>
        <w:rPr>
          <w:rFonts w:cs="Calibri"/>
        </w:rPr>
        <w:t>s</w:t>
      </w:r>
      <w:r w:rsidRPr="00DB3DED">
        <w:rPr>
          <w:rFonts w:cs="Calibri"/>
        </w:rPr>
        <w:t>chengenského prostoru a Schengenského informačního systému.</w:t>
      </w:r>
    </w:p>
  </w:footnote>
  <w:footnote w:id="14">
    <w:p w14:paraId="7C1C3E60" w14:textId="77777777" w:rsidR="00722F4E" w:rsidRPr="00DB3DED" w:rsidRDefault="00722F4E" w:rsidP="001516B6">
      <w:pPr>
        <w:pStyle w:val="Textpoznpodarou"/>
        <w:ind w:left="284" w:hanging="284"/>
        <w:jc w:val="both"/>
        <w:rPr>
          <w:rFonts w:cs="Calibri"/>
        </w:rPr>
      </w:pPr>
      <w:r w:rsidRPr="00DB3DED">
        <w:rPr>
          <w:rStyle w:val="Znakapoznpodarou"/>
          <w:rFonts w:cs="Calibri"/>
        </w:rPr>
        <w:footnoteRef/>
      </w:r>
      <w:r w:rsidRPr="00DB3DED">
        <w:rPr>
          <w:rFonts w:cs="Calibri"/>
        </w:rPr>
        <w:t xml:space="preserve"> </w:t>
      </w:r>
      <w:r w:rsidRPr="00DB3DED">
        <w:rPr>
          <w:rFonts w:cs="Calibri"/>
        </w:rPr>
        <w:tab/>
        <w:t>Schválen</w:t>
      </w:r>
      <w:r>
        <w:rPr>
          <w:rFonts w:cs="Calibri"/>
        </w:rPr>
        <w:t>á</w:t>
      </w:r>
      <w:r w:rsidRPr="00DB3DED">
        <w:rPr>
          <w:rFonts w:cs="Calibri"/>
        </w:rPr>
        <w:t xml:space="preserve"> usnesením vlády České republiky ze dne 1. června 2020 č. 599</w:t>
      </w:r>
      <w:r>
        <w:rPr>
          <w:rFonts w:cs="Calibri"/>
        </w:rPr>
        <w:t>,</w:t>
      </w:r>
      <w:r w:rsidRPr="00DB3DED">
        <w:rPr>
          <w:rFonts w:cs="Calibri"/>
        </w:rPr>
        <w:t xml:space="preserve"> </w:t>
      </w:r>
      <w:r w:rsidRPr="00694B3F">
        <w:rPr>
          <w:rFonts w:cs="Calibri"/>
          <w:i/>
        </w:rPr>
        <w:t>o Strategii České republiky pro evropskou integrovanou správu hranic 2020–2024</w:t>
      </w:r>
      <w:r w:rsidRPr="00DB3DED">
        <w:rPr>
          <w:rFonts w:cs="Calibri"/>
        </w:rPr>
        <w:t>.</w:t>
      </w:r>
    </w:p>
  </w:footnote>
  <w:footnote w:id="15">
    <w:p w14:paraId="6291D854" w14:textId="77777777" w:rsidR="00722F4E" w:rsidRPr="005953C2" w:rsidRDefault="00722F4E" w:rsidP="005953C2">
      <w:pPr>
        <w:pStyle w:val="Default"/>
        <w:ind w:left="284" w:hanging="284"/>
        <w:jc w:val="both"/>
        <w:rPr>
          <w:rFonts w:ascii="Calibri" w:hAnsi="Calibri" w:cs="Calibri"/>
          <w:sz w:val="20"/>
          <w:szCs w:val="20"/>
        </w:rPr>
      </w:pPr>
      <w:r w:rsidRPr="005953C2">
        <w:rPr>
          <w:rStyle w:val="Znakapoznpodarou"/>
          <w:rFonts w:ascii="Calibri" w:hAnsi="Calibri" w:cs="Calibri"/>
          <w:sz w:val="20"/>
          <w:szCs w:val="20"/>
        </w:rPr>
        <w:footnoteRef/>
      </w:r>
      <w:r w:rsidRPr="005953C2">
        <w:rPr>
          <w:rFonts w:ascii="Calibri" w:hAnsi="Calibri" w:cs="Calibri"/>
          <w:sz w:val="20"/>
          <w:szCs w:val="20"/>
        </w:rPr>
        <w:t xml:space="preserve"> </w:t>
      </w:r>
      <w:r w:rsidRPr="005953C2">
        <w:rPr>
          <w:rFonts w:ascii="Calibri" w:hAnsi="Calibri" w:cs="Calibri"/>
          <w:sz w:val="20"/>
          <w:szCs w:val="20"/>
        </w:rPr>
        <w:tab/>
        <w:t>Schválená usnesením vlády České republiky ze dne 18. ledna 2016 č. 26</w:t>
      </w:r>
      <w:r>
        <w:rPr>
          <w:rFonts w:ascii="Calibri" w:hAnsi="Calibri" w:cs="Calibri"/>
          <w:sz w:val="20"/>
          <w:szCs w:val="20"/>
        </w:rPr>
        <w:t>,</w:t>
      </w:r>
      <w:r w:rsidRPr="005953C2">
        <w:rPr>
          <w:rFonts w:ascii="Calibri" w:hAnsi="Calibri" w:cs="Calibri"/>
          <w:sz w:val="20"/>
          <w:szCs w:val="20"/>
        </w:rPr>
        <w:t xml:space="preserve"> </w:t>
      </w:r>
      <w:r w:rsidRPr="00694B3F">
        <w:rPr>
          <w:rFonts w:ascii="Calibri" w:hAnsi="Calibri" w:cs="Calibri"/>
          <w:i/>
          <w:sz w:val="20"/>
          <w:szCs w:val="20"/>
        </w:rPr>
        <w:t>o aktualizované Koncepci integrace cizinců – Ve vzájemném respektu a o Postupu při realizaci aktualizované Koncepce integrace cizinců v roce 2016</w:t>
      </w:r>
      <w:r w:rsidRPr="005953C2">
        <w:rPr>
          <w:rFonts w:ascii="Calibri" w:hAnsi="Calibri" w:cs="Calibri"/>
          <w:sz w:val="20"/>
          <w:szCs w:val="20"/>
        </w:rPr>
        <w:t>.</w:t>
      </w:r>
    </w:p>
  </w:footnote>
  <w:footnote w:id="16">
    <w:p w14:paraId="102502E2" w14:textId="77777777" w:rsidR="00722F4E" w:rsidRPr="00DA57A2" w:rsidRDefault="00722F4E" w:rsidP="00606715">
      <w:pPr>
        <w:pStyle w:val="Textpoznpodarou"/>
        <w:ind w:left="284" w:hanging="284"/>
        <w:rPr>
          <w:rFonts w:cs="Calibri"/>
        </w:rPr>
      </w:pPr>
      <w:r w:rsidRPr="00DA57A2">
        <w:rPr>
          <w:rStyle w:val="Znakapoznpodarou"/>
          <w:rFonts w:cs="Calibri"/>
        </w:rPr>
        <w:footnoteRef/>
      </w:r>
      <w:r w:rsidRPr="00DA57A2">
        <w:rPr>
          <w:rFonts w:cs="Calibri"/>
        </w:rPr>
        <w:t xml:space="preserve"> </w:t>
      </w:r>
      <w:r w:rsidRPr="00DA57A2">
        <w:rPr>
          <w:rFonts w:cs="Calibri"/>
        </w:rPr>
        <w:tab/>
        <w:t>Schválená usnesením vlády České republiky ze dne 20. listopadu 2015 č. 955</w:t>
      </w:r>
      <w:r>
        <w:rPr>
          <w:rFonts w:cs="Calibri"/>
        </w:rPr>
        <w:t>,</w:t>
      </w:r>
      <w:r w:rsidRPr="00DA57A2">
        <w:rPr>
          <w:rFonts w:cs="Calibri"/>
        </w:rPr>
        <w:t xml:space="preserve"> </w:t>
      </w:r>
      <w:r w:rsidRPr="00694B3F">
        <w:rPr>
          <w:rFonts w:cs="Calibri"/>
          <w:i/>
        </w:rPr>
        <w:t>o Koncepci Ministerstva vnitra pro asistenci uprchlíkům a státům pod silnými migračními tlaky</w:t>
      </w:r>
      <w:r w:rsidRPr="00DA57A2">
        <w:rPr>
          <w:rFonts w:cs="Calibri"/>
        </w:rPr>
        <w:t xml:space="preserve">. </w:t>
      </w:r>
    </w:p>
  </w:footnote>
  <w:footnote w:id="17">
    <w:p w14:paraId="76EC4EF2" w14:textId="77777777" w:rsidR="00722F4E" w:rsidRPr="002B6F73" w:rsidRDefault="00722F4E" w:rsidP="002B6F73">
      <w:pPr>
        <w:pStyle w:val="Textpoznpodarou"/>
        <w:ind w:left="284" w:hanging="284"/>
        <w:jc w:val="both"/>
      </w:pPr>
      <w:r>
        <w:rPr>
          <w:rStyle w:val="Znakapoznpodarou"/>
        </w:rPr>
        <w:footnoteRef/>
      </w:r>
      <w:r>
        <w:t xml:space="preserve"> </w:t>
      </w:r>
      <w:r>
        <w:tab/>
      </w:r>
      <w:r>
        <w:rPr>
          <w:i/>
        </w:rPr>
        <w:t xml:space="preserve">Národní program – Fond pro vnitřní bezpečnost </w:t>
      </w:r>
      <w:r>
        <w:t xml:space="preserve">se člení na část </w:t>
      </w:r>
      <w:r>
        <w:rPr>
          <w:i/>
        </w:rPr>
        <w:t>Hranice</w:t>
      </w:r>
      <w:r>
        <w:t xml:space="preserve"> se specifickými cíli č. 1 </w:t>
      </w:r>
      <w:r w:rsidRPr="00694B3F">
        <w:rPr>
          <w:i/>
        </w:rPr>
        <w:t>Víza</w:t>
      </w:r>
      <w:r>
        <w:t xml:space="preserve"> a č. 2 </w:t>
      </w:r>
      <w:r w:rsidRPr="00694B3F">
        <w:rPr>
          <w:i/>
        </w:rPr>
        <w:t>Hranice</w:t>
      </w:r>
      <w:r>
        <w:t xml:space="preserve"> a část </w:t>
      </w:r>
      <w:r w:rsidRPr="002D4FB6">
        <w:rPr>
          <w:i/>
        </w:rPr>
        <w:t>Policejní spolupráce</w:t>
      </w:r>
      <w:r>
        <w:t xml:space="preserve">, která nebyla zahrnuta do kontrolované problematiky. </w:t>
      </w:r>
    </w:p>
  </w:footnote>
  <w:footnote w:id="18">
    <w:p w14:paraId="629D989E" w14:textId="53A17542" w:rsidR="00722F4E" w:rsidRDefault="00722F4E" w:rsidP="00612210">
      <w:pPr>
        <w:pStyle w:val="Textpoznpodarou"/>
        <w:ind w:left="284" w:hanging="284"/>
        <w:jc w:val="both"/>
      </w:pPr>
      <w:r>
        <w:rPr>
          <w:rStyle w:val="Znakapoznpodarou"/>
        </w:rPr>
        <w:footnoteRef/>
      </w:r>
      <w:r>
        <w:t xml:space="preserve"> </w:t>
      </w:r>
      <w:r>
        <w:tab/>
        <w:t xml:space="preserve">Ke kontrole NKÚ bylo vybráno sedm projektů specifického cíle č. 2 </w:t>
      </w:r>
      <w:r w:rsidRPr="00694B3F">
        <w:rPr>
          <w:i/>
        </w:rPr>
        <w:t>Hranice</w:t>
      </w:r>
      <w:r>
        <w:t xml:space="preserve"> s celkovou hodnotou 409,1 mil. Kč (z toho 332 mil. Kč z fondů EU). Prostředky EU činí zpravidla 75 % způsobilých výdajů projektu.</w:t>
      </w:r>
    </w:p>
  </w:footnote>
  <w:footnote w:id="19">
    <w:p w14:paraId="52F4C53B" w14:textId="741C525E" w:rsidR="00722F4E" w:rsidRDefault="00722F4E">
      <w:pPr>
        <w:pStyle w:val="Textpoznpodarou"/>
      </w:pPr>
      <w:r>
        <w:rPr>
          <w:rStyle w:val="Znakapoznpodarou"/>
        </w:rPr>
        <w:footnoteRef/>
      </w:r>
      <w:r>
        <w:t xml:space="preserve"> </w:t>
      </w:r>
      <w:r>
        <w:tab/>
        <w:t>Hodnota je přepočtena kurzem 25,50 Kč/€ a je uvedena včetně výdajů na technickou pomoc.</w:t>
      </w:r>
    </w:p>
  </w:footnote>
  <w:footnote w:id="20">
    <w:p w14:paraId="133F4E7D" w14:textId="77777777" w:rsidR="00722F4E" w:rsidRDefault="00722F4E" w:rsidP="00416700">
      <w:pPr>
        <w:pStyle w:val="Textpoznpodarou"/>
        <w:ind w:left="284" w:hanging="284"/>
        <w:jc w:val="both"/>
      </w:pPr>
      <w:r>
        <w:rPr>
          <w:rStyle w:val="Znakapoznpodarou"/>
        </w:rPr>
        <w:footnoteRef/>
      </w:r>
      <w:r>
        <w:t xml:space="preserve"> </w:t>
      </w:r>
      <w:r>
        <w:tab/>
      </w:r>
      <w:r w:rsidRPr="00797B11">
        <w:t>K</w:t>
      </w:r>
      <w:r>
        <w:t>e k</w:t>
      </w:r>
      <w:r w:rsidRPr="00797B11">
        <w:t>ontrole</w:t>
      </w:r>
      <w:r>
        <w:t xml:space="preserve"> NKÚ b</w:t>
      </w:r>
      <w:r w:rsidRPr="00797B11">
        <w:t>yl</w:t>
      </w:r>
      <w:r>
        <w:t>o</w:t>
      </w:r>
      <w:r w:rsidRPr="00797B11">
        <w:t xml:space="preserve"> </w:t>
      </w:r>
      <w:r>
        <w:t xml:space="preserve">vybráno šest projektů </w:t>
      </w:r>
      <w:r w:rsidRPr="00797B11">
        <w:t>specifick</w:t>
      </w:r>
      <w:r>
        <w:t xml:space="preserve">ého </w:t>
      </w:r>
      <w:r w:rsidRPr="00797B11">
        <w:t>cíl</w:t>
      </w:r>
      <w:r>
        <w:t xml:space="preserve">e č. 1 </w:t>
      </w:r>
      <w:r w:rsidRPr="00694B3F">
        <w:rPr>
          <w:i/>
        </w:rPr>
        <w:t>Azyl</w:t>
      </w:r>
      <w:r w:rsidRPr="00797B11">
        <w:t xml:space="preserve"> </w:t>
      </w:r>
      <w:r>
        <w:t xml:space="preserve">a 14 projektů specifického cíle č. 2 </w:t>
      </w:r>
      <w:r w:rsidRPr="00694B3F">
        <w:rPr>
          <w:i/>
        </w:rPr>
        <w:t>Integrace</w:t>
      </w:r>
      <w:r>
        <w:t xml:space="preserve"> za celkem 443,2 mil. Kč (z toho 332,4 mil. Kč z fondů EU). Prostředky EU činí 75 % způsobilých výdajů projektu.</w:t>
      </w:r>
    </w:p>
  </w:footnote>
  <w:footnote w:id="21">
    <w:p w14:paraId="7EB2D405" w14:textId="3F9E0D7C" w:rsidR="00722F4E" w:rsidRDefault="00722F4E">
      <w:pPr>
        <w:pStyle w:val="Textpoznpodarou"/>
      </w:pPr>
      <w:r>
        <w:rPr>
          <w:rStyle w:val="Znakapoznpodarou"/>
        </w:rPr>
        <w:footnoteRef/>
      </w:r>
      <w:r>
        <w:t xml:space="preserve"> </w:t>
      </w:r>
      <w:r>
        <w:tab/>
        <w:t>Definici obou pojmů uvádí příloha č. 2 tohoto kontrolního závěru.</w:t>
      </w:r>
    </w:p>
  </w:footnote>
  <w:footnote w:id="22">
    <w:p w14:paraId="2D7CB004" w14:textId="0951C8CF" w:rsidR="00722F4E" w:rsidRPr="002F6B55" w:rsidRDefault="00722F4E" w:rsidP="002F6B55">
      <w:pPr>
        <w:pStyle w:val="Textpoznpodarou"/>
        <w:ind w:left="284" w:hanging="284"/>
        <w:jc w:val="both"/>
        <w:rPr>
          <w:rFonts w:cs="Calibri"/>
        </w:rPr>
      </w:pPr>
      <w:r w:rsidRPr="002F6B55">
        <w:rPr>
          <w:rStyle w:val="Znakapoznpodarou"/>
          <w:rFonts w:cs="Calibri"/>
        </w:rPr>
        <w:footnoteRef/>
      </w:r>
      <w:r w:rsidRPr="002F6B55">
        <w:rPr>
          <w:rFonts w:cs="Calibri"/>
        </w:rPr>
        <w:t xml:space="preserve"> </w:t>
      </w:r>
      <w:r w:rsidRPr="002F6B55">
        <w:rPr>
          <w:rFonts w:cs="Calibri"/>
        </w:rPr>
        <w:tab/>
        <w:t>Usnesení vlády České republiky ze dne 20. listopadu 2015 č. 954</w:t>
      </w:r>
      <w:r>
        <w:rPr>
          <w:rFonts w:cs="Calibri"/>
        </w:rPr>
        <w:t>,</w:t>
      </w:r>
      <w:r w:rsidRPr="002F6B55">
        <w:rPr>
          <w:rFonts w:cs="Calibri"/>
        </w:rPr>
        <w:t xml:space="preserve"> </w:t>
      </w:r>
      <w:r w:rsidRPr="00694B3F">
        <w:rPr>
          <w:rFonts w:cs="Calibri"/>
          <w:i/>
        </w:rPr>
        <w:t>o státním integračním programu pro osoby s udělenou mezinárodní ochranou v roce 2016 a v letech následujících</w:t>
      </w:r>
      <w:r w:rsidRPr="002F6B55">
        <w:rPr>
          <w:rFonts w:cs="Calibri"/>
        </w:rPr>
        <w:t>.</w:t>
      </w:r>
    </w:p>
  </w:footnote>
  <w:footnote w:id="23">
    <w:p w14:paraId="23794805" w14:textId="795B82A8" w:rsidR="00722F4E" w:rsidRPr="002F6B55" w:rsidRDefault="00722F4E" w:rsidP="002F6B55">
      <w:pPr>
        <w:pStyle w:val="Textpoznpodarou"/>
        <w:tabs>
          <w:tab w:val="left" w:pos="284"/>
        </w:tabs>
        <w:ind w:left="284" w:hanging="284"/>
        <w:jc w:val="both"/>
        <w:rPr>
          <w:rFonts w:cs="Calibri"/>
        </w:rPr>
      </w:pPr>
      <w:r w:rsidRPr="002F6B55">
        <w:rPr>
          <w:rStyle w:val="Znakapoznpodarou"/>
          <w:rFonts w:cs="Calibri"/>
        </w:rPr>
        <w:footnoteRef/>
      </w:r>
      <w:r w:rsidRPr="002F6B55">
        <w:rPr>
          <w:rFonts w:cs="Calibri"/>
        </w:rPr>
        <w:t xml:space="preserve"> </w:t>
      </w:r>
      <w:r w:rsidRPr="002F6B55">
        <w:rPr>
          <w:rFonts w:cs="Calibri"/>
        </w:rPr>
        <w:tab/>
        <w:t>Usnesení vlády České republiky ze dne 16. ledna 2017 č. 36</w:t>
      </w:r>
      <w:r>
        <w:rPr>
          <w:rFonts w:cs="Calibri"/>
        </w:rPr>
        <w:t>,</w:t>
      </w:r>
      <w:r w:rsidRPr="002F6B55">
        <w:rPr>
          <w:rFonts w:cs="Calibri"/>
        </w:rPr>
        <w:t xml:space="preserve"> </w:t>
      </w:r>
      <w:r w:rsidRPr="00694B3F">
        <w:rPr>
          <w:rFonts w:cs="Calibri"/>
          <w:i/>
        </w:rPr>
        <w:t>o změně usnesení vlády ze dne 20. listopadu 2015 č. 954, o státním integračním programu pro osoby s udělenou mezinárodní ochranou v roce 2016 a v letech následujících</w:t>
      </w:r>
      <w:r w:rsidRPr="002F6B55">
        <w:rPr>
          <w:rFonts w:cs="Calibri"/>
        </w:rPr>
        <w:t>.</w:t>
      </w:r>
    </w:p>
  </w:footnote>
  <w:footnote w:id="24">
    <w:p w14:paraId="7ECCB4FD" w14:textId="77777777" w:rsidR="00722F4E" w:rsidRDefault="00722F4E" w:rsidP="00104228">
      <w:pPr>
        <w:pStyle w:val="Textpoznpodarou"/>
        <w:ind w:left="284" w:hanging="284"/>
        <w:jc w:val="both"/>
      </w:pPr>
      <w:r>
        <w:rPr>
          <w:rStyle w:val="Znakapoznpodarou"/>
        </w:rPr>
        <w:footnoteRef/>
      </w:r>
      <w:r>
        <w:t xml:space="preserve"> </w:t>
      </w:r>
      <w:r>
        <w:tab/>
        <w:t>Azylanti a držitelé doplňkové ochrany, pokud o účast v SIP požádali a splňují stanovené podmínky.</w:t>
      </w:r>
    </w:p>
  </w:footnote>
  <w:footnote w:id="25">
    <w:p w14:paraId="0E485190" w14:textId="77777777" w:rsidR="00722F4E" w:rsidRDefault="00722F4E" w:rsidP="00416700">
      <w:pPr>
        <w:pStyle w:val="Textpoznpodarou"/>
        <w:ind w:left="284" w:hanging="284"/>
        <w:jc w:val="both"/>
      </w:pPr>
      <w:r>
        <w:rPr>
          <w:rStyle w:val="Znakapoznpodarou"/>
        </w:rPr>
        <w:footnoteRef/>
      </w:r>
      <w:r>
        <w:t xml:space="preserve"> </w:t>
      </w:r>
      <w:r>
        <w:tab/>
        <w:t xml:space="preserve">Stanovená maximální výše peněžních prostředků na realizaci integračního plánu činí </w:t>
      </w:r>
      <w:r w:rsidRPr="00416700">
        <w:t>120 000 Kč pro jednu oprávněnou osobu</w:t>
      </w:r>
      <w:r>
        <w:t xml:space="preserve">, </w:t>
      </w:r>
      <w:r w:rsidRPr="00416700">
        <w:t xml:space="preserve">200 000 Kč </w:t>
      </w:r>
      <w:r>
        <w:t xml:space="preserve">dohromady </w:t>
      </w:r>
      <w:r w:rsidRPr="00416700">
        <w:t>pro dvě až čtyři oprávněné osoby žijící v jedné společné domácnosti</w:t>
      </w:r>
      <w:r>
        <w:t xml:space="preserve"> a </w:t>
      </w:r>
      <w:r w:rsidRPr="00416700">
        <w:t>250 000 Kč</w:t>
      </w:r>
      <w:r>
        <w:t xml:space="preserve"> dohromady pr</w:t>
      </w:r>
      <w:r w:rsidRPr="00416700">
        <w:t>o pět a více oprávněných osob žijících v jedné společné domácnosti</w:t>
      </w:r>
      <w:r>
        <w:t>.</w:t>
      </w:r>
    </w:p>
  </w:footnote>
  <w:footnote w:id="26">
    <w:p w14:paraId="076DBA56" w14:textId="77777777" w:rsidR="00722F4E" w:rsidRDefault="00722F4E" w:rsidP="00132150">
      <w:pPr>
        <w:pStyle w:val="Textpoznpodarou"/>
        <w:ind w:left="284" w:hanging="284"/>
        <w:jc w:val="both"/>
      </w:pPr>
      <w:r>
        <w:rPr>
          <w:rStyle w:val="Znakapoznpodarou"/>
        </w:rPr>
        <w:footnoteRef/>
      </w:r>
      <w:r>
        <w:t xml:space="preserve"> </w:t>
      </w:r>
      <w:r>
        <w:tab/>
        <w:t xml:space="preserve">Další prostředky ve výši 1 203 tis. Kč poskytlo MV v roce 2017 předchozímu generálnímu poskytovateli integračních služeb za služby v předchozím období. </w:t>
      </w:r>
    </w:p>
  </w:footnote>
  <w:footnote w:id="27">
    <w:p w14:paraId="1792317D" w14:textId="0A2F20DF" w:rsidR="00722F4E" w:rsidRPr="002F6B55" w:rsidRDefault="00722F4E" w:rsidP="002F6B55">
      <w:pPr>
        <w:pStyle w:val="Textpoznpodarou"/>
        <w:tabs>
          <w:tab w:val="left" w:pos="284"/>
        </w:tabs>
        <w:ind w:left="284" w:hanging="284"/>
        <w:jc w:val="both"/>
        <w:rPr>
          <w:rFonts w:cs="Calibri"/>
        </w:rPr>
      </w:pPr>
      <w:r w:rsidRPr="002F6B55">
        <w:rPr>
          <w:rStyle w:val="Znakapoznpodarou"/>
          <w:rFonts w:cs="Calibri"/>
        </w:rPr>
        <w:footnoteRef/>
      </w:r>
      <w:r w:rsidRPr="002F6B55">
        <w:rPr>
          <w:rFonts w:cs="Calibri"/>
        </w:rPr>
        <w:t xml:space="preserve"> </w:t>
      </w:r>
      <w:r w:rsidRPr="002F6B55">
        <w:rPr>
          <w:rFonts w:cs="Calibri"/>
        </w:rPr>
        <w:tab/>
        <w:t>Usnesení vlády České republiky ze dne 14. ledna 2015 č. 19</w:t>
      </w:r>
      <w:r>
        <w:rPr>
          <w:rFonts w:cs="Calibri"/>
        </w:rPr>
        <w:t>,</w:t>
      </w:r>
      <w:r w:rsidRPr="002F6B55">
        <w:rPr>
          <w:rFonts w:cs="Calibri"/>
        </w:rPr>
        <w:t xml:space="preserve"> </w:t>
      </w:r>
      <w:r w:rsidRPr="00694B3F">
        <w:rPr>
          <w:rFonts w:cs="Calibri"/>
          <w:i/>
        </w:rPr>
        <w:t>ke zřízení Programu Ministerstva vnitra na asistenci uprchlíkům v regionech původu a prevenci velkých migračních pohybů</w:t>
      </w:r>
      <w:r w:rsidRPr="002F6B55">
        <w:rPr>
          <w:rFonts w:cs="Calibri"/>
        </w:rPr>
        <w:t>.</w:t>
      </w:r>
    </w:p>
  </w:footnote>
  <w:footnote w:id="28">
    <w:p w14:paraId="5E813D62" w14:textId="77777777" w:rsidR="00722F4E" w:rsidRPr="00BF388C" w:rsidRDefault="00722F4E" w:rsidP="00166D55">
      <w:pPr>
        <w:pStyle w:val="Textpoznpodarou"/>
        <w:ind w:left="284" w:hanging="284"/>
        <w:jc w:val="both"/>
        <w:rPr>
          <w:rFonts w:cstheme="minorHAnsi"/>
        </w:rPr>
      </w:pPr>
      <w:r w:rsidRPr="00457E1C">
        <w:rPr>
          <w:rStyle w:val="Znakapoznpodarou"/>
          <w:rFonts w:ascii="Calibri" w:hAnsi="Calibri" w:cs="Calibri"/>
        </w:rPr>
        <w:footnoteRef/>
      </w:r>
      <w:r w:rsidRPr="00457E1C">
        <w:rPr>
          <w:rFonts w:ascii="Calibri" w:hAnsi="Calibri" w:cs="Calibri"/>
        </w:rPr>
        <w:t xml:space="preserve"> </w:t>
      </w:r>
      <w:r w:rsidRPr="00457E1C">
        <w:rPr>
          <w:rFonts w:ascii="Calibri" w:hAnsi="Calibri" w:cs="Calibri"/>
        </w:rPr>
        <w:tab/>
      </w:r>
      <w:r w:rsidRPr="00BF388C">
        <w:rPr>
          <w:rFonts w:cstheme="minorHAnsi"/>
        </w:rPr>
        <w:t>Ustanovení § 39 zákona č. 218/2000 Sb., o rozpočtových pravidlech a o změně některých souvisejících zákonů (rozpočtová pravidla), ustanovení § 2 písm. m) až o) zákona č. 320/2001 Sb., o finanční kontrole ve veřejné správě a o změně některých zákonů (zákon o finanční kontrole).</w:t>
      </w:r>
    </w:p>
  </w:footnote>
  <w:footnote w:id="29">
    <w:p w14:paraId="1F1CC28D" w14:textId="77777777" w:rsidR="00722F4E" w:rsidRPr="00457E1C" w:rsidRDefault="00722F4E" w:rsidP="00533102">
      <w:pPr>
        <w:pStyle w:val="Textpoznpodarou"/>
        <w:ind w:left="284" w:hanging="284"/>
        <w:jc w:val="both"/>
        <w:rPr>
          <w:rFonts w:ascii="Calibri" w:hAnsi="Calibri" w:cs="Calibri"/>
        </w:rPr>
      </w:pPr>
      <w:r w:rsidRPr="00457E1C">
        <w:rPr>
          <w:rStyle w:val="Znakapoznpodarou"/>
          <w:rFonts w:ascii="Calibri" w:hAnsi="Calibri" w:cs="Calibri"/>
        </w:rPr>
        <w:footnoteRef/>
      </w:r>
      <w:r w:rsidRPr="00457E1C">
        <w:rPr>
          <w:rFonts w:ascii="Calibri" w:hAnsi="Calibri" w:cs="Calibri"/>
        </w:rPr>
        <w:tab/>
      </w:r>
      <w:r>
        <w:rPr>
          <w:rFonts w:ascii="Calibri" w:hAnsi="Calibri" w:cs="Calibri"/>
        </w:rPr>
        <w:t>Dle</w:t>
      </w:r>
      <w:r w:rsidRPr="00457E1C">
        <w:rPr>
          <w:rFonts w:ascii="Calibri" w:hAnsi="Calibri" w:cs="Calibri"/>
        </w:rPr>
        <w:t> ustanovení § 2 písm. o) zákona č</w:t>
      </w:r>
      <w:r w:rsidRPr="00027046">
        <w:rPr>
          <w:rFonts w:ascii="Calibri" w:hAnsi="Calibri" w:cs="Calibri"/>
        </w:rPr>
        <w:t>. 320/2001 Sb.</w:t>
      </w:r>
    </w:p>
  </w:footnote>
  <w:footnote w:id="30">
    <w:p w14:paraId="2D606EEB" w14:textId="77777777" w:rsidR="00722F4E" w:rsidRPr="00032EA4" w:rsidRDefault="00722F4E" w:rsidP="00533102">
      <w:pPr>
        <w:pStyle w:val="Textpoznpodarou"/>
        <w:ind w:left="284" w:hanging="284"/>
        <w:jc w:val="both"/>
        <w:rPr>
          <w:rFonts w:ascii="Calibri" w:hAnsi="Calibri" w:cs="Calibri"/>
        </w:rPr>
      </w:pPr>
      <w:r w:rsidRPr="00032EA4">
        <w:rPr>
          <w:rStyle w:val="Znakapoznpodarou"/>
          <w:rFonts w:ascii="Calibri" w:hAnsi="Calibri" w:cs="Calibri"/>
        </w:rPr>
        <w:footnoteRef/>
      </w:r>
      <w:r w:rsidRPr="00032EA4">
        <w:rPr>
          <w:rFonts w:ascii="Calibri" w:hAnsi="Calibri" w:cs="Calibri"/>
        </w:rPr>
        <w:t xml:space="preserve"> </w:t>
      </w:r>
      <w:r w:rsidRPr="00032EA4">
        <w:rPr>
          <w:rFonts w:ascii="Calibri" w:hAnsi="Calibri" w:cs="Calibri"/>
        </w:rPr>
        <w:tab/>
        <w:t>D</w:t>
      </w:r>
      <w:r>
        <w:rPr>
          <w:rFonts w:ascii="Calibri" w:hAnsi="Calibri" w:cs="Calibri"/>
        </w:rPr>
        <w:t>le</w:t>
      </w:r>
      <w:r w:rsidRPr="00032EA4">
        <w:rPr>
          <w:rFonts w:ascii="Calibri" w:hAnsi="Calibri" w:cs="Calibri"/>
        </w:rPr>
        <w:t xml:space="preserve"> ustanovení § 2 písm. n) zákona č. 320/2001 Sb. </w:t>
      </w:r>
    </w:p>
  </w:footnote>
  <w:footnote w:id="31">
    <w:p w14:paraId="678C0316" w14:textId="77777777" w:rsidR="00722F4E" w:rsidRPr="00032EA4" w:rsidRDefault="00722F4E" w:rsidP="00533102">
      <w:pPr>
        <w:pStyle w:val="Textpoznpodarou"/>
        <w:ind w:left="284" w:hanging="284"/>
        <w:jc w:val="both"/>
        <w:rPr>
          <w:rFonts w:ascii="Calibri" w:hAnsi="Calibri" w:cs="Calibri"/>
        </w:rPr>
      </w:pPr>
      <w:r w:rsidRPr="00032EA4">
        <w:rPr>
          <w:rStyle w:val="Znakapoznpodarou"/>
          <w:rFonts w:ascii="Calibri" w:hAnsi="Calibri" w:cs="Calibri"/>
        </w:rPr>
        <w:footnoteRef/>
      </w:r>
      <w:r w:rsidRPr="00032EA4">
        <w:rPr>
          <w:rFonts w:ascii="Calibri" w:hAnsi="Calibri" w:cs="Calibri"/>
        </w:rPr>
        <w:t xml:space="preserve"> </w:t>
      </w:r>
      <w:r w:rsidRPr="00032EA4">
        <w:rPr>
          <w:rFonts w:ascii="Calibri" w:hAnsi="Calibri" w:cs="Calibri"/>
        </w:rPr>
        <w:tab/>
        <w:t>D</w:t>
      </w:r>
      <w:r>
        <w:rPr>
          <w:rFonts w:ascii="Calibri" w:hAnsi="Calibri" w:cs="Calibri"/>
        </w:rPr>
        <w:t>le</w:t>
      </w:r>
      <w:r w:rsidRPr="00032EA4">
        <w:rPr>
          <w:rFonts w:ascii="Calibri" w:hAnsi="Calibri" w:cs="Calibri"/>
        </w:rPr>
        <w:t xml:space="preserve"> ustanovení § 2 písm. m) zákona č. 320/2001 Sb. </w:t>
      </w:r>
    </w:p>
  </w:footnote>
  <w:footnote w:id="32">
    <w:p w14:paraId="015F5B68" w14:textId="77777777" w:rsidR="00722F4E" w:rsidRDefault="00722F4E">
      <w:pPr>
        <w:pStyle w:val="Textpoznpodarou"/>
      </w:pPr>
      <w:r>
        <w:rPr>
          <w:rStyle w:val="Znakapoznpodarou"/>
        </w:rPr>
        <w:footnoteRef/>
      </w:r>
      <w:r>
        <w:t xml:space="preserve"> </w:t>
      </w:r>
      <w:r>
        <w:tab/>
        <w:t>MV a SUZ MV jsou zároveň příjemci podpory z NP ISF a NP AMIF.</w:t>
      </w:r>
    </w:p>
  </w:footnote>
  <w:footnote w:id="33">
    <w:p w14:paraId="42425449" w14:textId="77777777" w:rsidR="00722F4E" w:rsidRDefault="00722F4E" w:rsidP="0048039B">
      <w:pPr>
        <w:pStyle w:val="Textpoznpodarou"/>
        <w:ind w:left="284" w:hanging="284"/>
        <w:jc w:val="both"/>
      </w:pPr>
      <w:r>
        <w:rPr>
          <w:rStyle w:val="Znakapoznpodarou"/>
        </w:rPr>
        <w:footnoteRef/>
      </w:r>
      <w:r>
        <w:t xml:space="preserve"> </w:t>
      </w:r>
      <w:r>
        <w:tab/>
        <w:t xml:space="preserve">Na realizaci SIP se kromě SUZ MV </w:t>
      </w:r>
      <w:r w:rsidRPr="00460072">
        <w:t>podíle</w:t>
      </w:r>
      <w:r>
        <w:t>ly</w:t>
      </w:r>
      <w:r w:rsidRPr="00460072">
        <w:t xml:space="preserve"> také ne</w:t>
      </w:r>
      <w:r>
        <w:t>vládní</w:t>
      </w:r>
      <w:r w:rsidRPr="00460072">
        <w:t xml:space="preserve"> neziskové organizace</w:t>
      </w:r>
      <w:r>
        <w:t>. V letech 2017 až 2019 byla téměř jedna třetina z 241 nově uzavřených integračních plánů realizována těmito organizacemi, zbylou část zabezpečovala SUZ MV.</w:t>
      </w:r>
    </w:p>
  </w:footnote>
  <w:footnote w:id="34">
    <w:p w14:paraId="05A85482" w14:textId="6505DB12" w:rsidR="00722F4E" w:rsidRPr="00884775" w:rsidRDefault="00722F4E" w:rsidP="00613BDA">
      <w:pPr>
        <w:pStyle w:val="Textpoznpodarou"/>
        <w:ind w:left="284" w:hanging="284"/>
        <w:jc w:val="both"/>
        <w:rPr>
          <w:color w:val="000000" w:themeColor="text1"/>
        </w:rPr>
      </w:pPr>
      <w:r>
        <w:rPr>
          <w:rStyle w:val="Znakapoznpodarou"/>
        </w:rPr>
        <w:footnoteRef/>
      </w:r>
      <w:r>
        <w:t xml:space="preserve"> </w:t>
      </w:r>
      <w:r>
        <w:tab/>
        <w:t>V roce 2016 bylo na financování NP AMIF a NP ISF vynaloženo celkem 104,8 mil. Kč (z toho 85,4 mil. Kč z rozpočtu EU). Výdaje na financování obou programů v období 2017 až 2019 v celkové výši 412,5 mil. Kč (z toho 311,1 mil. Kč z rozpočtu EU) jsou uvedeny v příloze č. 1 tohoto kontrolního závěru. V roce 20</w:t>
      </w:r>
      <w:r w:rsidRPr="00884775">
        <w:rPr>
          <w:color w:val="000000" w:themeColor="text1"/>
        </w:rPr>
        <w:t>20 bylo na financování NP AMIF a NP ISF vynaloženo celkem 291,6 mil. Kč (z toho 225,2 mil. Kč z rozpočtu EU).</w:t>
      </w:r>
    </w:p>
  </w:footnote>
  <w:footnote w:id="35">
    <w:p w14:paraId="25BEB1F4" w14:textId="77777777" w:rsidR="00722F4E" w:rsidRPr="00884775" w:rsidRDefault="00722F4E" w:rsidP="00534378">
      <w:pPr>
        <w:pStyle w:val="Textpoznpodarou"/>
        <w:ind w:left="284" w:hanging="284"/>
        <w:jc w:val="both"/>
        <w:rPr>
          <w:rFonts w:eastAsia="Times New Roman" w:cstheme="minorHAnsi"/>
          <w:color w:val="000000" w:themeColor="text1"/>
        </w:rPr>
      </w:pPr>
      <w:r w:rsidRPr="00884775">
        <w:rPr>
          <w:rStyle w:val="Znakapoznpodarou"/>
          <w:rFonts w:cs="Calibri"/>
          <w:color w:val="000000" w:themeColor="text1"/>
        </w:rPr>
        <w:footnoteRef/>
      </w:r>
      <w:r w:rsidRPr="00884775">
        <w:rPr>
          <w:rFonts w:cs="Calibri"/>
          <w:color w:val="000000" w:themeColor="text1"/>
        </w:rPr>
        <w:t xml:space="preserve"> </w:t>
      </w:r>
      <w:r w:rsidRPr="00884775">
        <w:rPr>
          <w:rFonts w:cs="Calibri"/>
          <w:color w:val="000000" w:themeColor="text1"/>
        </w:rPr>
        <w:tab/>
      </w:r>
      <w:r w:rsidRPr="00884775">
        <w:rPr>
          <w:rFonts w:eastAsia="Calibri" w:cstheme="minorHAnsi"/>
          <w:color w:val="000000" w:themeColor="text1"/>
        </w:rPr>
        <w:t xml:space="preserve">Způsob hodnocení kvality nastavených cílů: SMART je akronym z počátečních písmen anglických názvů vlastností cílů, které by měly být: </w:t>
      </w:r>
      <w:r w:rsidRPr="00884775">
        <w:rPr>
          <w:rFonts w:eastAsia="Calibri" w:cstheme="minorHAnsi"/>
          <w:i/>
          <w:color w:val="000000" w:themeColor="text1"/>
        </w:rPr>
        <w:t>specific</w:t>
      </w:r>
      <w:r w:rsidRPr="00884775">
        <w:rPr>
          <w:rFonts w:eastAsia="Calibri" w:cstheme="minorHAnsi"/>
          <w:color w:val="000000" w:themeColor="text1"/>
        </w:rPr>
        <w:t xml:space="preserve"> (specifické), </w:t>
      </w:r>
      <w:r w:rsidRPr="00884775">
        <w:rPr>
          <w:rFonts w:eastAsia="Calibri" w:cstheme="minorHAnsi"/>
          <w:i/>
          <w:color w:val="000000" w:themeColor="text1"/>
        </w:rPr>
        <w:t>measurable</w:t>
      </w:r>
      <w:r w:rsidRPr="00884775">
        <w:rPr>
          <w:rFonts w:eastAsia="Calibri" w:cstheme="minorHAnsi"/>
          <w:color w:val="000000" w:themeColor="text1"/>
        </w:rPr>
        <w:t xml:space="preserve"> (měřitelné), </w:t>
      </w:r>
      <w:r w:rsidRPr="00884775">
        <w:rPr>
          <w:rFonts w:eastAsia="Calibri" w:cstheme="minorHAnsi"/>
          <w:i/>
          <w:color w:val="000000" w:themeColor="text1"/>
        </w:rPr>
        <w:t xml:space="preserve">achievable </w:t>
      </w:r>
      <w:r w:rsidRPr="00884775">
        <w:rPr>
          <w:rFonts w:eastAsia="Calibri" w:cstheme="minorHAnsi"/>
          <w:color w:val="000000" w:themeColor="text1"/>
        </w:rPr>
        <w:t xml:space="preserve">(dosažitelné), </w:t>
      </w:r>
      <w:r w:rsidRPr="00884775">
        <w:rPr>
          <w:rFonts w:eastAsia="Calibri" w:cstheme="minorHAnsi"/>
          <w:i/>
          <w:color w:val="000000" w:themeColor="text1"/>
        </w:rPr>
        <w:t>relevant</w:t>
      </w:r>
      <w:r w:rsidRPr="00884775">
        <w:rPr>
          <w:rFonts w:eastAsia="Calibri" w:cstheme="minorHAnsi"/>
          <w:color w:val="000000" w:themeColor="text1"/>
        </w:rPr>
        <w:t xml:space="preserve"> (relevantní), </w:t>
      </w:r>
      <w:r w:rsidRPr="00884775">
        <w:rPr>
          <w:rFonts w:eastAsia="Calibri" w:cstheme="minorHAnsi"/>
          <w:i/>
          <w:color w:val="000000" w:themeColor="text1"/>
        </w:rPr>
        <w:t>time specific</w:t>
      </w:r>
      <w:r w:rsidRPr="00884775">
        <w:rPr>
          <w:rFonts w:eastAsia="Calibri" w:cstheme="minorHAnsi"/>
          <w:color w:val="000000" w:themeColor="text1"/>
        </w:rPr>
        <w:t xml:space="preserve"> (časově vymezené).</w:t>
      </w:r>
    </w:p>
  </w:footnote>
  <w:footnote w:id="36">
    <w:p w14:paraId="1FBDB65C" w14:textId="6D3FEA2E" w:rsidR="00722F4E" w:rsidRPr="00884775" w:rsidRDefault="00722F4E" w:rsidP="00534378">
      <w:pPr>
        <w:pStyle w:val="Textpoznpodarou"/>
        <w:ind w:left="284" w:hanging="284"/>
        <w:jc w:val="both"/>
        <w:rPr>
          <w:rFonts w:cstheme="minorHAnsi"/>
          <w:color w:val="000000" w:themeColor="text1"/>
        </w:rPr>
      </w:pPr>
      <w:r w:rsidRPr="00884775">
        <w:rPr>
          <w:rStyle w:val="Znakapoznpodarou"/>
          <w:rFonts w:cstheme="minorHAnsi"/>
          <w:color w:val="000000" w:themeColor="text1"/>
        </w:rPr>
        <w:footnoteRef/>
      </w:r>
      <w:r w:rsidRPr="00884775">
        <w:rPr>
          <w:rFonts w:cstheme="minorHAnsi"/>
          <w:color w:val="000000" w:themeColor="text1"/>
        </w:rPr>
        <w:t xml:space="preserve"> </w:t>
      </w:r>
      <w:r w:rsidRPr="00884775">
        <w:rPr>
          <w:rFonts w:cstheme="minorHAnsi"/>
          <w:color w:val="000000" w:themeColor="text1"/>
        </w:rPr>
        <w:tab/>
        <w:t>Podle metodiky schválené usnesením vlády České republiky ze dne 2. května 2013 č. 318</w:t>
      </w:r>
      <w:r>
        <w:rPr>
          <w:rFonts w:cstheme="minorHAnsi"/>
          <w:color w:val="000000" w:themeColor="text1"/>
        </w:rPr>
        <w:t>,</w:t>
      </w:r>
      <w:r w:rsidRPr="00884775">
        <w:rPr>
          <w:rFonts w:cstheme="minorHAnsi"/>
          <w:color w:val="000000" w:themeColor="text1"/>
        </w:rPr>
        <w:t xml:space="preserve"> </w:t>
      </w:r>
      <w:r w:rsidRPr="0078337A">
        <w:rPr>
          <w:rFonts w:cstheme="minorHAnsi"/>
          <w:i/>
          <w:color w:val="000000" w:themeColor="text1"/>
        </w:rPr>
        <w:t>k Metodice přípravy veřejných strategií</w:t>
      </w:r>
      <w:r w:rsidRPr="00884775">
        <w:rPr>
          <w:rFonts w:cstheme="minorHAnsi"/>
          <w:color w:val="000000" w:themeColor="text1"/>
        </w:rPr>
        <w:t>, jež ukládá členům vlády a vedoucím ostatních ústředních správních úřadů vycházet z </w:t>
      </w:r>
      <w:r w:rsidRPr="0078337A">
        <w:rPr>
          <w:rFonts w:cstheme="minorHAnsi"/>
          <w:i/>
          <w:color w:val="000000" w:themeColor="text1"/>
        </w:rPr>
        <w:t>Metodiky přípravy strategických dokumentů</w:t>
      </w:r>
      <w:r w:rsidRPr="00884775">
        <w:rPr>
          <w:rFonts w:cstheme="minorHAnsi"/>
          <w:color w:val="000000" w:themeColor="text1"/>
        </w:rPr>
        <w:t xml:space="preserve">. </w:t>
      </w:r>
    </w:p>
  </w:footnote>
  <w:footnote w:id="37">
    <w:p w14:paraId="4C099D4B" w14:textId="4B0DA265" w:rsidR="00722F4E" w:rsidRDefault="00722F4E" w:rsidP="00534378">
      <w:pPr>
        <w:pStyle w:val="Textpoznpodarou"/>
        <w:ind w:left="284" w:hanging="284"/>
        <w:jc w:val="both"/>
        <w:rPr>
          <w:rFonts w:cstheme="minorHAnsi"/>
        </w:rPr>
      </w:pPr>
      <w:r>
        <w:rPr>
          <w:rStyle w:val="Znakapoznpodarou"/>
        </w:rPr>
        <w:footnoteRef/>
      </w:r>
      <w:r>
        <w:t xml:space="preserve"> </w:t>
      </w:r>
      <w:r>
        <w:rPr>
          <w:rFonts w:cstheme="minorHAnsi"/>
        </w:rPr>
        <w:tab/>
        <w:t>Kvalitativní indikátory sledují vývoj názorů a postojů české veřejnosti, např. k pobytu cizinců na území ČR nebo k cizincům na trhu práce, míře přizpůsobení cizinců českým zvyklostem, problémům soužití s majoritní společností apod. Kvantitativní indikátory sledují trendy a vývoj počtu legálně pobývajících cizinců na území ČR, jejich zaměstnanosti, vzdělávání, čerpání sociálních dávek a zdravotní péče.</w:t>
      </w:r>
    </w:p>
  </w:footnote>
  <w:footnote w:id="38">
    <w:p w14:paraId="27E43717" w14:textId="19C710E6" w:rsidR="00722F4E" w:rsidRDefault="00722F4E" w:rsidP="00F86360">
      <w:pPr>
        <w:pStyle w:val="Textpoznpodarou"/>
        <w:ind w:left="284" w:hanging="284"/>
        <w:jc w:val="both"/>
      </w:pPr>
      <w:r w:rsidRPr="00F86360">
        <w:rPr>
          <w:rStyle w:val="Znakapoznpodarou"/>
          <w:rFonts w:ascii="Calibri" w:hAnsi="Calibri" w:cs="Calibri"/>
        </w:rPr>
        <w:footnoteRef/>
      </w:r>
      <w:r w:rsidRPr="00F86360">
        <w:rPr>
          <w:rStyle w:val="Znakapoznpodarou"/>
          <w:rFonts w:ascii="Calibri" w:hAnsi="Calibri" w:cs="Calibri"/>
        </w:rPr>
        <w:t xml:space="preserve"> </w:t>
      </w:r>
      <w:r>
        <w:rPr>
          <w:rFonts w:ascii="Calibri" w:hAnsi="Calibri" w:cs="Calibri"/>
        </w:rPr>
        <w:tab/>
      </w:r>
      <w:r w:rsidRPr="00F86360">
        <w:rPr>
          <w:rStyle w:val="Znakapoznpodarou"/>
          <w:rFonts w:ascii="Calibri" w:hAnsi="Calibri" w:cs="Calibri"/>
          <w:vertAlign w:val="baseline"/>
        </w:rPr>
        <w:t xml:space="preserve">Projekty podpořené v rámci programů </w:t>
      </w:r>
      <w:r>
        <w:rPr>
          <w:rFonts w:ascii="Calibri" w:hAnsi="Calibri" w:cs="Calibri"/>
        </w:rPr>
        <w:t>N</w:t>
      </w:r>
      <w:r w:rsidRPr="00F86360">
        <w:rPr>
          <w:rStyle w:val="Znakapoznpodarou"/>
          <w:rFonts w:ascii="Calibri" w:hAnsi="Calibri" w:cs="Calibri"/>
          <w:vertAlign w:val="baseline"/>
        </w:rPr>
        <w:t xml:space="preserve">P AMIF a NP ISF mají např. jiný charakter než </w:t>
      </w:r>
      <w:r>
        <w:rPr>
          <w:rFonts w:ascii="Calibri" w:hAnsi="Calibri" w:cs="Calibri"/>
        </w:rPr>
        <w:t>integrační plány</w:t>
      </w:r>
      <w:r w:rsidRPr="00F86360">
        <w:rPr>
          <w:rStyle w:val="Znakapoznpodarou"/>
          <w:rFonts w:ascii="Calibri" w:hAnsi="Calibri" w:cs="Calibri"/>
          <w:vertAlign w:val="baseline"/>
        </w:rPr>
        <w:t xml:space="preserve"> financova</w:t>
      </w:r>
      <w:r>
        <w:rPr>
          <w:rStyle w:val="Znakapoznpodarou"/>
          <w:rFonts w:ascii="Calibri" w:hAnsi="Calibri" w:cs="Calibri"/>
          <w:vertAlign w:val="baseline"/>
        </w:rPr>
        <w:t>né z programu SI</w:t>
      </w:r>
      <w:r w:rsidRPr="00F86360">
        <w:rPr>
          <w:rStyle w:val="Znakapoznpodarou"/>
          <w:rFonts w:ascii="Calibri" w:hAnsi="Calibri" w:cs="Calibri"/>
          <w:vertAlign w:val="baseline"/>
        </w:rPr>
        <w:t>P, kdy navíc NKÚ</w:t>
      </w:r>
      <w:r>
        <w:rPr>
          <w:rFonts w:ascii="Calibri" w:hAnsi="Calibri" w:cs="Calibri"/>
        </w:rPr>
        <w:t xml:space="preserve"> u těchto programů</w:t>
      </w:r>
      <w:r w:rsidRPr="00F86360">
        <w:rPr>
          <w:rStyle w:val="Znakapoznpodarou"/>
          <w:rFonts w:ascii="Calibri" w:hAnsi="Calibri" w:cs="Calibri"/>
          <w:vertAlign w:val="baseline"/>
        </w:rPr>
        <w:t xml:space="preserve"> nemohl provádět kontrolu u konečných příjemců podpory z řad cílové skupiny. Specifické jsou také projekty financované z programu </w:t>
      </w:r>
      <w:r w:rsidRPr="00222605">
        <w:rPr>
          <w:rStyle w:val="Znakapoznpodarou"/>
          <w:rFonts w:ascii="Calibri" w:hAnsi="Calibri" w:cs="Calibri"/>
          <w:vertAlign w:val="baseline"/>
        </w:rPr>
        <w:t>Pomoc na místě</w:t>
      </w:r>
      <w:r w:rsidRPr="00F86360">
        <w:rPr>
          <w:rStyle w:val="Znakapoznpodarou"/>
          <w:rFonts w:ascii="Calibri" w:hAnsi="Calibri" w:cs="Calibri"/>
          <w:vertAlign w:val="baseline"/>
        </w:rPr>
        <w:t>, které jsou realizovány na území jiných států</w:t>
      </w:r>
      <w:r>
        <w:rPr>
          <w:rFonts w:ascii="Calibri" w:hAnsi="Calibri" w:cs="Calibri"/>
        </w:rPr>
        <w:t>. U těchto projektů</w:t>
      </w:r>
      <w:r w:rsidRPr="00F86360">
        <w:rPr>
          <w:rStyle w:val="Znakapoznpodarou"/>
          <w:rFonts w:ascii="Calibri" w:hAnsi="Calibri" w:cs="Calibri"/>
          <w:vertAlign w:val="baseline"/>
        </w:rPr>
        <w:t xml:space="preserve"> NKÚ nemohl provést kontrolu na místě a</w:t>
      </w:r>
      <w:r>
        <w:rPr>
          <w:rFonts w:ascii="Calibri" w:hAnsi="Calibri" w:cs="Calibri"/>
        </w:rPr>
        <w:t> </w:t>
      </w:r>
      <w:r w:rsidRPr="00F86360">
        <w:rPr>
          <w:rStyle w:val="Znakapoznpodarou"/>
          <w:rFonts w:ascii="Calibri" w:hAnsi="Calibri" w:cs="Calibri"/>
          <w:vertAlign w:val="baseline"/>
        </w:rPr>
        <w:t>vycházel jen z dostupné dokumentace</w:t>
      </w:r>
      <w:r>
        <w:rPr>
          <w:rFonts w:ascii="Calibri" w:hAnsi="Calibri" w:cs="Calibri"/>
        </w:rPr>
        <w:t>, takže</w:t>
      </w:r>
      <w:r w:rsidRPr="00F86360">
        <w:rPr>
          <w:rStyle w:val="Znakapoznpodarou"/>
          <w:rFonts w:ascii="Calibri" w:hAnsi="Calibri" w:cs="Calibri"/>
          <w:vertAlign w:val="baseline"/>
        </w:rPr>
        <w:t xml:space="preserve"> mohl</w:t>
      </w:r>
      <w:r>
        <w:rPr>
          <w:rStyle w:val="Znakapoznpodarou"/>
          <w:rFonts w:ascii="Calibri" w:hAnsi="Calibri" w:cs="Calibri"/>
          <w:vertAlign w:val="baseline"/>
        </w:rPr>
        <w:t xml:space="preserve"> upozornit jen na rizika</w:t>
      </w:r>
      <w:r w:rsidRPr="00F86360">
        <w:rPr>
          <w:rStyle w:val="Znakapoznpodarou"/>
          <w:rFonts w:ascii="Calibri" w:hAnsi="Calibri" w:cs="Calibri"/>
          <w:vertAlign w:val="baseline"/>
        </w:rPr>
        <w:t xml:space="preserve"> pro účelnost </w:t>
      </w:r>
      <w:r>
        <w:rPr>
          <w:rStyle w:val="Znakapoznpodarou"/>
          <w:rFonts w:ascii="Calibri" w:hAnsi="Calibri" w:cs="Calibri"/>
          <w:vertAlign w:val="baseline"/>
        </w:rPr>
        <w:t xml:space="preserve">a efektivnost podpořených </w:t>
      </w:r>
      <w:r w:rsidRPr="00F86360">
        <w:rPr>
          <w:rStyle w:val="Znakapoznpodarou"/>
          <w:rFonts w:ascii="Calibri" w:hAnsi="Calibri" w:cs="Calibri"/>
          <w:vertAlign w:val="baseline"/>
        </w:rPr>
        <w:t>projektů.</w:t>
      </w:r>
    </w:p>
  </w:footnote>
  <w:footnote w:id="39">
    <w:p w14:paraId="792235F5" w14:textId="1ACFABA4" w:rsidR="00722F4E" w:rsidRPr="00457E1C" w:rsidRDefault="00722F4E" w:rsidP="00F86360">
      <w:pPr>
        <w:pStyle w:val="Textpoznpodarou"/>
        <w:ind w:left="284" w:hanging="284"/>
        <w:jc w:val="both"/>
        <w:rPr>
          <w:rFonts w:ascii="Calibri" w:hAnsi="Calibri" w:cs="Calibri"/>
        </w:rPr>
      </w:pPr>
      <w:r w:rsidRPr="00457E1C">
        <w:rPr>
          <w:rStyle w:val="Znakapoznpodarou"/>
          <w:rFonts w:ascii="Calibri" w:hAnsi="Calibri" w:cs="Calibri"/>
        </w:rPr>
        <w:footnoteRef/>
      </w:r>
      <w:r w:rsidRPr="00457E1C">
        <w:rPr>
          <w:rFonts w:ascii="Calibri" w:hAnsi="Calibri" w:cs="Calibri"/>
        </w:rPr>
        <w:tab/>
        <w:t xml:space="preserve">Kritéria pro hodnocení </w:t>
      </w:r>
      <w:r>
        <w:rPr>
          <w:rFonts w:ascii="Calibri" w:hAnsi="Calibri" w:cs="Calibri"/>
        </w:rPr>
        <w:t xml:space="preserve">naplnění cílů, tedy </w:t>
      </w:r>
      <w:r w:rsidRPr="00457E1C">
        <w:rPr>
          <w:rFonts w:ascii="Calibri" w:hAnsi="Calibri" w:cs="Calibri"/>
        </w:rPr>
        <w:t xml:space="preserve">účelnosti projektů jsou podrobněji </w:t>
      </w:r>
      <w:r>
        <w:rPr>
          <w:rFonts w:ascii="Calibri" w:hAnsi="Calibri" w:cs="Calibri"/>
        </w:rPr>
        <w:t>u</w:t>
      </w:r>
      <w:r w:rsidRPr="00457E1C">
        <w:rPr>
          <w:rFonts w:ascii="Calibri" w:hAnsi="Calibri" w:cs="Calibri"/>
        </w:rPr>
        <w:t xml:space="preserve">vedena v příloze č. </w:t>
      </w:r>
      <w:r>
        <w:rPr>
          <w:rFonts w:ascii="Calibri" w:hAnsi="Calibri" w:cs="Calibri"/>
        </w:rPr>
        <w:t>4 tohoto kontrolního závěru</w:t>
      </w:r>
      <w:r w:rsidRPr="00457E1C">
        <w:rPr>
          <w:rFonts w:ascii="Calibri" w:hAnsi="Calibri" w:cs="Calibri"/>
        </w:rPr>
        <w:t>.</w:t>
      </w:r>
    </w:p>
  </w:footnote>
  <w:footnote w:id="40">
    <w:p w14:paraId="307CF895" w14:textId="1BC070A6" w:rsidR="00722F4E" w:rsidRDefault="00722F4E" w:rsidP="00491FCA">
      <w:pPr>
        <w:pStyle w:val="Textpoznpodarou"/>
        <w:ind w:left="284" w:hanging="284"/>
        <w:jc w:val="both"/>
      </w:pPr>
      <w:r>
        <w:rPr>
          <w:rStyle w:val="Znakapoznpodarou"/>
        </w:rPr>
        <w:footnoteRef/>
      </w:r>
      <w:r>
        <w:t xml:space="preserve"> </w:t>
      </w:r>
      <w:r>
        <w:tab/>
        <w:t>Realizátory podpořených projektů byly výhradně MV – Policejní prezidium ČR, Generální ředitelství cel a v jednom případě Ministerstvo zahraničních věcí.</w:t>
      </w:r>
    </w:p>
  </w:footnote>
  <w:footnote w:id="41">
    <w:p w14:paraId="45593A47" w14:textId="5D695F60" w:rsidR="00722F4E" w:rsidRDefault="00722F4E" w:rsidP="00491FCA">
      <w:pPr>
        <w:pStyle w:val="Textpoznpodarou"/>
        <w:ind w:left="284" w:hanging="284"/>
        <w:jc w:val="both"/>
      </w:pPr>
      <w:r>
        <w:rPr>
          <w:rStyle w:val="Znakapoznpodarou"/>
        </w:rPr>
        <w:footnoteRef/>
      </w:r>
      <w:r>
        <w:t xml:space="preserve"> </w:t>
      </w:r>
      <w:r>
        <w:tab/>
        <w:t>Ukazatele výstupu jsou určeny pro sledování a vyhodnocování prováděných opatření a aktivit charakterizujících konkrétní činnost a podávají informace o výstupech aktivit a projektů v rámci programu. Ukazatele výsledku mají přímou vazbu na stanovené cíle a slouží k prokázání, zda bylo cíle projektu či programu dosaženo. Zahrnují informace o zpravidla střednědobých změnách v důsledku vytvořených výstupů.</w:t>
      </w:r>
    </w:p>
  </w:footnote>
  <w:footnote w:id="42">
    <w:p w14:paraId="0B1DA0F2" w14:textId="77777777" w:rsidR="00722F4E" w:rsidRDefault="00722F4E" w:rsidP="008B263D">
      <w:pPr>
        <w:pStyle w:val="Textpoznpodarou"/>
      </w:pPr>
      <w:r>
        <w:rPr>
          <w:rStyle w:val="Znakapoznpodarou"/>
        </w:rPr>
        <w:footnoteRef/>
      </w:r>
      <w:r>
        <w:t xml:space="preserve"> </w:t>
      </w:r>
      <w:r>
        <w:tab/>
        <w:t>Osoby, které jsou nuceny uprchnout ze svého domova, ale zároveň zůstávají na území domovského státu.</w:t>
      </w:r>
    </w:p>
  </w:footnote>
  <w:footnote w:id="43">
    <w:p w14:paraId="0AB40DA7" w14:textId="2BC1074C" w:rsidR="00722F4E" w:rsidRDefault="00722F4E" w:rsidP="00491FCA">
      <w:pPr>
        <w:pStyle w:val="Textpoznpodarou"/>
        <w:ind w:left="284" w:hanging="284"/>
        <w:jc w:val="both"/>
      </w:pPr>
      <w:r>
        <w:rPr>
          <w:rStyle w:val="Znakapoznpodarou"/>
        </w:rPr>
        <w:footnoteRef/>
      </w:r>
      <w:r>
        <w:t xml:space="preserve"> </w:t>
      </w:r>
      <w:r>
        <w:tab/>
        <w:t xml:space="preserve">Usnesení vlády České republiky ze dne 1. dubna 2019 č. 224, </w:t>
      </w:r>
      <w:r w:rsidRPr="0066166F">
        <w:rPr>
          <w:i/>
        </w:rPr>
        <w:t>o souhlasu s poskytnutím peněžního daru Republice Severní Makedonie v rámci realizace programu Ministerstva vnitra Pomoc na místě v roce 2019</w:t>
      </w:r>
      <w:r>
        <w:t>.</w:t>
      </w:r>
    </w:p>
  </w:footnote>
  <w:footnote w:id="44">
    <w:p w14:paraId="387C79D0" w14:textId="77777777" w:rsidR="00722F4E" w:rsidRDefault="00722F4E">
      <w:pPr>
        <w:pStyle w:val="Textpoznpodarou"/>
      </w:pPr>
      <w:r>
        <w:rPr>
          <w:rStyle w:val="Znakapoznpodarou"/>
        </w:rPr>
        <w:footnoteRef/>
      </w:r>
      <w:r>
        <w:t xml:space="preserve"> </w:t>
      </w:r>
      <w:r>
        <w:tab/>
        <w:t>Standardní délka je jeden rok.</w:t>
      </w:r>
    </w:p>
  </w:footnote>
  <w:footnote w:id="45">
    <w:p w14:paraId="1A59F89B" w14:textId="77777777" w:rsidR="00722F4E" w:rsidRDefault="00722F4E" w:rsidP="003A0F4D">
      <w:pPr>
        <w:pStyle w:val="Textpoznpodarou"/>
        <w:ind w:left="284" w:hanging="284"/>
        <w:jc w:val="both"/>
      </w:pPr>
      <w:r>
        <w:rPr>
          <w:rStyle w:val="Znakapoznpodarou"/>
        </w:rPr>
        <w:footnoteRef/>
      </w:r>
      <w:r>
        <w:t xml:space="preserve"> </w:t>
      </w:r>
      <w:r>
        <w:tab/>
      </w:r>
      <w:r>
        <w:rPr>
          <w:rFonts w:cstheme="minorHAnsi"/>
          <w:szCs w:val="17"/>
          <w:shd w:val="clear" w:color="auto" w:fill="FFFFFF"/>
        </w:rPr>
        <w:t>Za vážnou újmu se pak považuje uložení nebo vykonání trestu smrti, mučení nebo nelidské či ponižující zacházení nebo trestání žadatele o udělení mezinárodní ochrany, dále vážné ohrožení života nebo lidské důstojnosti z důvodu svévolného násilí v situacích mezinárodního nebo vnitřního ozbrojeného konfliktu, nebo pokud by vycestování cizince bylo v rozporu s mezinárodními závazky České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7D09" w14:textId="77777777" w:rsidR="00722F4E" w:rsidRDefault="00722F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02DE"/>
    <w:multiLevelType w:val="hybridMultilevel"/>
    <w:tmpl w:val="4EEE7466"/>
    <w:lvl w:ilvl="0" w:tplc="D0EC91E8">
      <w:start w:val="1"/>
      <w:numFmt w:val="bullet"/>
      <w:lvlText w:val=""/>
      <w:lvlJc w:val="left"/>
      <w:pPr>
        <w:ind w:left="720" w:hanging="360"/>
      </w:pPr>
      <w:rPr>
        <w:rFonts w:ascii="Wingdings" w:hAnsi="Wingdings" w:hint="default"/>
      </w:rPr>
    </w:lvl>
    <w:lvl w:ilvl="1" w:tplc="17F0D784" w:tentative="1">
      <w:start w:val="1"/>
      <w:numFmt w:val="bullet"/>
      <w:lvlText w:val="o"/>
      <w:lvlJc w:val="left"/>
      <w:pPr>
        <w:ind w:left="1440" w:hanging="360"/>
      </w:pPr>
      <w:rPr>
        <w:rFonts w:ascii="Courier New" w:hAnsi="Courier New" w:cs="Courier New" w:hint="default"/>
      </w:rPr>
    </w:lvl>
    <w:lvl w:ilvl="2" w:tplc="8F46EA6A" w:tentative="1">
      <w:start w:val="1"/>
      <w:numFmt w:val="bullet"/>
      <w:lvlText w:val=""/>
      <w:lvlJc w:val="left"/>
      <w:pPr>
        <w:ind w:left="2160" w:hanging="360"/>
      </w:pPr>
      <w:rPr>
        <w:rFonts w:ascii="Wingdings" w:hAnsi="Wingdings" w:hint="default"/>
      </w:rPr>
    </w:lvl>
    <w:lvl w:ilvl="3" w:tplc="76A2C400" w:tentative="1">
      <w:start w:val="1"/>
      <w:numFmt w:val="bullet"/>
      <w:lvlText w:val=""/>
      <w:lvlJc w:val="left"/>
      <w:pPr>
        <w:ind w:left="2880" w:hanging="360"/>
      </w:pPr>
      <w:rPr>
        <w:rFonts w:ascii="Symbol" w:hAnsi="Symbol" w:hint="default"/>
      </w:rPr>
    </w:lvl>
    <w:lvl w:ilvl="4" w:tplc="D3B2D6D0" w:tentative="1">
      <w:start w:val="1"/>
      <w:numFmt w:val="bullet"/>
      <w:lvlText w:val="o"/>
      <w:lvlJc w:val="left"/>
      <w:pPr>
        <w:ind w:left="3600" w:hanging="360"/>
      </w:pPr>
      <w:rPr>
        <w:rFonts w:ascii="Courier New" w:hAnsi="Courier New" w:cs="Courier New" w:hint="default"/>
      </w:rPr>
    </w:lvl>
    <w:lvl w:ilvl="5" w:tplc="8F0C22D4" w:tentative="1">
      <w:start w:val="1"/>
      <w:numFmt w:val="bullet"/>
      <w:lvlText w:val=""/>
      <w:lvlJc w:val="left"/>
      <w:pPr>
        <w:ind w:left="4320" w:hanging="360"/>
      </w:pPr>
      <w:rPr>
        <w:rFonts w:ascii="Wingdings" w:hAnsi="Wingdings" w:hint="default"/>
      </w:rPr>
    </w:lvl>
    <w:lvl w:ilvl="6" w:tplc="9E26A374" w:tentative="1">
      <w:start w:val="1"/>
      <w:numFmt w:val="bullet"/>
      <w:lvlText w:val=""/>
      <w:lvlJc w:val="left"/>
      <w:pPr>
        <w:ind w:left="5040" w:hanging="360"/>
      </w:pPr>
      <w:rPr>
        <w:rFonts w:ascii="Symbol" w:hAnsi="Symbol" w:hint="default"/>
      </w:rPr>
    </w:lvl>
    <w:lvl w:ilvl="7" w:tplc="05A60D04" w:tentative="1">
      <w:start w:val="1"/>
      <w:numFmt w:val="bullet"/>
      <w:lvlText w:val="o"/>
      <w:lvlJc w:val="left"/>
      <w:pPr>
        <w:ind w:left="5760" w:hanging="360"/>
      </w:pPr>
      <w:rPr>
        <w:rFonts w:ascii="Courier New" w:hAnsi="Courier New" w:cs="Courier New" w:hint="default"/>
      </w:rPr>
    </w:lvl>
    <w:lvl w:ilvl="8" w:tplc="A05E9D04" w:tentative="1">
      <w:start w:val="1"/>
      <w:numFmt w:val="bullet"/>
      <w:lvlText w:val=""/>
      <w:lvlJc w:val="left"/>
      <w:pPr>
        <w:ind w:left="6480" w:hanging="360"/>
      </w:pPr>
      <w:rPr>
        <w:rFonts w:ascii="Wingdings" w:hAnsi="Wingdings" w:hint="default"/>
      </w:rPr>
    </w:lvl>
  </w:abstractNum>
  <w:abstractNum w:abstractNumId="1" w15:restartNumberingAfterBreak="0">
    <w:nsid w:val="2BCD22CF"/>
    <w:multiLevelType w:val="hybridMultilevel"/>
    <w:tmpl w:val="7408CD48"/>
    <w:lvl w:ilvl="0" w:tplc="EB5AA20E">
      <w:start w:val="1"/>
      <w:numFmt w:val="bullet"/>
      <w:lvlText w:val=""/>
      <w:lvlJc w:val="left"/>
      <w:pPr>
        <w:ind w:left="720" w:hanging="360"/>
      </w:pPr>
      <w:rPr>
        <w:rFonts w:ascii="Symbol" w:hAnsi="Symbol" w:hint="default"/>
      </w:rPr>
    </w:lvl>
    <w:lvl w:ilvl="1" w:tplc="7B10A28E">
      <w:start w:val="1"/>
      <w:numFmt w:val="bullet"/>
      <w:lvlText w:val="o"/>
      <w:lvlJc w:val="left"/>
      <w:pPr>
        <w:ind w:left="1440" w:hanging="360"/>
      </w:pPr>
      <w:rPr>
        <w:rFonts w:ascii="Courier New" w:hAnsi="Courier New" w:cs="Courier New" w:hint="default"/>
      </w:rPr>
    </w:lvl>
    <w:lvl w:ilvl="2" w:tplc="B48A8FDA">
      <w:start w:val="1"/>
      <w:numFmt w:val="bullet"/>
      <w:lvlText w:val=""/>
      <w:lvlJc w:val="left"/>
      <w:pPr>
        <w:ind w:left="2160" w:hanging="360"/>
      </w:pPr>
      <w:rPr>
        <w:rFonts w:ascii="Wingdings" w:hAnsi="Wingdings" w:hint="default"/>
      </w:rPr>
    </w:lvl>
    <w:lvl w:ilvl="3" w:tplc="37D4204A">
      <w:start w:val="1"/>
      <w:numFmt w:val="bullet"/>
      <w:lvlText w:val=""/>
      <w:lvlJc w:val="left"/>
      <w:pPr>
        <w:ind w:left="2880" w:hanging="360"/>
      </w:pPr>
      <w:rPr>
        <w:rFonts w:ascii="Symbol" w:hAnsi="Symbol" w:hint="default"/>
      </w:rPr>
    </w:lvl>
    <w:lvl w:ilvl="4" w:tplc="387445F6">
      <w:start w:val="1"/>
      <w:numFmt w:val="bullet"/>
      <w:lvlText w:val="o"/>
      <w:lvlJc w:val="left"/>
      <w:pPr>
        <w:ind w:left="3600" w:hanging="360"/>
      </w:pPr>
      <w:rPr>
        <w:rFonts w:ascii="Courier New" w:hAnsi="Courier New" w:cs="Courier New" w:hint="default"/>
      </w:rPr>
    </w:lvl>
    <w:lvl w:ilvl="5" w:tplc="635C193C">
      <w:start w:val="1"/>
      <w:numFmt w:val="bullet"/>
      <w:lvlText w:val=""/>
      <w:lvlJc w:val="left"/>
      <w:pPr>
        <w:ind w:left="4320" w:hanging="360"/>
      </w:pPr>
      <w:rPr>
        <w:rFonts w:ascii="Wingdings" w:hAnsi="Wingdings" w:hint="default"/>
      </w:rPr>
    </w:lvl>
    <w:lvl w:ilvl="6" w:tplc="749AA07C">
      <w:start w:val="1"/>
      <w:numFmt w:val="bullet"/>
      <w:lvlText w:val=""/>
      <w:lvlJc w:val="left"/>
      <w:pPr>
        <w:ind w:left="5040" w:hanging="360"/>
      </w:pPr>
      <w:rPr>
        <w:rFonts w:ascii="Symbol" w:hAnsi="Symbol" w:hint="default"/>
      </w:rPr>
    </w:lvl>
    <w:lvl w:ilvl="7" w:tplc="38A8189C">
      <w:start w:val="1"/>
      <w:numFmt w:val="bullet"/>
      <w:lvlText w:val="o"/>
      <w:lvlJc w:val="left"/>
      <w:pPr>
        <w:ind w:left="5760" w:hanging="360"/>
      </w:pPr>
      <w:rPr>
        <w:rFonts w:ascii="Courier New" w:hAnsi="Courier New" w:cs="Courier New" w:hint="default"/>
      </w:rPr>
    </w:lvl>
    <w:lvl w:ilvl="8" w:tplc="6E4482D0">
      <w:start w:val="1"/>
      <w:numFmt w:val="bullet"/>
      <w:lvlText w:val=""/>
      <w:lvlJc w:val="left"/>
      <w:pPr>
        <w:ind w:left="6480" w:hanging="360"/>
      </w:pPr>
      <w:rPr>
        <w:rFonts w:ascii="Wingdings" w:hAnsi="Wingdings" w:hint="default"/>
      </w:rPr>
    </w:lvl>
  </w:abstractNum>
  <w:abstractNum w:abstractNumId="2" w15:restartNumberingAfterBreak="0">
    <w:nsid w:val="37D65C90"/>
    <w:multiLevelType w:val="hybridMultilevel"/>
    <w:tmpl w:val="97FE7426"/>
    <w:lvl w:ilvl="0" w:tplc="492C9C1C">
      <w:start w:val="1"/>
      <w:numFmt w:val="bullet"/>
      <w:lvlText w:val=""/>
      <w:lvlJc w:val="left"/>
      <w:pPr>
        <w:ind w:left="644" w:hanging="360"/>
      </w:pPr>
      <w:rPr>
        <w:rFonts w:ascii="Wingdings" w:hAnsi="Wingdings" w:cs="Wingdings" w:hint="default"/>
      </w:rPr>
    </w:lvl>
    <w:lvl w:ilvl="1" w:tplc="63C4F1AA">
      <w:start w:val="1"/>
      <w:numFmt w:val="bullet"/>
      <w:lvlText w:val="o"/>
      <w:lvlJc w:val="left"/>
      <w:pPr>
        <w:ind w:left="1364" w:hanging="360"/>
      </w:pPr>
      <w:rPr>
        <w:rFonts w:ascii="Courier New" w:hAnsi="Courier New" w:cs="Courier New" w:hint="default"/>
      </w:rPr>
    </w:lvl>
    <w:lvl w:ilvl="2" w:tplc="C944E01A" w:tentative="1">
      <w:start w:val="1"/>
      <w:numFmt w:val="bullet"/>
      <w:lvlText w:val=""/>
      <w:lvlJc w:val="left"/>
      <w:pPr>
        <w:ind w:left="2084" w:hanging="360"/>
      </w:pPr>
      <w:rPr>
        <w:rFonts w:ascii="Wingdings" w:hAnsi="Wingdings" w:hint="default"/>
      </w:rPr>
    </w:lvl>
    <w:lvl w:ilvl="3" w:tplc="FAD2E6AE" w:tentative="1">
      <w:start w:val="1"/>
      <w:numFmt w:val="bullet"/>
      <w:lvlText w:val=""/>
      <w:lvlJc w:val="left"/>
      <w:pPr>
        <w:ind w:left="2804" w:hanging="360"/>
      </w:pPr>
      <w:rPr>
        <w:rFonts w:ascii="Symbol" w:hAnsi="Symbol" w:hint="default"/>
      </w:rPr>
    </w:lvl>
    <w:lvl w:ilvl="4" w:tplc="4A2868F2" w:tentative="1">
      <w:start w:val="1"/>
      <w:numFmt w:val="bullet"/>
      <w:lvlText w:val="o"/>
      <w:lvlJc w:val="left"/>
      <w:pPr>
        <w:ind w:left="3524" w:hanging="360"/>
      </w:pPr>
      <w:rPr>
        <w:rFonts w:ascii="Courier New" w:hAnsi="Courier New" w:cs="Courier New" w:hint="default"/>
      </w:rPr>
    </w:lvl>
    <w:lvl w:ilvl="5" w:tplc="725EFE3C" w:tentative="1">
      <w:start w:val="1"/>
      <w:numFmt w:val="bullet"/>
      <w:lvlText w:val=""/>
      <w:lvlJc w:val="left"/>
      <w:pPr>
        <w:ind w:left="4244" w:hanging="360"/>
      </w:pPr>
      <w:rPr>
        <w:rFonts w:ascii="Wingdings" w:hAnsi="Wingdings" w:hint="default"/>
      </w:rPr>
    </w:lvl>
    <w:lvl w:ilvl="6" w:tplc="0E3A0CEC" w:tentative="1">
      <w:start w:val="1"/>
      <w:numFmt w:val="bullet"/>
      <w:lvlText w:val=""/>
      <w:lvlJc w:val="left"/>
      <w:pPr>
        <w:ind w:left="4964" w:hanging="360"/>
      </w:pPr>
      <w:rPr>
        <w:rFonts w:ascii="Symbol" w:hAnsi="Symbol" w:hint="default"/>
      </w:rPr>
    </w:lvl>
    <w:lvl w:ilvl="7" w:tplc="0D7C9E2C" w:tentative="1">
      <w:start w:val="1"/>
      <w:numFmt w:val="bullet"/>
      <w:lvlText w:val="o"/>
      <w:lvlJc w:val="left"/>
      <w:pPr>
        <w:ind w:left="5684" w:hanging="360"/>
      </w:pPr>
      <w:rPr>
        <w:rFonts w:ascii="Courier New" w:hAnsi="Courier New" w:cs="Courier New" w:hint="default"/>
      </w:rPr>
    </w:lvl>
    <w:lvl w:ilvl="8" w:tplc="A72A9E2C" w:tentative="1">
      <w:start w:val="1"/>
      <w:numFmt w:val="bullet"/>
      <w:lvlText w:val=""/>
      <w:lvlJc w:val="left"/>
      <w:pPr>
        <w:ind w:left="6404" w:hanging="360"/>
      </w:pPr>
      <w:rPr>
        <w:rFonts w:ascii="Wingdings" w:hAnsi="Wingdings" w:hint="default"/>
      </w:rPr>
    </w:lvl>
  </w:abstractNum>
  <w:abstractNum w:abstractNumId="3" w15:restartNumberingAfterBreak="0">
    <w:nsid w:val="3F1C4FC0"/>
    <w:multiLevelType w:val="hybridMultilevel"/>
    <w:tmpl w:val="618A684A"/>
    <w:lvl w:ilvl="0" w:tplc="CA6ADB38">
      <w:start w:val="1"/>
      <w:numFmt w:val="bullet"/>
      <w:lvlText w:val=""/>
      <w:lvlJc w:val="left"/>
      <w:pPr>
        <w:ind w:left="644" w:hanging="360"/>
      </w:pPr>
      <w:rPr>
        <w:rFonts w:ascii="Wingdings" w:hAnsi="Wingdings" w:cs="Wingdings" w:hint="default"/>
      </w:rPr>
    </w:lvl>
    <w:lvl w:ilvl="1" w:tplc="95D49076" w:tentative="1">
      <w:start w:val="1"/>
      <w:numFmt w:val="bullet"/>
      <w:lvlText w:val="o"/>
      <w:lvlJc w:val="left"/>
      <w:pPr>
        <w:ind w:left="1364" w:hanging="360"/>
      </w:pPr>
      <w:rPr>
        <w:rFonts w:ascii="Courier New" w:hAnsi="Courier New" w:cs="Courier New" w:hint="default"/>
      </w:rPr>
    </w:lvl>
    <w:lvl w:ilvl="2" w:tplc="791A61B4" w:tentative="1">
      <w:start w:val="1"/>
      <w:numFmt w:val="bullet"/>
      <w:lvlText w:val=""/>
      <w:lvlJc w:val="left"/>
      <w:pPr>
        <w:ind w:left="2084" w:hanging="360"/>
      </w:pPr>
      <w:rPr>
        <w:rFonts w:ascii="Wingdings" w:hAnsi="Wingdings" w:hint="default"/>
      </w:rPr>
    </w:lvl>
    <w:lvl w:ilvl="3" w:tplc="9362B428" w:tentative="1">
      <w:start w:val="1"/>
      <w:numFmt w:val="bullet"/>
      <w:lvlText w:val=""/>
      <w:lvlJc w:val="left"/>
      <w:pPr>
        <w:ind w:left="2804" w:hanging="360"/>
      </w:pPr>
      <w:rPr>
        <w:rFonts w:ascii="Symbol" w:hAnsi="Symbol" w:hint="default"/>
      </w:rPr>
    </w:lvl>
    <w:lvl w:ilvl="4" w:tplc="F14EBF3C" w:tentative="1">
      <w:start w:val="1"/>
      <w:numFmt w:val="bullet"/>
      <w:lvlText w:val="o"/>
      <w:lvlJc w:val="left"/>
      <w:pPr>
        <w:ind w:left="3524" w:hanging="360"/>
      </w:pPr>
      <w:rPr>
        <w:rFonts w:ascii="Courier New" w:hAnsi="Courier New" w:cs="Courier New" w:hint="default"/>
      </w:rPr>
    </w:lvl>
    <w:lvl w:ilvl="5" w:tplc="08E457AE" w:tentative="1">
      <w:start w:val="1"/>
      <w:numFmt w:val="bullet"/>
      <w:lvlText w:val=""/>
      <w:lvlJc w:val="left"/>
      <w:pPr>
        <w:ind w:left="4244" w:hanging="360"/>
      </w:pPr>
      <w:rPr>
        <w:rFonts w:ascii="Wingdings" w:hAnsi="Wingdings" w:hint="default"/>
      </w:rPr>
    </w:lvl>
    <w:lvl w:ilvl="6" w:tplc="0D3AE450" w:tentative="1">
      <w:start w:val="1"/>
      <w:numFmt w:val="bullet"/>
      <w:lvlText w:val=""/>
      <w:lvlJc w:val="left"/>
      <w:pPr>
        <w:ind w:left="4964" w:hanging="360"/>
      </w:pPr>
      <w:rPr>
        <w:rFonts w:ascii="Symbol" w:hAnsi="Symbol" w:hint="default"/>
      </w:rPr>
    </w:lvl>
    <w:lvl w:ilvl="7" w:tplc="57224DC6" w:tentative="1">
      <w:start w:val="1"/>
      <w:numFmt w:val="bullet"/>
      <w:lvlText w:val="o"/>
      <w:lvlJc w:val="left"/>
      <w:pPr>
        <w:ind w:left="5684" w:hanging="360"/>
      </w:pPr>
      <w:rPr>
        <w:rFonts w:ascii="Courier New" w:hAnsi="Courier New" w:cs="Courier New" w:hint="default"/>
      </w:rPr>
    </w:lvl>
    <w:lvl w:ilvl="8" w:tplc="19CE726C" w:tentative="1">
      <w:start w:val="1"/>
      <w:numFmt w:val="bullet"/>
      <w:lvlText w:val=""/>
      <w:lvlJc w:val="left"/>
      <w:pPr>
        <w:ind w:left="6404" w:hanging="360"/>
      </w:pPr>
      <w:rPr>
        <w:rFonts w:ascii="Wingdings" w:hAnsi="Wingdings" w:hint="default"/>
      </w:rPr>
    </w:lvl>
  </w:abstractNum>
  <w:abstractNum w:abstractNumId="4" w15:restartNumberingAfterBreak="0">
    <w:nsid w:val="512533C4"/>
    <w:multiLevelType w:val="hybridMultilevel"/>
    <w:tmpl w:val="5EB00CD6"/>
    <w:lvl w:ilvl="0" w:tplc="73B0BC08">
      <w:start w:val="1"/>
      <w:numFmt w:val="bullet"/>
      <w:lvlText w:val=""/>
      <w:lvlJc w:val="left"/>
      <w:pPr>
        <w:ind w:left="644" w:hanging="360"/>
      </w:pPr>
      <w:rPr>
        <w:rFonts w:ascii="Wingdings" w:hAnsi="Wingdings" w:cs="Wingdings" w:hint="default"/>
      </w:rPr>
    </w:lvl>
    <w:lvl w:ilvl="1" w:tplc="F15C1304">
      <w:start w:val="1"/>
      <w:numFmt w:val="bullet"/>
      <w:lvlText w:val="o"/>
      <w:lvlJc w:val="left"/>
      <w:pPr>
        <w:ind w:left="1364" w:hanging="360"/>
      </w:pPr>
      <w:rPr>
        <w:rFonts w:ascii="Courier New" w:hAnsi="Courier New" w:cs="Courier New" w:hint="default"/>
      </w:rPr>
    </w:lvl>
    <w:lvl w:ilvl="2" w:tplc="CB88DD4C" w:tentative="1">
      <w:start w:val="1"/>
      <w:numFmt w:val="bullet"/>
      <w:lvlText w:val=""/>
      <w:lvlJc w:val="left"/>
      <w:pPr>
        <w:ind w:left="2084" w:hanging="360"/>
      </w:pPr>
      <w:rPr>
        <w:rFonts w:ascii="Wingdings" w:hAnsi="Wingdings" w:hint="default"/>
      </w:rPr>
    </w:lvl>
    <w:lvl w:ilvl="3" w:tplc="6B82E1E4" w:tentative="1">
      <w:start w:val="1"/>
      <w:numFmt w:val="bullet"/>
      <w:lvlText w:val=""/>
      <w:lvlJc w:val="left"/>
      <w:pPr>
        <w:ind w:left="2804" w:hanging="360"/>
      </w:pPr>
      <w:rPr>
        <w:rFonts w:ascii="Symbol" w:hAnsi="Symbol" w:hint="default"/>
      </w:rPr>
    </w:lvl>
    <w:lvl w:ilvl="4" w:tplc="ABE02234" w:tentative="1">
      <w:start w:val="1"/>
      <w:numFmt w:val="bullet"/>
      <w:lvlText w:val="o"/>
      <w:lvlJc w:val="left"/>
      <w:pPr>
        <w:ind w:left="3524" w:hanging="360"/>
      </w:pPr>
      <w:rPr>
        <w:rFonts w:ascii="Courier New" w:hAnsi="Courier New" w:cs="Courier New" w:hint="default"/>
      </w:rPr>
    </w:lvl>
    <w:lvl w:ilvl="5" w:tplc="AA6A2E62" w:tentative="1">
      <w:start w:val="1"/>
      <w:numFmt w:val="bullet"/>
      <w:lvlText w:val=""/>
      <w:lvlJc w:val="left"/>
      <w:pPr>
        <w:ind w:left="4244" w:hanging="360"/>
      </w:pPr>
      <w:rPr>
        <w:rFonts w:ascii="Wingdings" w:hAnsi="Wingdings" w:hint="default"/>
      </w:rPr>
    </w:lvl>
    <w:lvl w:ilvl="6" w:tplc="B93A83CE" w:tentative="1">
      <w:start w:val="1"/>
      <w:numFmt w:val="bullet"/>
      <w:lvlText w:val=""/>
      <w:lvlJc w:val="left"/>
      <w:pPr>
        <w:ind w:left="4964" w:hanging="360"/>
      </w:pPr>
      <w:rPr>
        <w:rFonts w:ascii="Symbol" w:hAnsi="Symbol" w:hint="default"/>
      </w:rPr>
    </w:lvl>
    <w:lvl w:ilvl="7" w:tplc="DB84EA3A" w:tentative="1">
      <w:start w:val="1"/>
      <w:numFmt w:val="bullet"/>
      <w:lvlText w:val="o"/>
      <w:lvlJc w:val="left"/>
      <w:pPr>
        <w:ind w:left="5684" w:hanging="360"/>
      </w:pPr>
      <w:rPr>
        <w:rFonts w:ascii="Courier New" w:hAnsi="Courier New" w:cs="Courier New" w:hint="default"/>
      </w:rPr>
    </w:lvl>
    <w:lvl w:ilvl="8" w:tplc="75967D1A" w:tentative="1">
      <w:start w:val="1"/>
      <w:numFmt w:val="bullet"/>
      <w:lvlText w:val=""/>
      <w:lvlJc w:val="left"/>
      <w:pPr>
        <w:ind w:left="6404" w:hanging="360"/>
      </w:pPr>
      <w:rPr>
        <w:rFonts w:ascii="Wingdings" w:hAnsi="Wingdings" w:hint="default"/>
      </w:rPr>
    </w:lvl>
  </w:abstractNum>
  <w:abstractNum w:abstractNumId="5" w15:restartNumberingAfterBreak="0">
    <w:nsid w:val="792E3601"/>
    <w:multiLevelType w:val="hybridMultilevel"/>
    <w:tmpl w:val="E4F29580"/>
    <w:lvl w:ilvl="0" w:tplc="01FEAD40">
      <w:start w:val="1"/>
      <w:numFmt w:val="bullet"/>
      <w:lvlText w:val=""/>
      <w:lvlJc w:val="left"/>
      <w:pPr>
        <w:ind w:left="720" w:hanging="360"/>
      </w:pPr>
      <w:rPr>
        <w:rFonts w:ascii="Wingdings" w:hAnsi="Wingdings" w:cs="Wingdings" w:hint="default"/>
      </w:rPr>
    </w:lvl>
    <w:lvl w:ilvl="1" w:tplc="ED08EAB2" w:tentative="1">
      <w:start w:val="1"/>
      <w:numFmt w:val="bullet"/>
      <w:lvlText w:val="o"/>
      <w:lvlJc w:val="left"/>
      <w:pPr>
        <w:ind w:left="1440" w:hanging="360"/>
      </w:pPr>
      <w:rPr>
        <w:rFonts w:ascii="Courier New" w:hAnsi="Courier New" w:cs="Courier New" w:hint="default"/>
      </w:rPr>
    </w:lvl>
    <w:lvl w:ilvl="2" w:tplc="72883822" w:tentative="1">
      <w:start w:val="1"/>
      <w:numFmt w:val="bullet"/>
      <w:lvlText w:val=""/>
      <w:lvlJc w:val="left"/>
      <w:pPr>
        <w:ind w:left="2160" w:hanging="360"/>
      </w:pPr>
      <w:rPr>
        <w:rFonts w:ascii="Wingdings" w:hAnsi="Wingdings" w:hint="default"/>
      </w:rPr>
    </w:lvl>
    <w:lvl w:ilvl="3" w:tplc="F11C7D60" w:tentative="1">
      <w:start w:val="1"/>
      <w:numFmt w:val="bullet"/>
      <w:lvlText w:val=""/>
      <w:lvlJc w:val="left"/>
      <w:pPr>
        <w:ind w:left="2880" w:hanging="360"/>
      </w:pPr>
      <w:rPr>
        <w:rFonts w:ascii="Symbol" w:hAnsi="Symbol" w:hint="default"/>
      </w:rPr>
    </w:lvl>
    <w:lvl w:ilvl="4" w:tplc="2D50CB5C" w:tentative="1">
      <w:start w:val="1"/>
      <w:numFmt w:val="bullet"/>
      <w:lvlText w:val="o"/>
      <w:lvlJc w:val="left"/>
      <w:pPr>
        <w:ind w:left="3600" w:hanging="360"/>
      </w:pPr>
      <w:rPr>
        <w:rFonts w:ascii="Courier New" w:hAnsi="Courier New" w:cs="Courier New" w:hint="default"/>
      </w:rPr>
    </w:lvl>
    <w:lvl w:ilvl="5" w:tplc="25B8673A" w:tentative="1">
      <w:start w:val="1"/>
      <w:numFmt w:val="bullet"/>
      <w:lvlText w:val=""/>
      <w:lvlJc w:val="left"/>
      <w:pPr>
        <w:ind w:left="4320" w:hanging="360"/>
      </w:pPr>
      <w:rPr>
        <w:rFonts w:ascii="Wingdings" w:hAnsi="Wingdings" w:hint="default"/>
      </w:rPr>
    </w:lvl>
    <w:lvl w:ilvl="6" w:tplc="98E86E0C" w:tentative="1">
      <w:start w:val="1"/>
      <w:numFmt w:val="bullet"/>
      <w:lvlText w:val=""/>
      <w:lvlJc w:val="left"/>
      <w:pPr>
        <w:ind w:left="5040" w:hanging="360"/>
      </w:pPr>
      <w:rPr>
        <w:rFonts w:ascii="Symbol" w:hAnsi="Symbol" w:hint="default"/>
      </w:rPr>
    </w:lvl>
    <w:lvl w:ilvl="7" w:tplc="3A5C6450" w:tentative="1">
      <w:start w:val="1"/>
      <w:numFmt w:val="bullet"/>
      <w:lvlText w:val="o"/>
      <w:lvlJc w:val="left"/>
      <w:pPr>
        <w:ind w:left="5760" w:hanging="360"/>
      </w:pPr>
      <w:rPr>
        <w:rFonts w:ascii="Courier New" w:hAnsi="Courier New" w:cs="Courier New" w:hint="default"/>
      </w:rPr>
    </w:lvl>
    <w:lvl w:ilvl="8" w:tplc="ABFA41DC"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trackRevisions/>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21"/>
    <w:rsid w:val="00002985"/>
    <w:rsid w:val="00003107"/>
    <w:rsid w:val="000036F3"/>
    <w:rsid w:val="000046B2"/>
    <w:rsid w:val="00004AB7"/>
    <w:rsid w:val="00005AE5"/>
    <w:rsid w:val="00005D73"/>
    <w:rsid w:val="000061F0"/>
    <w:rsid w:val="00007855"/>
    <w:rsid w:val="000079C2"/>
    <w:rsid w:val="0001122E"/>
    <w:rsid w:val="00012AB5"/>
    <w:rsid w:val="000133F0"/>
    <w:rsid w:val="00013E37"/>
    <w:rsid w:val="00013E68"/>
    <w:rsid w:val="00014241"/>
    <w:rsid w:val="00016EBA"/>
    <w:rsid w:val="00016F2F"/>
    <w:rsid w:val="00017F62"/>
    <w:rsid w:val="00020EA9"/>
    <w:rsid w:val="00021594"/>
    <w:rsid w:val="00023595"/>
    <w:rsid w:val="000263B2"/>
    <w:rsid w:val="00026744"/>
    <w:rsid w:val="00026868"/>
    <w:rsid w:val="00026B6C"/>
    <w:rsid w:val="00027046"/>
    <w:rsid w:val="0002748D"/>
    <w:rsid w:val="00030427"/>
    <w:rsid w:val="00032EA4"/>
    <w:rsid w:val="0003423C"/>
    <w:rsid w:val="00034F27"/>
    <w:rsid w:val="000360DF"/>
    <w:rsid w:val="000360E0"/>
    <w:rsid w:val="00037F76"/>
    <w:rsid w:val="0004070E"/>
    <w:rsid w:val="00040725"/>
    <w:rsid w:val="00040B1C"/>
    <w:rsid w:val="00040B6B"/>
    <w:rsid w:val="00040FBA"/>
    <w:rsid w:val="00043D9D"/>
    <w:rsid w:val="00044170"/>
    <w:rsid w:val="000458CF"/>
    <w:rsid w:val="00047120"/>
    <w:rsid w:val="000471C5"/>
    <w:rsid w:val="00051331"/>
    <w:rsid w:val="000520D8"/>
    <w:rsid w:val="00052118"/>
    <w:rsid w:val="00054A41"/>
    <w:rsid w:val="0005585E"/>
    <w:rsid w:val="00057174"/>
    <w:rsid w:val="0006004F"/>
    <w:rsid w:val="0006196C"/>
    <w:rsid w:val="000632C7"/>
    <w:rsid w:val="00064BCA"/>
    <w:rsid w:val="00064D33"/>
    <w:rsid w:val="00067DFF"/>
    <w:rsid w:val="000707F5"/>
    <w:rsid w:val="00071972"/>
    <w:rsid w:val="00077BCD"/>
    <w:rsid w:val="00080702"/>
    <w:rsid w:val="00082BF0"/>
    <w:rsid w:val="00084512"/>
    <w:rsid w:val="00084D8A"/>
    <w:rsid w:val="00084DA8"/>
    <w:rsid w:val="0008560F"/>
    <w:rsid w:val="000875E2"/>
    <w:rsid w:val="000929AC"/>
    <w:rsid w:val="00092E23"/>
    <w:rsid w:val="00093B06"/>
    <w:rsid w:val="00093B83"/>
    <w:rsid w:val="00095948"/>
    <w:rsid w:val="00095DF5"/>
    <w:rsid w:val="00097DCC"/>
    <w:rsid w:val="000A0475"/>
    <w:rsid w:val="000A078E"/>
    <w:rsid w:val="000A3981"/>
    <w:rsid w:val="000A45C9"/>
    <w:rsid w:val="000A6B29"/>
    <w:rsid w:val="000A6F41"/>
    <w:rsid w:val="000A73BE"/>
    <w:rsid w:val="000B006A"/>
    <w:rsid w:val="000B03B8"/>
    <w:rsid w:val="000B0D12"/>
    <w:rsid w:val="000B1625"/>
    <w:rsid w:val="000B3E9B"/>
    <w:rsid w:val="000B4C0B"/>
    <w:rsid w:val="000C0035"/>
    <w:rsid w:val="000C0307"/>
    <w:rsid w:val="000C13E2"/>
    <w:rsid w:val="000C1B9D"/>
    <w:rsid w:val="000C418C"/>
    <w:rsid w:val="000D01D4"/>
    <w:rsid w:val="000D19B0"/>
    <w:rsid w:val="000D3AD3"/>
    <w:rsid w:val="000D7844"/>
    <w:rsid w:val="000D7E91"/>
    <w:rsid w:val="000E00F4"/>
    <w:rsid w:val="000E06AF"/>
    <w:rsid w:val="000E1AD1"/>
    <w:rsid w:val="000E1B65"/>
    <w:rsid w:val="000E49CB"/>
    <w:rsid w:val="000E5C67"/>
    <w:rsid w:val="000F02A2"/>
    <w:rsid w:val="000F2737"/>
    <w:rsid w:val="000F2CE2"/>
    <w:rsid w:val="000F5205"/>
    <w:rsid w:val="000F7A8F"/>
    <w:rsid w:val="000F7CE4"/>
    <w:rsid w:val="0010097D"/>
    <w:rsid w:val="00100EA2"/>
    <w:rsid w:val="00101A29"/>
    <w:rsid w:val="001035D9"/>
    <w:rsid w:val="001041EB"/>
    <w:rsid w:val="00104228"/>
    <w:rsid w:val="001105A7"/>
    <w:rsid w:val="00111837"/>
    <w:rsid w:val="001120E9"/>
    <w:rsid w:val="001128D9"/>
    <w:rsid w:val="00115329"/>
    <w:rsid w:val="00115ECA"/>
    <w:rsid w:val="00116BFF"/>
    <w:rsid w:val="00117439"/>
    <w:rsid w:val="00117634"/>
    <w:rsid w:val="0012077D"/>
    <w:rsid w:val="0012239E"/>
    <w:rsid w:val="00126449"/>
    <w:rsid w:val="00126897"/>
    <w:rsid w:val="00126961"/>
    <w:rsid w:val="00127B12"/>
    <w:rsid w:val="00127C7D"/>
    <w:rsid w:val="001302D7"/>
    <w:rsid w:val="00130E35"/>
    <w:rsid w:val="00131BD7"/>
    <w:rsid w:val="00132150"/>
    <w:rsid w:val="001325F0"/>
    <w:rsid w:val="00133292"/>
    <w:rsid w:val="00133966"/>
    <w:rsid w:val="00135A1D"/>
    <w:rsid w:val="00137A2F"/>
    <w:rsid w:val="00140707"/>
    <w:rsid w:val="00140C15"/>
    <w:rsid w:val="00140CD3"/>
    <w:rsid w:val="00140E64"/>
    <w:rsid w:val="00142270"/>
    <w:rsid w:val="001426EA"/>
    <w:rsid w:val="00143366"/>
    <w:rsid w:val="00144215"/>
    <w:rsid w:val="001443E3"/>
    <w:rsid w:val="001448D8"/>
    <w:rsid w:val="00145B46"/>
    <w:rsid w:val="00145CB4"/>
    <w:rsid w:val="00147940"/>
    <w:rsid w:val="0015003E"/>
    <w:rsid w:val="0015099C"/>
    <w:rsid w:val="00150A31"/>
    <w:rsid w:val="001516B6"/>
    <w:rsid w:val="001526BD"/>
    <w:rsid w:val="00153578"/>
    <w:rsid w:val="00154EC7"/>
    <w:rsid w:val="0015690E"/>
    <w:rsid w:val="001611C5"/>
    <w:rsid w:val="00162F00"/>
    <w:rsid w:val="00163BC7"/>
    <w:rsid w:val="00163CC8"/>
    <w:rsid w:val="00166C7B"/>
    <w:rsid w:val="00166D55"/>
    <w:rsid w:val="00167583"/>
    <w:rsid w:val="00167E41"/>
    <w:rsid w:val="0017104D"/>
    <w:rsid w:val="001725E6"/>
    <w:rsid w:val="00173F70"/>
    <w:rsid w:val="0017596C"/>
    <w:rsid w:val="00175CA7"/>
    <w:rsid w:val="00177B30"/>
    <w:rsid w:val="00180704"/>
    <w:rsid w:val="001830B5"/>
    <w:rsid w:val="001831C1"/>
    <w:rsid w:val="00184257"/>
    <w:rsid w:val="001851EC"/>
    <w:rsid w:val="00187A4E"/>
    <w:rsid w:val="00187EE3"/>
    <w:rsid w:val="00190E37"/>
    <w:rsid w:val="0019109F"/>
    <w:rsid w:val="001914C4"/>
    <w:rsid w:val="0019581E"/>
    <w:rsid w:val="001966DD"/>
    <w:rsid w:val="00196C30"/>
    <w:rsid w:val="00196F11"/>
    <w:rsid w:val="0019759E"/>
    <w:rsid w:val="00197B44"/>
    <w:rsid w:val="001A0738"/>
    <w:rsid w:val="001A1A5D"/>
    <w:rsid w:val="001A23EF"/>
    <w:rsid w:val="001A35A2"/>
    <w:rsid w:val="001A3839"/>
    <w:rsid w:val="001A39C8"/>
    <w:rsid w:val="001A42CA"/>
    <w:rsid w:val="001A5C22"/>
    <w:rsid w:val="001A72C5"/>
    <w:rsid w:val="001A7375"/>
    <w:rsid w:val="001B0819"/>
    <w:rsid w:val="001B1CC6"/>
    <w:rsid w:val="001B2218"/>
    <w:rsid w:val="001B501C"/>
    <w:rsid w:val="001B6608"/>
    <w:rsid w:val="001B682D"/>
    <w:rsid w:val="001B6C81"/>
    <w:rsid w:val="001B7A16"/>
    <w:rsid w:val="001C01AE"/>
    <w:rsid w:val="001C0448"/>
    <w:rsid w:val="001C0739"/>
    <w:rsid w:val="001C0D0E"/>
    <w:rsid w:val="001C18C0"/>
    <w:rsid w:val="001C2B31"/>
    <w:rsid w:val="001C2F97"/>
    <w:rsid w:val="001C2FDE"/>
    <w:rsid w:val="001C36FF"/>
    <w:rsid w:val="001C494D"/>
    <w:rsid w:val="001C5BB3"/>
    <w:rsid w:val="001C7406"/>
    <w:rsid w:val="001C7572"/>
    <w:rsid w:val="001C75CC"/>
    <w:rsid w:val="001D1D6C"/>
    <w:rsid w:val="001D2FE5"/>
    <w:rsid w:val="001D3C4B"/>
    <w:rsid w:val="001D5D00"/>
    <w:rsid w:val="001D70F7"/>
    <w:rsid w:val="001D74D2"/>
    <w:rsid w:val="001E13BD"/>
    <w:rsid w:val="001E2CFE"/>
    <w:rsid w:val="001E359B"/>
    <w:rsid w:val="001E3EE5"/>
    <w:rsid w:val="001E651F"/>
    <w:rsid w:val="001E6FC3"/>
    <w:rsid w:val="001F1D09"/>
    <w:rsid w:val="001F1E97"/>
    <w:rsid w:val="001F39EE"/>
    <w:rsid w:val="001F5674"/>
    <w:rsid w:val="001F6A37"/>
    <w:rsid w:val="001F739F"/>
    <w:rsid w:val="001F7522"/>
    <w:rsid w:val="001F78E3"/>
    <w:rsid w:val="001F7F23"/>
    <w:rsid w:val="00200F41"/>
    <w:rsid w:val="00200FC4"/>
    <w:rsid w:val="00201609"/>
    <w:rsid w:val="0020238B"/>
    <w:rsid w:val="00203451"/>
    <w:rsid w:val="00206B49"/>
    <w:rsid w:val="00207A9F"/>
    <w:rsid w:val="00211427"/>
    <w:rsid w:val="002144A5"/>
    <w:rsid w:val="00215243"/>
    <w:rsid w:val="002155B1"/>
    <w:rsid w:val="002162AD"/>
    <w:rsid w:val="0021701F"/>
    <w:rsid w:val="00217C22"/>
    <w:rsid w:val="00220FC5"/>
    <w:rsid w:val="00222517"/>
    <w:rsid w:val="00222605"/>
    <w:rsid w:val="00222F8D"/>
    <w:rsid w:val="002232D5"/>
    <w:rsid w:val="002233F2"/>
    <w:rsid w:val="002236D8"/>
    <w:rsid w:val="00223AA8"/>
    <w:rsid w:val="0022428D"/>
    <w:rsid w:val="002246A2"/>
    <w:rsid w:val="002251AA"/>
    <w:rsid w:val="002268F0"/>
    <w:rsid w:val="00227C86"/>
    <w:rsid w:val="002341D8"/>
    <w:rsid w:val="00235C66"/>
    <w:rsid w:val="0023607A"/>
    <w:rsid w:val="00236757"/>
    <w:rsid w:val="00241324"/>
    <w:rsid w:val="002431B9"/>
    <w:rsid w:val="002444FD"/>
    <w:rsid w:val="002452CA"/>
    <w:rsid w:val="002453B9"/>
    <w:rsid w:val="002463B9"/>
    <w:rsid w:val="0025093A"/>
    <w:rsid w:val="00250C8C"/>
    <w:rsid w:val="00251642"/>
    <w:rsid w:val="00251F1C"/>
    <w:rsid w:val="002538E5"/>
    <w:rsid w:val="00254BC5"/>
    <w:rsid w:val="002551F2"/>
    <w:rsid w:val="002557DF"/>
    <w:rsid w:val="00257AD9"/>
    <w:rsid w:val="002614C9"/>
    <w:rsid w:val="002647D6"/>
    <w:rsid w:val="002651DD"/>
    <w:rsid w:val="00265FF1"/>
    <w:rsid w:val="00270300"/>
    <w:rsid w:val="0027092E"/>
    <w:rsid w:val="00271624"/>
    <w:rsid w:val="00272900"/>
    <w:rsid w:val="00272BA4"/>
    <w:rsid w:val="00273E3A"/>
    <w:rsid w:val="00274389"/>
    <w:rsid w:val="00276834"/>
    <w:rsid w:val="00276F46"/>
    <w:rsid w:val="00277A91"/>
    <w:rsid w:val="00277C19"/>
    <w:rsid w:val="002805FF"/>
    <w:rsid w:val="00280A93"/>
    <w:rsid w:val="00280D60"/>
    <w:rsid w:val="0028136A"/>
    <w:rsid w:val="002817A7"/>
    <w:rsid w:val="002819C8"/>
    <w:rsid w:val="0028348C"/>
    <w:rsid w:val="002839A5"/>
    <w:rsid w:val="00285522"/>
    <w:rsid w:val="002857D2"/>
    <w:rsid w:val="00290CF6"/>
    <w:rsid w:val="002911DF"/>
    <w:rsid w:val="002915B9"/>
    <w:rsid w:val="00292327"/>
    <w:rsid w:val="002923F0"/>
    <w:rsid w:val="00294249"/>
    <w:rsid w:val="002948B9"/>
    <w:rsid w:val="002950D5"/>
    <w:rsid w:val="00295DFC"/>
    <w:rsid w:val="00296017"/>
    <w:rsid w:val="00296158"/>
    <w:rsid w:val="002A01E0"/>
    <w:rsid w:val="002A08C7"/>
    <w:rsid w:val="002A2B6C"/>
    <w:rsid w:val="002A33B2"/>
    <w:rsid w:val="002A36E0"/>
    <w:rsid w:val="002A450E"/>
    <w:rsid w:val="002A4A2F"/>
    <w:rsid w:val="002A4E5F"/>
    <w:rsid w:val="002A5344"/>
    <w:rsid w:val="002B0098"/>
    <w:rsid w:val="002B208C"/>
    <w:rsid w:val="002B26B5"/>
    <w:rsid w:val="002B2F09"/>
    <w:rsid w:val="002B40FD"/>
    <w:rsid w:val="002B69BC"/>
    <w:rsid w:val="002B6AEE"/>
    <w:rsid w:val="002B6B91"/>
    <w:rsid w:val="002B6F73"/>
    <w:rsid w:val="002C08BA"/>
    <w:rsid w:val="002C1422"/>
    <w:rsid w:val="002C1851"/>
    <w:rsid w:val="002C1E89"/>
    <w:rsid w:val="002C310E"/>
    <w:rsid w:val="002C68DF"/>
    <w:rsid w:val="002C7108"/>
    <w:rsid w:val="002C723F"/>
    <w:rsid w:val="002D2790"/>
    <w:rsid w:val="002D4118"/>
    <w:rsid w:val="002D4FB6"/>
    <w:rsid w:val="002D5231"/>
    <w:rsid w:val="002D60DC"/>
    <w:rsid w:val="002E0D6E"/>
    <w:rsid w:val="002E3D7A"/>
    <w:rsid w:val="002E3E20"/>
    <w:rsid w:val="002E495C"/>
    <w:rsid w:val="002E4BED"/>
    <w:rsid w:val="002E6A3D"/>
    <w:rsid w:val="002F05C3"/>
    <w:rsid w:val="002F0E93"/>
    <w:rsid w:val="002F1F94"/>
    <w:rsid w:val="002F33BE"/>
    <w:rsid w:val="002F5C60"/>
    <w:rsid w:val="002F6B55"/>
    <w:rsid w:val="00301D81"/>
    <w:rsid w:val="00303048"/>
    <w:rsid w:val="003038AB"/>
    <w:rsid w:val="00304463"/>
    <w:rsid w:val="00304795"/>
    <w:rsid w:val="00304E36"/>
    <w:rsid w:val="00306B93"/>
    <w:rsid w:val="00307A7D"/>
    <w:rsid w:val="00311A45"/>
    <w:rsid w:val="003133A9"/>
    <w:rsid w:val="00314BD2"/>
    <w:rsid w:val="0031566D"/>
    <w:rsid w:val="00316BA5"/>
    <w:rsid w:val="0031754E"/>
    <w:rsid w:val="003175CE"/>
    <w:rsid w:val="0032273B"/>
    <w:rsid w:val="003248F6"/>
    <w:rsid w:val="00326493"/>
    <w:rsid w:val="003276E1"/>
    <w:rsid w:val="00330015"/>
    <w:rsid w:val="0033117B"/>
    <w:rsid w:val="00331D98"/>
    <w:rsid w:val="003326F8"/>
    <w:rsid w:val="00332B6F"/>
    <w:rsid w:val="003341DC"/>
    <w:rsid w:val="0033486A"/>
    <w:rsid w:val="00335A6D"/>
    <w:rsid w:val="00337A54"/>
    <w:rsid w:val="00340CBF"/>
    <w:rsid w:val="00343A8D"/>
    <w:rsid w:val="00343AAA"/>
    <w:rsid w:val="003450EE"/>
    <w:rsid w:val="00345D93"/>
    <w:rsid w:val="00345E0D"/>
    <w:rsid w:val="003463DF"/>
    <w:rsid w:val="00346B38"/>
    <w:rsid w:val="00346E11"/>
    <w:rsid w:val="0034720A"/>
    <w:rsid w:val="003473C0"/>
    <w:rsid w:val="00347444"/>
    <w:rsid w:val="00351D73"/>
    <w:rsid w:val="0035434A"/>
    <w:rsid w:val="00355362"/>
    <w:rsid w:val="00356543"/>
    <w:rsid w:val="003566E0"/>
    <w:rsid w:val="0035699F"/>
    <w:rsid w:val="003573D9"/>
    <w:rsid w:val="003627E1"/>
    <w:rsid w:val="0036300D"/>
    <w:rsid w:val="00365679"/>
    <w:rsid w:val="0036580F"/>
    <w:rsid w:val="00365D02"/>
    <w:rsid w:val="00366836"/>
    <w:rsid w:val="00366884"/>
    <w:rsid w:val="00370437"/>
    <w:rsid w:val="0037282B"/>
    <w:rsid w:val="0037397B"/>
    <w:rsid w:val="003746B9"/>
    <w:rsid w:val="003766A5"/>
    <w:rsid w:val="00377393"/>
    <w:rsid w:val="00380F7F"/>
    <w:rsid w:val="00384C45"/>
    <w:rsid w:val="003855BE"/>
    <w:rsid w:val="00386EF3"/>
    <w:rsid w:val="00387AD4"/>
    <w:rsid w:val="00395EBF"/>
    <w:rsid w:val="00397378"/>
    <w:rsid w:val="0039799D"/>
    <w:rsid w:val="003A0F4D"/>
    <w:rsid w:val="003A1FF7"/>
    <w:rsid w:val="003A28DC"/>
    <w:rsid w:val="003A2F66"/>
    <w:rsid w:val="003A3981"/>
    <w:rsid w:val="003A3B2F"/>
    <w:rsid w:val="003A52D7"/>
    <w:rsid w:val="003A53D3"/>
    <w:rsid w:val="003A5FE3"/>
    <w:rsid w:val="003A6ADA"/>
    <w:rsid w:val="003A7099"/>
    <w:rsid w:val="003B046E"/>
    <w:rsid w:val="003B10C0"/>
    <w:rsid w:val="003B1424"/>
    <w:rsid w:val="003B2242"/>
    <w:rsid w:val="003B381F"/>
    <w:rsid w:val="003B4323"/>
    <w:rsid w:val="003B4D7B"/>
    <w:rsid w:val="003B66ED"/>
    <w:rsid w:val="003B676D"/>
    <w:rsid w:val="003B734C"/>
    <w:rsid w:val="003C0F46"/>
    <w:rsid w:val="003C288A"/>
    <w:rsid w:val="003C3AF8"/>
    <w:rsid w:val="003C3DF4"/>
    <w:rsid w:val="003C3F9B"/>
    <w:rsid w:val="003C6B5A"/>
    <w:rsid w:val="003C7F98"/>
    <w:rsid w:val="003D2875"/>
    <w:rsid w:val="003D35BC"/>
    <w:rsid w:val="003D3F59"/>
    <w:rsid w:val="003D50EB"/>
    <w:rsid w:val="003D6175"/>
    <w:rsid w:val="003D6790"/>
    <w:rsid w:val="003D6BAD"/>
    <w:rsid w:val="003D6D63"/>
    <w:rsid w:val="003D7936"/>
    <w:rsid w:val="003E0D54"/>
    <w:rsid w:val="003E1FC8"/>
    <w:rsid w:val="003E483F"/>
    <w:rsid w:val="003E5479"/>
    <w:rsid w:val="003E6F0A"/>
    <w:rsid w:val="003F0188"/>
    <w:rsid w:val="003F0E7E"/>
    <w:rsid w:val="003F1037"/>
    <w:rsid w:val="003F14E2"/>
    <w:rsid w:val="003F1FA2"/>
    <w:rsid w:val="003F4120"/>
    <w:rsid w:val="003F7533"/>
    <w:rsid w:val="00401FD2"/>
    <w:rsid w:val="00404FF4"/>
    <w:rsid w:val="00406726"/>
    <w:rsid w:val="00406BA7"/>
    <w:rsid w:val="00407127"/>
    <w:rsid w:val="0040728C"/>
    <w:rsid w:val="004104A4"/>
    <w:rsid w:val="00411567"/>
    <w:rsid w:val="00412507"/>
    <w:rsid w:val="00412590"/>
    <w:rsid w:val="004144E0"/>
    <w:rsid w:val="00414522"/>
    <w:rsid w:val="004146D5"/>
    <w:rsid w:val="00414E08"/>
    <w:rsid w:val="00416071"/>
    <w:rsid w:val="004166DF"/>
    <w:rsid w:val="00416700"/>
    <w:rsid w:val="00417F1B"/>
    <w:rsid w:val="00421764"/>
    <w:rsid w:val="0042214B"/>
    <w:rsid w:val="00423727"/>
    <w:rsid w:val="00425DA2"/>
    <w:rsid w:val="00426032"/>
    <w:rsid w:val="00427C58"/>
    <w:rsid w:val="00427F27"/>
    <w:rsid w:val="00431AA9"/>
    <w:rsid w:val="00433377"/>
    <w:rsid w:val="00433A15"/>
    <w:rsid w:val="00434B3C"/>
    <w:rsid w:val="00437399"/>
    <w:rsid w:val="00440775"/>
    <w:rsid w:val="004421C6"/>
    <w:rsid w:val="004426B2"/>
    <w:rsid w:val="00443111"/>
    <w:rsid w:val="00444C56"/>
    <w:rsid w:val="00444D39"/>
    <w:rsid w:val="0044565C"/>
    <w:rsid w:val="00445B4D"/>
    <w:rsid w:val="00446749"/>
    <w:rsid w:val="0045220B"/>
    <w:rsid w:val="00452E9A"/>
    <w:rsid w:val="0045367F"/>
    <w:rsid w:val="004547F7"/>
    <w:rsid w:val="0045592B"/>
    <w:rsid w:val="00455AF8"/>
    <w:rsid w:val="00457427"/>
    <w:rsid w:val="00457E1C"/>
    <w:rsid w:val="00460072"/>
    <w:rsid w:val="00460670"/>
    <w:rsid w:val="00460E7C"/>
    <w:rsid w:val="00461314"/>
    <w:rsid w:val="00462311"/>
    <w:rsid w:val="00462863"/>
    <w:rsid w:val="004638D5"/>
    <w:rsid w:val="0046423B"/>
    <w:rsid w:val="00465F73"/>
    <w:rsid w:val="0046708A"/>
    <w:rsid w:val="004677F7"/>
    <w:rsid w:val="00467A83"/>
    <w:rsid w:val="00470DC3"/>
    <w:rsid w:val="00470E0C"/>
    <w:rsid w:val="004710C3"/>
    <w:rsid w:val="00471F73"/>
    <w:rsid w:val="00472E85"/>
    <w:rsid w:val="0047360A"/>
    <w:rsid w:val="00473C50"/>
    <w:rsid w:val="004754BE"/>
    <w:rsid w:val="00475A6C"/>
    <w:rsid w:val="0048039B"/>
    <w:rsid w:val="0048174C"/>
    <w:rsid w:val="00481810"/>
    <w:rsid w:val="00481FE8"/>
    <w:rsid w:val="00482420"/>
    <w:rsid w:val="0048243A"/>
    <w:rsid w:val="0048584B"/>
    <w:rsid w:val="00485FEF"/>
    <w:rsid w:val="004862E0"/>
    <w:rsid w:val="00486767"/>
    <w:rsid w:val="00486DF6"/>
    <w:rsid w:val="00486EFD"/>
    <w:rsid w:val="004902A1"/>
    <w:rsid w:val="00490C0E"/>
    <w:rsid w:val="00491FCA"/>
    <w:rsid w:val="00492EC3"/>
    <w:rsid w:val="004A2BD0"/>
    <w:rsid w:val="004A345C"/>
    <w:rsid w:val="004A4E70"/>
    <w:rsid w:val="004A53B2"/>
    <w:rsid w:val="004A738C"/>
    <w:rsid w:val="004B234F"/>
    <w:rsid w:val="004B32D9"/>
    <w:rsid w:val="004B3531"/>
    <w:rsid w:val="004B4C3F"/>
    <w:rsid w:val="004B4FF2"/>
    <w:rsid w:val="004B6110"/>
    <w:rsid w:val="004B6530"/>
    <w:rsid w:val="004C07E7"/>
    <w:rsid w:val="004C1368"/>
    <w:rsid w:val="004C55B9"/>
    <w:rsid w:val="004D0D24"/>
    <w:rsid w:val="004D32C2"/>
    <w:rsid w:val="004E0960"/>
    <w:rsid w:val="004E112E"/>
    <w:rsid w:val="004E433C"/>
    <w:rsid w:val="004E4926"/>
    <w:rsid w:val="004E743D"/>
    <w:rsid w:val="004F0F17"/>
    <w:rsid w:val="004F294B"/>
    <w:rsid w:val="004F2EB4"/>
    <w:rsid w:val="004F4471"/>
    <w:rsid w:val="004F6783"/>
    <w:rsid w:val="004F67A3"/>
    <w:rsid w:val="004F766B"/>
    <w:rsid w:val="005008B3"/>
    <w:rsid w:val="0050112D"/>
    <w:rsid w:val="005012A1"/>
    <w:rsid w:val="00501B76"/>
    <w:rsid w:val="00501D98"/>
    <w:rsid w:val="005047F5"/>
    <w:rsid w:val="00504CB4"/>
    <w:rsid w:val="0050600B"/>
    <w:rsid w:val="005061FC"/>
    <w:rsid w:val="00506A92"/>
    <w:rsid w:val="00510093"/>
    <w:rsid w:val="00511FCE"/>
    <w:rsid w:val="005122FF"/>
    <w:rsid w:val="005126CB"/>
    <w:rsid w:val="005149E7"/>
    <w:rsid w:val="00515331"/>
    <w:rsid w:val="0052027F"/>
    <w:rsid w:val="00520B75"/>
    <w:rsid w:val="00521431"/>
    <w:rsid w:val="005222A3"/>
    <w:rsid w:val="00523457"/>
    <w:rsid w:val="00524AB9"/>
    <w:rsid w:val="00525518"/>
    <w:rsid w:val="00531A8C"/>
    <w:rsid w:val="00532FD7"/>
    <w:rsid w:val="00533102"/>
    <w:rsid w:val="00534378"/>
    <w:rsid w:val="00534637"/>
    <w:rsid w:val="00534C1A"/>
    <w:rsid w:val="00535474"/>
    <w:rsid w:val="005379F7"/>
    <w:rsid w:val="005412FC"/>
    <w:rsid w:val="00542C46"/>
    <w:rsid w:val="00544B4E"/>
    <w:rsid w:val="00545E30"/>
    <w:rsid w:val="0054632E"/>
    <w:rsid w:val="00547821"/>
    <w:rsid w:val="0055172F"/>
    <w:rsid w:val="005526B2"/>
    <w:rsid w:val="0055325C"/>
    <w:rsid w:val="0055388B"/>
    <w:rsid w:val="00554301"/>
    <w:rsid w:val="00557961"/>
    <w:rsid w:val="0056042B"/>
    <w:rsid w:val="00561FBD"/>
    <w:rsid w:val="00563559"/>
    <w:rsid w:val="00564615"/>
    <w:rsid w:val="005667D3"/>
    <w:rsid w:val="00566D6A"/>
    <w:rsid w:val="005672F8"/>
    <w:rsid w:val="00573E7F"/>
    <w:rsid w:val="005746AD"/>
    <w:rsid w:val="00574D62"/>
    <w:rsid w:val="005759D6"/>
    <w:rsid w:val="00576CFC"/>
    <w:rsid w:val="00581D34"/>
    <w:rsid w:val="0058305D"/>
    <w:rsid w:val="00583A2A"/>
    <w:rsid w:val="00584903"/>
    <w:rsid w:val="005873B0"/>
    <w:rsid w:val="00591805"/>
    <w:rsid w:val="00591D1A"/>
    <w:rsid w:val="00593810"/>
    <w:rsid w:val="00594FD6"/>
    <w:rsid w:val="005953C2"/>
    <w:rsid w:val="00595B5E"/>
    <w:rsid w:val="005A0172"/>
    <w:rsid w:val="005A03B6"/>
    <w:rsid w:val="005A16EA"/>
    <w:rsid w:val="005A1FBD"/>
    <w:rsid w:val="005A27BB"/>
    <w:rsid w:val="005A6527"/>
    <w:rsid w:val="005A6C8E"/>
    <w:rsid w:val="005B34C3"/>
    <w:rsid w:val="005B3F9D"/>
    <w:rsid w:val="005B4CA8"/>
    <w:rsid w:val="005B5921"/>
    <w:rsid w:val="005C141B"/>
    <w:rsid w:val="005C154E"/>
    <w:rsid w:val="005C1AD3"/>
    <w:rsid w:val="005C3ECC"/>
    <w:rsid w:val="005C460A"/>
    <w:rsid w:val="005C481D"/>
    <w:rsid w:val="005C6135"/>
    <w:rsid w:val="005C72EE"/>
    <w:rsid w:val="005D18E9"/>
    <w:rsid w:val="005D2423"/>
    <w:rsid w:val="005D3442"/>
    <w:rsid w:val="005D5860"/>
    <w:rsid w:val="005D63D4"/>
    <w:rsid w:val="005D6EF0"/>
    <w:rsid w:val="005D72D2"/>
    <w:rsid w:val="005D7966"/>
    <w:rsid w:val="005E01AD"/>
    <w:rsid w:val="005E41DB"/>
    <w:rsid w:val="005E4FFE"/>
    <w:rsid w:val="005F0E16"/>
    <w:rsid w:val="005F2A68"/>
    <w:rsid w:val="005F2D7B"/>
    <w:rsid w:val="005F3303"/>
    <w:rsid w:val="005F4808"/>
    <w:rsid w:val="00600D2C"/>
    <w:rsid w:val="006020E3"/>
    <w:rsid w:val="006026EA"/>
    <w:rsid w:val="00602DD8"/>
    <w:rsid w:val="00603629"/>
    <w:rsid w:val="0060418C"/>
    <w:rsid w:val="00604518"/>
    <w:rsid w:val="00604B88"/>
    <w:rsid w:val="0060568B"/>
    <w:rsid w:val="00605C00"/>
    <w:rsid w:val="00606715"/>
    <w:rsid w:val="00607281"/>
    <w:rsid w:val="0060743A"/>
    <w:rsid w:val="00610AF0"/>
    <w:rsid w:val="0061187B"/>
    <w:rsid w:val="00612102"/>
    <w:rsid w:val="00612210"/>
    <w:rsid w:val="00612268"/>
    <w:rsid w:val="00613BDA"/>
    <w:rsid w:val="006146FE"/>
    <w:rsid w:val="00614817"/>
    <w:rsid w:val="00615912"/>
    <w:rsid w:val="00615F1C"/>
    <w:rsid w:val="0061789A"/>
    <w:rsid w:val="00620518"/>
    <w:rsid w:val="00620763"/>
    <w:rsid w:val="00620FCD"/>
    <w:rsid w:val="00622342"/>
    <w:rsid w:val="006229B7"/>
    <w:rsid w:val="00624267"/>
    <w:rsid w:val="0062442B"/>
    <w:rsid w:val="0062470A"/>
    <w:rsid w:val="00627759"/>
    <w:rsid w:val="00627ABB"/>
    <w:rsid w:val="00627ADA"/>
    <w:rsid w:val="0063115A"/>
    <w:rsid w:val="006336EE"/>
    <w:rsid w:val="00633758"/>
    <w:rsid w:val="00634CC3"/>
    <w:rsid w:val="00634D94"/>
    <w:rsid w:val="0063537C"/>
    <w:rsid w:val="006401DC"/>
    <w:rsid w:val="00641EE0"/>
    <w:rsid w:val="006420B0"/>
    <w:rsid w:val="00642230"/>
    <w:rsid w:val="0064254F"/>
    <w:rsid w:val="00642785"/>
    <w:rsid w:val="006435E8"/>
    <w:rsid w:val="00643A79"/>
    <w:rsid w:val="00643DF4"/>
    <w:rsid w:val="00644017"/>
    <w:rsid w:val="006451E9"/>
    <w:rsid w:val="006468D1"/>
    <w:rsid w:val="00646B87"/>
    <w:rsid w:val="00646D2F"/>
    <w:rsid w:val="00647621"/>
    <w:rsid w:val="00650002"/>
    <w:rsid w:val="0065196E"/>
    <w:rsid w:val="00656C03"/>
    <w:rsid w:val="00657FA9"/>
    <w:rsid w:val="00660C3C"/>
    <w:rsid w:val="0066166F"/>
    <w:rsid w:val="006617E3"/>
    <w:rsid w:val="00662367"/>
    <w:rsid w:val="00664448"/>
    <w:rsid w:val="00665C69"/>
    <w:rsid w:val="00665FFE"/>
    <w:rsid w:val="006668D1"/>
    <w:rsid w:val="006669E3"/>
    <w:rsid w:val="0066772A"/>
    <w:rsid w:val="0067056F"/>
    <w:rsid w:val="00670DBF"/>
    <w:rsid w:val="00672044"/>
    <w:rsid w:val="00672057"/>
    <w:rsid w:val="0067322D"/>
    <w:rsid w:val="006740DA"/>
    <w:rsid w:val="00674732"/>
    <w:rsid w:val="00675ABF"/>
    <w:rsid w:val="00675E32"/>
    <w:rsid w:val="006777C3"/>
    <w:rsid w:val="0068267D"/>
    <w:rsid w:val="00682BAD"/>
    <w:rsid w:val="006840F4"/>
    <w:rsid w:val="00684C28"/>
    <w:rsid w:val="00685AA2"/>
    <w:rsid w:val="00694095"/>
    <w:rsid w:val="00694B3F"/>
    <w:rsid w:val="00694E60"/>
    <w:rsid w:val="006955E7"/>
    <w:rsid w:val="00695A34"/>
    <w:rsid w:val="00696467"/>
    <w:rsid w:val="0069713B"/>
    <w:rsid w:val="0069736C"/>
    <w:rsid w:val="006974E6"/>
    <w:rsid w:val="00697D16"/>
    <w:rsid w:val="006A15CC"/>
    <w:rsid w:val="006A1715"/>
    <w:rsid w:val="006A3741"/>
    <w:rsid w:val="006A5DA1"/>
    <w:rsid w:val="006A6EF3"/>
    <w:rsid w:val="006A7150"/>
    <w:rsid w:val="006A71B4"/>
    <w:rsid w:val="006A7457"/>
    <w:rsid w:val="006A769E"/>
    <w:rsid w:val="006B089D"/>
    <w:rsid w:val="006B13A1"/>
    <w:rsid w:val="006B26F1"/>
    <w:rsid w:val="006B32DB"/>
    <w:rsid w:val="006B358B"/>
    <w:rsid w:val="006B3D58"/>
    <w:rsid w:val="006B53F7"/>
    <w:rsid w:val="006B6735"/>
    <w:rsid w:val="006C05E1"/>
    <w:rsid w:val="006C168A"/>
    <w:rsid w:val="006C1B08"/>
    <w:rsid w:val="006C27F6"/>
    <w:rsid w:val="006C2E4C"/>
    <w:rsid w:val="006C39BE"/>
    <w:rsid w:val="006C5606"/>
    <w:rsid w:val="006C6D6B"/>
    <w:rsid w:val="006C7772"/>
    <w:rsid w:val="006C7A9C"/>
    <w:rsid w:val="006D21B1"/>
    <w:rsid w:val="006D347E"/>
    <w:rsid w:val="006D3643"/>
    <w:rsid w:val="006D446B"/>
    <w:rsid w:val="006D52C6"/>
    <w:rsid w:val="006D7FBF"/>
    <w:rsid w:val="006E06FD"/>
    <w:rsid w:val="006E0B27"/>
    <w:rsid w:val="006E1B1E"/>
    <w:rsid w:val="006E2539"/>
    <w:rsid w:val="006E3A04"/>
    <w:rsid w:val="006E3D24"/>
    <w:rsid w:val="006E428C"/>
    <w:rsid w:val="006E5421"/>
    <w:rsid w:val="006E62BA"/>
    <w:rsid w:val="006E6C37"/>
    <w:rsid w:val="006E7800"/>
    <w:rsid w:val="006F0817"/>
    <w:rsid w:val="006F0912"/>
    <w:rsid w:val="006F1299"/>
    <w:rsid w:val="006F19AA"/>
    <w:rsid w:val="006F1F22"/>
    <w:rsid w:val="006F3BFD"/>
    <w:rsid w:val="006F471E"/>
    <w:rsid w:val="006F49CB"/>
    <w:rsid w:val="006F6892"/>
    <w:rsid w:val="006F6BFC"/>
    <w:rsid w:val="006F6E98"/>
    <w:rsid w:val="006F77FA"/>
    <w:rsid w:val="006F7D69"/>
    <w:rsid w:val="007026CF"/>
    <w:rsid w:val="007038E2"/>
    <w:rsid w:val="00704A24"/>
    <w:rsid w:val="007052C3"/>
    <w:rsid w:val="007059CA"/>
    <w:rsid w:val="0070683D"/>
    <w:rsid w:val="00706AF6"/>
    <w:rsid w:val="007121FD"/>
    <w:rsid w:val="007133F8"/>
    <w:rsid w:val="00715567"/>
    <w:rsid w:val="0071596F"/>
    <w:rsid w:val="00715B4B"/>
    <w:rsid w:val="00717999"/>
    <w:rsid w:val="00721666"/>
    <w:rsid w:val="00722F4E"/>
    <w:rsid w:val="00724FA7"/>
    <w:rsid w:val="00725100"/>
    <w:rsid w:val="00726284"/>
    <w:rsid w:val="00726D13"/>
    <w:rsid w:val="00730BBD"/>
    <w:rsid w:val="00731224"/>
    <w:rsid w:val="00733FC4"/>
    <w:rsid w:val="007346DB"/>
    <w:rsid w:val="00735D79"/>
    <w:rsid w:val="00736FCE"/>
    <w:rsid w:val="007408BB"/>
    <w:rsid w:val="00740C4F"/>
    <w:rsid w:val="0074239D"/>
    <w:rsid w:val="00743F0A"/>
    <w:rsid w:val="00744480"/>
    <w:rsid w:val="00745825"/>
    <w:rsid w:val="00745FC6"/>
    <w:rsid w:val="007460E2"/>
    <w:rsid w:val="00751794"/>
    <w:rsid w:val="00753AEA"/>
    <w:rsid w:val="0075593B"/>
    <w:rsid w:val="007566FA"/>
    <w:rsid w:val="0075732C"/>
    <w:rsid w:val="0076215C"/>
    <w:rsid w:val="00763044"/>
    <w:rsid w:val="00764214"/>
    <w:rsid w:val="007642B0"/>
    <w:rsid w:val="007656C3"/>
    <w:rsid w:val="00766875"/>
    <w:rsid w:val="00766ED8"/>
    <w:rsid w:val="00772749"/>
    <w:rsid w:val="00772803"/>
    <w:rsid w:val="0077345A"/>
    <w:rsid w:val="00774DE6"/>
    <w:rsid w:val="00775955"/>
    <w:rsid w:val="00776350"/>
    <w:rsid w:val="0077689A"/>
    <w:rsid w:val="00776BAD"/>
    <w:rsid w:val="00781947"/>
    <w:rsid w:val="00782437"/>
    <w:rsid w:val="007825A8"/>
    <w:rsid w:val="00782CFD"/>
    <w:rsid w:val="0078337A"/>
    <w:rsid w:val="00783827"/>
    <w:rsid w:val="00784D63"/>
    <w:rsid w:val="00784FA6"/>
    <w:rsid w:val="00785F12"/>
    <w:rsid w:val="007870EB"/>
    <w:rsid w:val="00791C95"/>
    <w:rsid w:val="0079237D"/>
    <w:rsid w:val="00793496"/>
    <w:rsid w:val="007936EC"/>
    <w:rsid w:val="00795184"/>
    <w:rsid w:val="00795953"/>
    <w:rsid w:val="00796CC1"/>
    <w:rsid w:val="00797B11"/>
    <w:rsid w:val="00797B1E"/>
    <w:rsid w:val="00797B49"/>
    <w:rsid w:val="00797BF2"/>
    <w:rsid w:val="007A2AA9"/>
    <w:rsid w:val="007A3B7C"/>
    <w:rsid w:val="007A4E6E"/>
    <w:rsid w:val="007A725B"/>
    <w:rsid w:val="007B13E5"/>
    <w:rsid w:val="007B26E3"/>
    <w:rsid w:val="007B2942"/>
    <w:rsid w:val="007B395A"/>
    <w:rsid w:val="007B45D1"/>
    <w:rsid w:val="007B483E"/>
    <w:rsid w:val="007B4C77"/>
    <w:rsid w:val="007B79FE"/>
    <w:rsid w:val="007B7D0D"/>
    <w:rsid w:val="007B7D9D"/>
    <w:rsid w:val="007C04F4"/>
    <w:rsid w:val="007C08C9"/>
    <w:rsid w:val="007C2909"/>
    <w:rsid w:val="007C32C7"/>
    <w:rsid w:val="007C41AF"/>
    <w:rsid w:val="007C4490"/>
    <w:rsid w:val="007C4894"/>
    <w:rsid w:val="007C750E"/>
    <w:rsid w:val="007D1E09"/>
    <w:rsid w:val="007D2439"/>
    <w:rsid w:val="007D2490"/>
    <w:rsid w:val="007D2F3B"/>
    <w:rsid w:val="007D4828"/>
    <w:rsid w:val="007D6012"/>
    <w:rsid w:val="007D6273"/>
    <w:rsid w:val="007D78BF"/>
    <w:rsid w:val="007E0956"/>
    <w:rsid w:val="007E1774"/>
    <w:rsid w:val="007E24CE"/>
    <w:rsid w:val="007E353B"/>
    <w:rsid w:val="007E6AF6"/>
    <w:rsid w:val="007E6B9C"/>
    <w:rsid w:val="007E70C5"/>
    <w:rsid w:val="007F19E3"/>
    <w:rsid w:val="007F313A"/>
    <w:rsid w:val="007F35CE"/>
    <w:rsid w:val="007F532F"/>
    <w:rsid w:val="007F6347"/>
    <w:rsid w:val="007F6E46"/>
    <w:rsid w:val="00800667"/>
    <w:rsid w:val="008022AA"/>
    <w:rsid w:val="008044B2"/>
    <w:rsid w:val="008049B6"/>
    <w:rsid w:val="00805487"/>
    <w:rsid w:val="00805BFE"/>
    <w:rsid w:val="008062F0"/>
    <w:rsid w:val="00806A19"/>
    <w:rsid w:val="00806F43"/>
    <w:rsid w:val="00807A7A"/>
    <w:rsid w:val="00807DF5"/>
    <w:rsid w:val="00810E1B"/>
    <w:rsid w:val="0081138F"/>
    <w:rsid w:val="00812431"/>
    <w:rsid w:val="008125E6"/>
    <w:rsid w:val="0081708B"/>
    <w:rsid w:val="00817D98"/>
    <w:rsid w:val="0082024D"/>
    <w:rsid w:val="0082194F"/>
    <w:rsid w:val="00821B5F"/>
    <w:rsid w:val="00821FD1"/>
    <w:rsid w:val="0082216C"/>
    <w:rsid w:val="008232DA"/>
    <w:rsid w:val="008243A1"/>
    <w:rsid w:val="00824C7E"/>
    <w:rsid w:val="00827703"/>
    <w:rsid w:val="00831036"/>
    <w:rsid w:val="00835D3C"/>
    <w:rsid w:val="008377A7"/>
    <w:rsid w:val="0083793D"/>
    <w:rsid w:val="008401BD"/>
    <w:rsid w:val="008402A5"/>
    <w:rsid w:val="00840628"/>
    <w:rsid w:val="0084094E"/>
    <w:rsid w:val="008439D5"/>
    <w:rsid w:val="00843B33"/>
    <w:rsid w:val="00846288"/>
    <w:rsid w:val="0084649E"/>
    <w:rsid w:val="00846C3D"/>
    <w:rsid w:val="00847AE8"/>
    <w:rsid w:val="00847EF0"/>
    <w:rsid w:val="00850444"/>
    <w:rsid w:val="00850908"/>
    <w:rsid w:val="00854D3D"/>
    <w:rsid w:val="00855943"/>
    <w:rsid w:val="0085612B"/>
    <w:rsid w:val="0085781F"/>
    <w:rsid w:val="00857DE3"/>
    <w:rsid w:val="00864794"/>
    <w:rsid w:val="00865E78"/>
    <w:rsid w:val="00866135"/>
    <w:rsid w:val="00866CE1"/>
    <w:rsid w:val="00867458"/>
    <w:rsid w:val="00867917"/>
    <w:rsid w:val="00870068"/>
    <w:rsid w:val="00871A8B"/>
    <w:rsid w:val="008736B3"/>
    <w:rsid w:val="0087443E"/>
    <w:rsid w:val="00877543"/>
    <w:rsid w:val="0088030F"/>
    <w:rsid w:val="00882677"/>
    <w:rsid w:val="00883488"/>
    <w:rsid w:val="00883EA4"/>
    <w:rsid w:val="00884775"/>
    <w:rsid w:val="00887072"/>
    <w:rsid w:val="00887423"/>
    <w:rsid w:val="00890F1D"/>
    <w:rsid w:val="00892514"/>
    <w:rsid w:val="00892E51"/>
    <w:rsid w:val="00893DC3"/>
    <w:rsid w:val="008957FC"/>
    <w:rsid w:val="008A242F"/>
    <w:rsid w:val="008A3B1F"/>
    <w:rsid w:val="008A43EA"/>
    <w:rsid w:val="008A485A"/>
    <w:rsid w:val="008A5469"/>
    <w:rsid w:val="008A55D9"/>
    <w:rsid w:val="008A5AC0"/>
    <w:rsid w:val="008A6560"/>
    <w:rsid w:val="008B0AE5"/>
    <w:rsid w:val="008B0BD2"/>
    <w:rsid w:val="008B263D"/>
    <w:rsid w:val="008B372C"/>
    <w:rsid w:val="008B4412"/>
    <w:rsid w:val="008B4F81"/>
    <w:rsid w:val="008B718D"/>
    <w:rsid w:val="008B73B8"/>
    <w:rsid w:val="008B74FB"/>
    <w:rsid w:val="008C229E"/>
    <w:rsid w:val="008C3186"/>
    <w:rsid w:val="008C42D5"/>
    <w:rsid w:val="008C5083"/>
    <w:rsid w:val="008C575E"/>
    <w:rsid w:val="008C5F2B"/>
    <w:rsid w:val="008C754A"/>
    <w:rsid w:val="008C7D2D"/>
    <w:rsid w:val="008D2513"/>
    <w:rsid w:val="008D304B"/>
    <w:rsid w:val="008D6B0E"/>
    <w:rsid w:val="008E2080"/>
    <w:rsid w:val="008E3C52"/>
    <w:rsid w:val="008E4697"/>
    <w:rsid w:val="008E6445"/>
    <w:rsid w:val="008E6471"/>
    <w:rsid w:val="008F02D3"/>
    <w:rsid w:val="008F1B13"/>
    <w:rsid w:val="008F2FF2"/>
    <w:rsid w:val="008F4738"/>
    <w:rsid w:val="008F4847"/>
    <w:rsid w:val="008F49BE"/>
    <w:rsid w:val="008F4F6E"/>
    <w:rsid w:val="009018BA"/>
    <w:rsid w:val="009032CA"/>
    <w:rsid w:val="00903800"/>
    <w:rsid w:val="00904335"/>
    <w:rsid w:val="00904C8C"/>
    <w:rsid w:val="0090582A"/>
    <w:rsid w:val="0090649C"/>
    <w:rsid w:val="009076B0"/>
    <w:rsid w:val="009078D1"/>
    <w:rsid w:val="009111B3"/>
    <w:rsid w:val="00912570"/>
    <w:rsid w:val="00915089"/>
    <w:rsid w:val="009150D2"/>
    <w:rsid w:val="00915200"/>
    <w:rsid w:val="0091544F"/>
    <w:rsid w:val="00922750"/>
    <w:rsid w:val="009232BD"/>
    <w:rsid w:val="00925056"/>
    <w:rsid w:val="009261DF"/>
    <w:rsid w:val="00926C73"/>
    <w:rsid w:val="00927605"/>
    <w:rsid w:val="00927C63"/>
    <w:rsid w:val="00931714"/>
    <w:rsid w:val="00931F71"/>
    <w:rsid w:val="0093257E"/>
    <w:rsid w:val="009338F0"/>
    <w:rsid w:val="009339AE"/>
    <w:rsid w:val="009342B0"/>
    <w:rsid w:val="00934408"/>
    <w:rsid w:val="009361A2"/>
    <w:rsid w:val="009369EA"/>
    <w:rsid w:val="0094087D"/>
    <w:rsid w:val="00940E2C"/>
    <w:rsid w:val="00942B59"/>
    <w:rsid w:val="00943EE7"/>
    <w:rsid w:val="0094438A"/>
    <w:rsid w:val="00944941"/>
    <w:rsid w:val="00944EAF"/>
    <w:rsid w:val="00944EEE"/>
    <w:rsid w:val="00944EF8"/>
    <w:rsid w:val="0094545E"/>
    <w:rsid w:val="00945692"/>
    <w:rsid w:val="009458B7"/>
    <w:rsid w:val="00945B88"/>
    <w:rsid w:val="00945BC2"/>
    <w:rsid w:val="009475BF"/>
    <w:rsid w:val="00947C2B"/>
    <w:rsid w:val="0095014D"/>
    <w:rsid w:val="0095079C"/>
    <w:rsid w:val="00950E7A"/>
    <w:rsid w:val="009518D1"/>
    <w:rsid w:val="009526A3"/>
    <w:rsid w:val="00952C0B"/>
    <w:rsid w:val="00954508"/>
    <w:rsid w:val="00954AAC"/>
    <w:rsid w:val="009577C4"/>
    <w:rsid w:val="009600DA"/>
    <w:rsid w:val="00960445"/>
    <w:rsid w:val="0096094E"/>
    <w:rsid w:val="0096342B"/>
    <w:rsid w:val="00963499"/>
    <w:rsid w:val="00963AD7"/>
    <w:rsid w:val="009667AB"/>
    <w:rsid w:val="00966F39"/>
    <w:rsid w:val="009741DB"/>
    <w:rsid w:val="00974A04"/>
    <w:rsid w:val="00974B72"/>
    <w:rsid w:val="00981A88"/>
    <w:rsid w:val="00983145"/>
    <w:rsid w:val="00983752"/>
    <w:rsid w:val="00983B8A"/>
    <w:rsid w:val="00984697"/>
    <w:rsid w:val="0098591B"/>
    <w:rsid w:val="00987E8D"/>
    <w:rsid w:val="009903CC"/>
    <w:rsid w:val="00990680"/>
    <w:rsid w:val="00991450"/>
    <w:rsid w:val="00991B14"/>
    <w:rsid w:val="00992539"/>
    <w:rsid w:val="009930C8"/>
    <w:rsid w:val="009938F6"/>
    <w:rsid w:val="009956A6"/>
    <w:rsid w:val="00995F69"/>
    <w:rsid w:val="0099763E"/>
    <w:rsid w:val="009977F8"/>
    <w:rsid w:val="009A07A6"/>
    <w:rsid w:val="009A193F"/>
    <w:rsid w:val="009A36A9"/>
    <w:rsid w:val="009A3770"/>
    <w:rsid w:val="009A43D4"/>
    <w:rsid w:val="009A6FE6"/>
    <w:rsid w:val="009A730C"/>
    <w:rsid w:val="009A797D"/>
    <w:rsid w:val="009B1B13"/>
    <w:rsid w:val="009B20DB"/>
    <w:rsid w:val="009B4565"/>
    <w:rsid w:val="009B5BDF"/>
    <w:rsid w:val="009B5D95"/>
    <w:rsid w:val="009B61E6"/>
    <w:rsid w:val="009B7D90"/>
    <w:rsid w:val="009C134E"/>
    <w:rsid w:val="009C2C67"/>
    <w:rsid w:val="009C3FDB"/>
    <w:rsid w:val="009C48EA"/>
    <w:rsid w:val="009C4BF7"/>
    <w:rsid w:val="009C542A"/>
    <w:rsid w:val="009C63C4"/>
    <w:rsid w:val="009D6A46"/>
    <w:rsid w:val="009D6AC7"/>
    <w:rsid w:val="009D6C30"/>
    <w:rsid w:val="009D6F1A"/>
    <w:rsid w:val="009D7FAF"/>
    <w:rsid w:val="009E0256"/>
    <w:rsid w:val="009E1958"/>
    <w:rsid w:val="009E2F82"/>
    <w:rsid w:val="009E30C1"/>
    <w:rsid w:val="009E73E1"/>
    <w:rsid w:val="009E7785"/>
    <w:rsid w:val="009F071B"/>
    <w:rsid w:val="009F0DCE"/>
    <w:rsid w:val="009F1452"/>
    <w:rsid w:val="009F2E3F"/>
    <w:rsid w:val="009F2F4C"/>
    <w:rsid w:val="009F50AB"/>
    <w:rsid w:val="009F5A23"/>
    <w:rsid w:val="009F6922"/>
    <w:rsid w:val="009F6B3D"/>
    <w:rsid w:val="009F7224"/>
    <w:rsid w:val="00A0221E"/>
    <w:rsid w:val="00A025E0"/>
    <w:rsid w:val="00A04103"/>
    <w:rsid w:val="00A04998"/>
    <w:rsid w:val="00A07594"/>
    <w:rsid w:val="00A077A1"/>
    <w:rsid w:val="00A1267E"/>
    <w:rsid w:val="00A14490"/>
    <w:rsid w:val="00A146BE"/>
    <w:rsid w:val="00A147DB"/>
    <w:rsid w:val="00A151A5"/>
    <w:rsid w:val="00A159C0"/>
    <w:rsid w:val="00A15CDE"/>
    <w:rsid w:val="00A15DDE"/>
    <w:rsid w:val="00A172CD"/>
    <w:rsid w:val="00A20856"/>
    <w:rsid w:val="00A20D89"/>
    <w:rsid w:val="00A22EF6"/>
    <w:rsid w:val="00A2568C"/>
    <w:rsid w:val="00A26C02"/>
    <w:rsid w:val="00A26DC7"/>
    <w:rsid w:val="00A26E6F"/>
    <w:rsid w:val="00A270B5"/>
    <w:rsid w:val="00A30514"/>
    <w:rsid w:val="00A34548"/>
    <w:rsid w:val="00A3619D"/>
    <w:rsid w:val="00A37C2B"/>
    <w:rsid w:val="00A402C5"/>
    <w:rsid w:val="00A408B6"/>
    <w:rsid w:val="00A42ECA"/>
    <w:rsid w:val="00A44B06"/>
    <w:rsid w:val="00A44CCE"/>
    <w:rsid w:val="00A46035"/>
    <w:rsid w:val="00A5029E"/>
    <w:rsid w:val="00A51E2D"/>
    <w:rsid w:val="00A529B7"/>
    <w:rsid w:val="00A532F5"/>
    <w:rsid w:val="00A54C1E"/>
    <w:rsid w:val="00A57047"/>
    <w:rsid w:val="00A576FC"/>
    <w:rsid w:val="00A57722"/>
    <w:rsid w:val="00A578B3"/>
    <w:rsid w:val="00A57E05"/>
    <w:rsid w:val="00A60707"/>
    <w:rsid w:val="00A6128D"/>
    <w:rsid w:val="00A63CC0"/>
    <w:rsid w:val="00A67274"/>
    <w:rsid w:val="00A67D78"/>
    <w:rsid w:val="00A700E3"/>
    <w:rsid w:val="00A705F6"/>
    <w:rsid w:val="00A70AE3"/>
    <w:rsid w:val="00A70B82"/>
    <w:rsid w:val="00A711FE"/>
    <w:rsid w:val="00A71629"/>
    <w:rsid w:val="00A7535A"/>
    <w:rsid w:val="00A758FF"/>
    <w:rsid w:val="00A77E3A"/>
    <w:rsid w:val="00A833B6"/>
    <w:rsid w:val="00A8478D"/>
    <w:rsid w:val="00A85AB9"/>
    <w:rsid w:val="00A86109"/>
    <w:rsid w:val="00A864C7"/>
    <w:rsid w:val="00A87050"/>
    <w:rsid w:val="00A90FD3"/>
    <w:rsid w:val="00A912C7"/>
    <w:rsid w:val="00A91D71"/>
    <w:rsid w:val="00A9391D"/>
    <w:rsid w:val="00A93D44"/>
    <w:rsid w:val="00A944B0"/>
    <w:rsid w:val="00A94600"/>
    <w:rsid w:val="00A94EB9"/>
    <w:rsid w:val="00A9554D"/>
    <w:rsid w:val="00A96170"/>
    <w:rsid w:val="00AA0E6B"/>
    <w:rsid w:val="00AA1F3D"/>
    <w:rsid w:val="00AA3587"/>
    <w:rsid w:val="00AA3B88"/>
    <w:rsid w:val="00AA55A1"/>
    <w:rsid w:val="00AA65DD"/>
    <w:rsid w:val="00AA666D"/>
    <w:rsid w:val="00AA7960"/>
    <w:rsid w:val="00AB00D4"/>
    <w:rsid w:val="00AB1EA0"/>
    <w:rsid w:val="00AB27CC"/>
    <w:rsid w:val="00AB3E1B"/>
    <w:rsid w:val="00AB5DA6"/>
    <w:rsid w:val="00AB6D97"/>
    <w:rsid w:val="00AB6F54"/>
    <w:rsid w:val="00AB6FF3"/>
    <w:rsid w:val="00AB7788"/>
    <w:rsid w:val="00AB7F41"/>
    <w:rsid w:val="00AC0E3A"/>
    <w:rsid w:val="00AC141D"/>
    <w:rsid w:val="00AC160A"/>
    <w:rsid w:val="00AC240D"/>
    <w:rsid w:val="00AC295C"/>
    <w:rsid w:val="00AC3F6A"/>
    <w:rsid w:val="00AC57AD"/>
    <w:rsid w:val="00AD20EA"/>
    <w:rsid w:val="00AD23E8"/>
    <w:rsid w:val="00AD2724"/>
    <w:rsid w:val="00AD2B51"/>
    <w:rsid w:val="00AD5A80"/>
    <w:rsid w:val="00AD6B0A"/>
    <w:rsid w:val="00AD7F6E"/>
    <w:rsid w:val="00AE2B78"/>
    <w:rsid w:val="00AE4F87"/>
    <w:rsid w:val="00AE53C2"/>
    <w:rsid w:val="00AE5695"/>
    <w:rsid w:val="00AE5F42"/>
    <w:rsid w:val="00AE6018"/>
    <w:rsid w:val="00AE6764"/>
    <w:rsid w:val="00AF05A7"/>
    <w:rsid w:val="00AF085C"/>
    <w:rsid w:val="00AF12F4"/>
    <w:rsid w:val="00AF2426"/>
    <w:rsid w:val="00AF2905"/>
    <w:rsid w:val="00AF3D34"/>
    <w:rsid w:val="00AF4A5D"/>
    <w:rsid w:val="00AF5301"/>
    <w:rsid w:val="00AF55B9"/>
    <w:rsid w:val="00AF58C2"/>
    <w:rsid w:val="00AF70D3"/>
    <w:rsid w:val="00AF738B"/>
    <w:rsid w:val="00B02338"/>
    <w:rsid w:val="00B107AE"/>
    <w:rsid w:val="00B16E64"/>
    <w:rsid w:val="00B2695E"/>
    <w:rsid w:val="00B3246C"/>
    <w:rsid w:val="00B3528E"/>
    <w:rsid w:val="00B40746"/>
    <w:rsid w:val="00B41468"/>
    <w:rsid w:val="00B414E3"/>
    <w:rsid w:val="00B41B38"/>
    <w:rsid w:val="00B457A0"/>
    <w:rsid w:val="00B45B80"/>
    <w:rsid w:val="00B45DF6"/>
    <w:rsid w:val="00B47D21"/>
    <w:rsid w:val="00B51824"/>
    <w:rsid w:val="00B51982"/>
    <w:rsid w:val="00B542C2"/>
    <w:rsid w:val="00B554D7"/>
    <w:rsid w:val="00B55CC5"/>
    <w:rsid w:val="00B56B52"/>
    <w:rsid w:val="00B61B92"/>
    <w:rsid w:val="00B625F2"/>
    <w:rsid w:val="00B63260"/>
    <w:rsid w:val="00B66009"/>
    <w:rsid w:val="00B67070"/>
    <w:rsid w:val="00B709CB"/>
    <w:rsid w:val="00B71AD4"/>
    <w:rsid w:val="00B7361E"/>
    <w:rsid w:val="00B75B4F"/>
    <w:rsid w:val="00B77001"/>
    <w:rsid w:val="00B801E6"/>
    <w:rsid w:val="00B82BD4"/>
    <w:rsid w:val="00B82F0F"/>
    <w:rsid w:val="00B8383B"/>
    <w:rsid w:val="00B8473C"/>
    <w:rsid w:val="00B84F4E"/>
    <w:rsid w:val="00B8721F"/>
    <w:rsid w:val="00B87849"/>
    <w:rsid w:val="00B87BA2"/>
    <w:rsid w:val="00B90A84"/>
    <w:rsid w:val="00B91FE5"/>
    <w:rsid w:val="00B9332D"/>
    <w:rsid w:val="00B93551"/>
    <w:rsid w:val="00B936DB"/>
    <w:rsid w:val="00B93738"/>
    <w:rsid w:val="00B959DF"/>
    <w:rsid w:val="00B96090"/>
    <w:rsid w:val="00B96B14"/>
    <w:rsid w:val="00BA1A4A"/>
    <w:rsid w:val="00BA1CE0"/>
    <w:rsid w:val="00BA282D"/>
    <w:rsid w:val="00BA32DD"/>
    <w:rsid w:val="00BA3659"/>
    <w:rsid w:val="00BA7315"/>
    <w:rsid w:val="00BA7618"/>
    <w:rsid w:val="00BA7850"/>
    <w:rsid w:val="00BB0105"/>
    <w:rsid w:val="00BB237D"/>
    <w:rsid w:val="00BB3E41"/>
    <w:rsid w:val="00BB41DC"/>
    <w:rsid w:val="00BB4732"/>
    <w:rsid w:val="00BB55AD"/>
    <w:rsid w:val="00BB5A74"/>
    <w:rsid w:val="00BB5F06"/>
    <w:rsid w:val="00BC17B8"/>
    <w:rsid w:val="00BC2445"/>
    <w:rsid w:val="00BC2B65"/>
    <w:rsid w:val="00BC3B5D"/>
    <w:rsid w:val="00BC50E9"/>
    <w:rsid w:val="00BC538C"/>
    <w:rsid w:val="00BC54B7"/>
    <w:rsid w:val="00BC5F0D"/>
    <w:rsid w:val="00BC7817"/>
    <w:rsid w:val="00BC7B97"/>
    <w:rsid w:val="00BD19DF"/>
    <w:rsid w:val="00BD2B33"/>
    <w:rsid w:val="00BD40A8"/>
    <w:rsid w:val="00BD4518"/>
    <w:rsid w:val="00BD4B30"/>
    <w:rsid w:val="00BD62C7"/>
    <w:rsid w:val="00BD78C6"/>
    <w:rsid w:val="00BE0B46"/>
    <w:rsid w:val="00BE2FF3"/>
    <w:rsid w:val="00BE3F8F"/>
    <w:rsid w:val="00BE4013"/>
    <w:rsid w:val="00BE4CD1"/>
    <w:rsid w:val="00BE518E"/>
    <w:rsid w:val="00BE56D0"/>
    <w:rsid w:val="00BE5D6B"/>
    <w:rsid w:val="00BE6B85"/>
    <w:rsid w:val="00BE748F"/>
    <w:rsid w:val="00BF096E"/>
    <w:rsid w:val="00BF11EE"/>
    <w:rsid w:val="00BF2195"/>
    <w:rsid w:val="00BF2233"/>
    <w:rsid w:val="00BF256F"/>
    <w:rsid w:val="00BF2720"/>
    <w:rsid w:val="00BF2982"/>
    <w:rsid w:val="00BF388C"/>
    <w:rsid w:val="00BF5629"/>
    <w:rsid w:val="00BF578D"/>
    <w:rsid w:val="00BF6E1B"/>
    <w:rsid w:val="00BF7267"/>
    <w:rsid w:val="00C00274"/>
    <w:rsid w:val="00C004B3"/>
    <w:rsid w:val="00C00C23"/>
    <w:rsid w:val="00C01561"/>
    <w:rsid w:val="00C03D5A"/>
    <w:rsid w:val="00C04C8E"/>
    <w:rsid w:val="00C0601F"/>
    <w:rsid w:val="00C101D3"/>
    <w:rsid w:val="00C12CC4"/>
    <w:rsid w:val="00C12FA9"/>
    <w:rsid w:val="00C13FE2"/>
    <w:rsid w:val="00C14BCC"/>
    <w:rsid w:val="00C174AE"/>
    <w:rsid w:val="00C21CCC"/>
    <w:rsid w:val="00C23192"/>
    <w:rsid w:val="00C2365E"/>
    <w:rsid w:val="00C23C8F"/>
    <w:rsid w:val="00C23E47"/>
    <w:rsid w:val="00C24287"/>
    <w:rsid w:val="00C24807"/>
    <w:rsid w:val="00C266FE"/>
    <w:rsid w:val="00C27A83"/>
    <w:rsid w:val="00C30B9D"/>
    <w:rsid w:val="00C31D4D"/>
    <w:rsid w:val="00C335A1"/>
    <w:rsid w:val="00C3388F"/>
    <w:rsid w:val="00C34B23"/>
    <w:rsid w:val="00C35DF8"/>
    <w:rsid w:val="00C37425"/>
    <w:rsid w:val="00C40268"/>
    <w:rsid w:val="00C405F2"/>
    <w:rsid w:val="00C437B7"/>
    <w:rsid w:val="00C449EE"/>
    <w:rsid w:val="00C44AD2"/>
    <w:rsid w:val="00C45631"/>
    <w:rsid w:val="00C45CD3"/>
    <w:rsid w:val="00C45DE1"/>
    <w:rsid w:val="00C462CD"/>
    <w:rsid w:val="00C477C2"/>
    <w:rsid w:val="00C47FEA"/>
    <w:rsid w:val="00C50D21"/>
    <w:rsid w:val="00C510B6"/>
    <w:rsid w:val="00C51A2E"/>
    <w:rsid w:val="00C53F93"/>
    <w:rsid w:val="00C54F30"/>
    <w:rsid w:val="00C55644"/>
    <w:rsid w:val="00C55B2C"/>
    <w:rsid w:val="00C56B7D"/>
    <w:rsid w:val="00C56DBA"/>
    <w:rsid w:val="00C57A57"/>
    <w:rsid w:val="00C60C24"/>
    <w:rsid w:val="00C6205B"/>
    <w:rsid w:val="00C63193"/>
    <w:rsid w:val="00C63DE0"/>
    <w:rsid w:val="00C643EC"/>
    <w:rsid w:val="00C64F3A"/>
    <w:rsid w:val="00C70022"/>
    <w:rsid w:val="00C71487"/>
    <w:rsid w:val="00C717FC"/>
    <w:rsid w:val="00C71DDD"/>
    <w:rsid w:val="00C720B0"/>
    <w:rsid w:val="00C722D6"/>
    <w:rsid w:val="00C72BED"/>
    <w:rsid w:val="00C72C9E"/>
    <w:rsid w:val="00C74F3B"/>
    <w:rsid w:val="00C77AE8"/>
    <w:rsid w:val="00C8144D"/>
    <w:rsid w:val="00C85D1B"/>
    <w:rsid w:val="00C86E67"/>
    <w:rsid w:val="00C87720"/>
    <w:rsid w:val="00C90CC2"/>
    <w:rsid w:val="00C9394D"/>
    <w:rsid w:val="00C9400F"/>
    <w:rsid w:val="00C958B6"/>
    <w:rsid w:val="00C96DBD"/>
    <w:rsid w:val="00CA02E5"/>
    <w:rsid w:val="00CA04C0"/>
    <w:rsid w:val="00CA3D82"/>
    <w:rsid w:val="00CA4701"/>
    <w:rsid w:val="00CA6653"/>
    <w:rsid w:val="00CA7F5C"/>
    <w:rsid w:val="00CB1792"/>
    <w:rsid w:val="00CB1D99"/>
    <w:rsid w:val="00CB3700"/>
    <w:rsid w:val="00CB378E"/>
    <w:rsid w:val="00CB4472"/>
    <w:rsid w:val="00CB5950"/>
    <w:rsid w:val="00CB6688"/>
    <w:rsid w:val="00CB7D96"/>
    <w:rsid w:val="00CC1422"/>
    <w:rsid w:val="00CC495A"/>
    <w:rsid w:val="00CC668B"/>
    <w:rsid w:val="00CC6A7D"/>
    <w:rsid w:val="00CC77D7"/>
    <w:rsid w:val="00CD0709"/>
    <w:rsid w:val="00CD0CAC"/>
    <w:rsid w:val="00CD0CBA"/>
    <w:rsid w:val="00CD0E51"/>
    <w:rsid w:val="00CD121B"/>
    <w:rsid w:val="00CD1377"/>
    <w:rsid w:val="00CD4646"/>
    <w:rsid w:val="00CD4C90"/>
    <w:rsid w:val="00CD7684"/>
    <w:rsid w:val="00CE0D69"/>
    <w:rsid w:val="00CE1957"/>
    <w:rsid w:val="00CE1C25"/>
    <w:rsid w:val="00CE270F"/>
    <w:rsid w:val="00CE3816"/>
    <w:rsid w:val="00CE3F6F"/>
    <w:rsid w:val="00CE413E"/>
    <w:rsid w:val="00CE61C3"/>
    <w:rsid w:val="00CE6A41"/>
    <w:rsid w:val="00CE7880"/>
    <w:rsid w:val="00CF0DAA"/>
    <w:rsid w:val="00CF1BF8"/>
    <w:rsid w:val="00CF2933"/>
    <w:rsid w:val="00CF3363"/>
    <w:rsid w:val="00CF5C3E"/>
    <w:rsid w:val="00CF5E77"/>
    <w:rsid w:val="00CF62D2"/>
    <w:rsid w:val="00CF7583"/>
    <w:rsid w:val="00D00CDC"/>
    <w:rsid w:val="00D02105"/>
    <w:rsid w:val="00D0259C"/>
    <w:rsid w:val="00D03845"/>
    <w:rsid w:val="00D04732"/>
    <w:rsid w:val="00D04BB0"/>
    <w:rsid w:val="00D051D8"/>
    <w:rsid w:val="00D0548B"/>
    <w:rsid w:val="00D05BC4"/>
    <w:rsid w:val="00D063A8"/>
    <w:rsid w:val="00D106CF"/>
    <w:rsid w:val="00D10E78"/>
    <w:rsid w:val="00D11A93"/>
    <w:rsid w:val="00D124B4"/>
    <w:rsid w:val="00D13385"/>
    <w:rsid w:val="00D1666A"/>
    <w:rsid w:val="00D16C08"/>
    <w:rsid w:val="00D16F69"/>
    <w:rsid w:val="00D170A2"/>
    <w:rsid w:val="00D20514"/>
    <w:rsid w:val="00D20FEF"/>
    <w:rsid w:val="00D248E7"/>
    <w:rsid w:val="00D252F0"/>
    <w:rsid w:val="00D275BC"/>
    <w:rsid w:val="00D330EA"/>
    <w:rsid w:val="00D33101"/>
    <w:rsid w:val="00D34883"/>
    <w:rsid w:val="00D37430"/>
    <w:rsid w:val="00D405A9"/>
    <w:rsid w:val="00D40BD0"/>
    <w:rsid w:val="00D41D02"/>
    <w:rsid w:val="00D41D9F"/>
    <w:rsid w:val="00D41E4E"/>
    <w:rsid w:val="00D42727"/>
    <w:rsid w:val="00D47476"/>
    <w:rsid w:val="00D47EF9"/>
    <w:rsid w:val="00D512FE"/>
    <w:rsid w:val="00D51BAE"/>
    <w:rsid w:val="00D5216A"/>
    <w:rsid w:val="00D530EF"/>
    <w:rsid w:val="00D53382"/>
    <w:rsid w:val="00D53BA2"/>
    <w:rsid w:val="00D54A0E"/>
    <w:rsid w:val="00D54B16"/>
    <w:rsid w:val="00D54BA7"/>
    <w:rsid w:val="00D54EE7"/>
    <w:rsid w:val="00D5500A"/>
    <w:rsid w:val="00D551F2"/>
    <w:rsid w:val="00D5693F"/>
    <w:rsid w:val="00D624A2"/>
    <w:rsid w:val="00D62651"/>
    <w:rsid w:val="00D62965"/>
    <w:rsid w:val="00D62E59"/>
    <w:rsid w:val="00D6350E"/>
    <w:rsid w:val="00D64409"/>
    <w:rsid w:val="00D6538A"/>
    <w:rsid w:val="00D65516"/>
    <w:rsid w:val="00D656E2"/>
    <w:rsid w:val="00D6661A"/>
    <w:rsid w:val="00D66B43"/>
    <w:rsid w:val="00D703D8"/>
    <w:rsid w:val="00D7070B"/>
    <w:rsid w:val="00D70997"/>
    <w:rsid w:val="00D7249E"/>
    <w:rsid w:val="00D73FE8"/>
    <w:rsid w:val="00D746C2"/>
    <w:rsid w:val="00D74C6C"/>
    <w:rsid w:val="00D74C76"/>
    <w:rsid w:val="00D75AAB"/>
    <w:rsid w:val="00D75E98"/>
    <w:rsid w:val="00D770F1"/>
    <w:rsid w:val="00D77541"/>
    <w:rsid w:val="00D7789A"/>
    <w:rsid w:val="00D77BBA"/>
    <w:rsid w:val="00D819D5"/>
    <w:rsid w:val="00D82F6B"/>
    <w:rsid w:val="00D86AA8"/>
    <w:rsid w:val="00D87AB3"/>
    <w:rsid w:val="00D90F80"/>
    <w:rsid w:val="00D9162D"/>
    <w:rsid w:val="00D92E6D"/>
    <w:rsid w:val="00D9394E"/>
    <w:rsid w:val="00D955C1"/>
    <w:rsid w:val="00D9564B"/>
    <w:rsid w:val="00D97075"/>
    <w:rsid w:val="00D97B30"/>
    <w:rsid w:val="00DA011B"/>
    <w:rsid w:val="00DA20D7"/>
    <w:rsid w:val="00DA3290"/>
    <w:rsid w:val="00DA38E9"/>
    <w:rsid w:val="00DA3F34"/>
    <w:rsid w:val="00DA540D"/>
    <w:rsid w:val="00DA55C2"/>
    <w:rsid w:val="00DA57A2"/>
    <w:rsid w:val="00DA727A"/>
    <w:rsid w:val="00DB2489"/>
    <w:rsid w:val="00DB2D6E"/>
    <w:rsid w:val="00DB3DED"/>
    <w:rsid w:val="00DB440A"/>
    <w:rsid w:val="00DB4F88"/>
    <w:rsid w:val="00DB6165"/>
    <w:rsid w:val="00DB6A54"/>
    <w:rsid w:val="00DB7DAD"/>
    <w:rsid w:val="00DC0063"/>
    <w:rsid w:val="00DC1C8D"/>
    <w:rsid w:val="00DC2DDF"/>
    <w:rsid w:val="00DC395F"/>
    <w:rsid w:val="00DC52E9"/>
    <w:rsid w:val="00DC5463"/>
    <w:rsid w:val="00DC608E"/>
    <w:rsid w:val="00DC63D8"/>
    <w:rsid w:val="00DC65CA"/>
    <w:rsid w:val="00DC65FC"/>
    <w:rsid w:val="00DD01C0"/>
    <w:rsid w:val="00DD03DA"/>
    <w:rsid w:val="00DD05FC"/>
    <w:rsid w:val="00DD2A29"/>
    <w:rsid w:val="00DD360D"/>
    <w:rsid w:val="00DD3DB9"/>
    <w:rsid w:val="00DD4733"/>
    <w:rsid w:val="00DD4FF5"/>
    <w:rsid w:val="00DD71A8"/>
    <w:rsid w:val="00DD7386"/>
    <w:rsid w:val="00DD75C5"/>
    <w:rsid w:val="00DD7950"/>
    <w:rsid w:val="00DE03EB"/>
    <w:rsid w:val="00DE0829"/>
    <w:rsid w:val="00DE3C37"/>
    <w:rsid w:val="00DE4B45"/>
    <w:rsid w:val="00DE5EC6"/>
    <w:rsid w:val="00DE60ED"/>
    <w:rsid w:val="00DE7F62"/>
    <w:rsid w:val="00DF0027"/>
    <w:rsid w:val="00DF06D9"/>
    <w:rsid w:val="00DF1082"/>
    <w:rsid w:val="00DF1643"/>
    <w:rsid w:val="00DF3607"/>
    <w:rsid w:val="00DF79B9"/>
    <w:rsid w:val="00DF7BE6"/>
    <w:rsid w:val="00E00543"/>
    <w:rsid w:val="00E01172"/>
    <w:rsid w:val="00E03384"/>
    <w:rsid w:val="00E03A45"/>
    <w:rsid w:val="00E04680"/>
    <w:rsid w:val="00E06403"/>
    <w:rsid w:val="00E07819"/>
    <w:rsid w:val="00E107B3"/>
    <w:rsid w:val="00E10CE6"/>
    <w:rsid w:val="00E112E7"/>
    <w:rsid w:val="00E121E4"/>
    <w:rsid w:val="00E12E61"/>
    <w:rsid w:val="00E17684"/>
    <w:rsid w:val="00E17BE7"/>
    <w:rsid w:val="00E20741"/>
    <w:rsid w:val="00E20893"/>
    <w:rsid w:val="00E21890"/>
    <w:rsid w:val="00E22314"/>
    <w:rsid w:val="00E227EC"/>
    <w:rsid w:val="00E23664"/>
    <w:rsid w:val="00E2535B"/>
    <w:rsid w:val="00E25844"/>
    <w:rsid w:val="00E25ED1"/>
    <w:rsid w:val="00E2671A"/>
    <w:rsid w:val="00E26B15"/>
    <w:rsid w:val="00E310A1"/>
    <w:rsid w:val="00E358F8"/>
    <w:rsid w:val="00E36495"/>
    <w:rsid w:val="00E37359"/>
    <w:rsid w:val="00E40240"/>
    <w:rsid w:val="00E452A1"/>
    <w:rsid w:val="00E45818"/>
    <w:rsid w:val="00E46B4A"/>
    <w:rsid w:val="00E4762D"/>
    <w:rsid w:val="00E47AE4"/>
    <w:rsid w:val="00E50179"/>
    <w:rsid w:val="00E50E1C"/>
    <w:rsid w:val="00E511F4"/>
    <w:rsid w:val="00E5204D"/>
    <w:rsid w:val="00E52C17"/>
    <w:rsid w:val="00E52EB2"/>
    <w:rsid w:val="00E5439E"/>
    <w:rsid w:val="00E544A2"/>
    <w:rsid w:val="00E569BA"/>
    <w:rsid w:val="00E57458"/>
    <w:rsid w:val="00E63436"/>
    <w:rsid w:val="00E64DC6"/>
    <w:rsid w:val="00E6585B"/>
    <w:rsid w:val="00E65ED3"/>
    <w:rsid w:val="00E6789D"/>
    <w:rsid w:val="00E67F0F"/>
    <w:rsid w:val="00E702DD"/>
    <w:rsid w:val="00E72A26"/>
    <w:rsid w:val="00E746D7"/>
    <w:rsid w:val="00E74DB6"/>
    <w:rsid w:val="00E74EB4"/>
    <w:rsid w:val="00E75281"/>
    <w:rsid w:val="00E753C4"/>
    <w:rsid w:val="00E75CB7"/>
    <w:rsid w:val="00E76A63"/>
    <w:rsid w:val="00E7747D"/>
    <w:rsid w:val="00E8048E"/>
    <w:rsid w:val="00E80BF6"/>
    <w:rsid w:val="00E80C72"/>
    <w:rsid w:val="00E815BE"/>
    <w:rsid w:val="00E82244"/>
    <w:rsid w:val="00E8349D"/>
    <w:rsid w:val="00E85856"/>
    <w:rsid w:val="00E8665F"/>
    <w:rsid w:val="00E87625"/>
    <w:rsid w:val="00E87AB6"/>
    <w:rsid w:val="00E87FEB"/>
    <w:rsid w:val="00E9037C"/>
    <w:rsid w:val="00E903C4"/>
    <w:rsid w:val="00E90B61"/>
    <w:rsid w:val="00E930D8"/>
    <w:rsid w:val="00E93339"/>
    <w:rsid w:val="00E95F12"/>
    <w:rsid w:val="00E96892"/>
    <w:rsid w:val="00E97BCB"/>
    <w:rsid w:val="00EA2221"/>
    <w:rsid w:val="00EA2236"/>
    <w:rsid w:val="00EA2334"/>
    <w:rsid w:val="00EA2965"/>
    <w:rsid w:val="00EA4422"/>
    <w:rsid w:val="00EA4CCC"/>
    <w:rsid w:val="00EA66FB"/>
    <w:rsid w:val="00EB1A12"/>
    <w:rsid w:val="00EB2C94"/>
    <w:rsid w:val="00EB46E7"/>
    <w:rsid w:val="00EB527A"/>
    <w:rsid w:val="00EB5D27"/>
    <w:rsid w:val="00EB728A"/>
    <w:rsid w:val="00EB7A8A"/>
    <w:rsid w:val="00EB7CA9"/>
    <w:rsid w:val="00EC21A1"/>
    <w:rsid w:val="00EC4FAE"/>
    <w:rsid w:val="00EC515E"/>
    <w:rsid w:val="00EC5A62"/>
    <w:rsid w:val="00EC5BA7"/>
    <w:rsid w:val="00EC763A"/>
    <w:rsid w:val="00ED033B"/>
    <w:rsid w:val="00ED28A2"/>
    <w:rsid w:val="00ED341D"/>
    <w:rsid w:val="00ED4CE9"/>
    <w:rsid w:val="00ED5321"/>
    <w:rsid w:val="00ED5D79"/>
    <w:rsid w:val="00ED7061"/>
    <w:rsid w:val="00EE0992"/>
    <w:rsid w:val="00EE1C07"/>
    <w:rsid w:val="00EE28BA"/>
    <w:rsid w:val="00EE36CF"/>
    <w:rsid w:val="00EE42D5"/>
    <w:rsid w:val="00EE499B"/>
    <w:rsid w:val="00EE5869"/>
    <w:rsid w:val="00EE6353"/>
    <w:rsid w:val="00EE6599"/>
    <w:rsid w:val="00EE7038"/>
    <w:rsid w:val="00EE7797"/>
    <w:rsid w:val="00EF0CF5"/>
    <w:rsid w:val="00EF18F6"/>
    <w:rsid w:val="00EF1C26"/>
    <w:rsid w:val="00EF388D"/>
    <w:rsid w:val="00EF3A81"/>
    <w:rsid w:val="00EF470A"/>
    <w:rsid w:val="00EF662A"/>
    <w:rsid w:val="00EF704B"/>
    <w:rsid w:val="00F00306"/>
    <w:rsid w:val="00F02D81"/>
    <w:rsid w:val="00F03DFA"/>
    <w:rsid w:val="00F04DCF"/>
    <w:rsid w:val="00F06D40"/>
    <w:rsid w:val="00F07896"/>
    <w:rsid w:val="00F10A0E"/>
    <w:rsid w:val="00F12312"/>
    <w:rsid w:val="00F123D4"/>
    <w:rsid w:val="00F15056"/>
    <w:rsid w:val="00F15E02"/>
    <w:rsid w:val="00F16522"/>
    <w:rsid w:val="00F16936"/>
    <w:rsid w:val="00F2297D"/>
    <w:rsid w:val="00F22AE3"/>
    <w:rsid w:val="00F237FA"/>
    <w:rsid w:val="00F26C1A"/>
    <w:rsid w:val="00F27C4A"/>
    <w:rsid w:val="00F31389"/>
    <w:rsid w:val="00F33C9D"/>
    <w:rsid w:val="00F34414"/>
    <w:rsid w:val="00F34CD6"/>
    <w:rsid w:val="00F34F04"/>
    <w:rsid w:val="00F37500"/>
    <w:rsid w:val="00F408CC"/>
    <w:rsid w:val="00F415AB"/>
    <w:rsid w:val="00F4221F"/>
    <w:rsid w:val="00F4560E"/>
    <w:rsid w:val="00F45AD8"/>
    <w:rsid w:val="00F45D53"/>
    <w:rsid w:val="00F51C28"/>
    <w:rsid w:val="00F527EB"/>
    <w:rsid w:val="00F5780A"/>
    <w:rsid w:val="00F6175E"/>
    <w:rsid w:val="00F62A8A"/>
    <w:rsid w:val="00F6318F"/>
    <w:rsid w:val="00F73ABA"/>
    <w:rsid w:val="00F73B3C"/>
    <w:rsid w:val="00F73FA3"/>
    <w:rsid w:val="00F74EFD"/>
    <w:rsid w:val="00F75EA7"/>
    <w:rsid w:val="00F7615A"/>
    <w:rsid w:val="00F76E66"/>
    <w:rsid w:val="00F77676"/>
    <w:rsid w:val="00F802D2"/>
    <w:rsid w:val="00F80DC6"/>
    <w:rsid w:val="00F80F64"/>
    <w:rsid w:val="00F843A0"/>
    <w:rsid w:val="00F843A7"/>
    <w:rsid w:val="00F85696"/>
    <w:rsid w:val="00F86360"/>
    <w:rsid w:val="00F87B22"/>
    <w:rsid w:val="00F90416"/>
    <w:rsid w:val="00F91F54"/>
    <w:rsid w:val="00F9275E"/>
    <w:rsid w:val="00F92E01"/>
    <w:rsid w:val="00F94274"/>
    <w:rsid w:val="00F95029"/>
    <w:rsid w:val="00F97224"/>
    <w:rsid w:val="00FA0447"/>
    <w:rsid w:val="00FA0B9A"/>
    <w:rsid w:val="00FA3635"/>
    <w:rsid w:val="00FA3E37"/>
    <w:rsid w:val="00FA7793"/>
    <w:rsid w:val="00FB09DA"/>
    <w:rsid w:val="00FB3020"/>
    <w:rsid w:val="00FB388C"/>
    <w:rsid w:val="00FB48CF"/>
    <w:rsid w:val="00FB4B41"/>
    <w:rsid w:val="00FB5538"/>
    <w:rsid w:val="00FB631D"/>
    <w:rsid w:val="00FB67BE"/>
    <w:rsid w:val="00FB6A97"/>
    <w:rsid w:val="00FC12CC"/>
    <w:rsid w:val="00FC1976"/>
    <w:rsid w:val="00FC1EE9"/>
    <w:rsid w:val="00FC2572"/>
    <w:rsid w:val="00FC70AD"/>
    <w:rsid w:val="00FC739F"/>
    <w:rsid w:val="00FD37DF"/>
    <w:rsid w:val="00FD3A32"/>
    <w:rsid w:val="00FD4CAB"/>
    <w:rsid w:val="00FE0177"/>
    <w:rsid w:val="00FE08F4"/>
    <w:rsid w:val="00FE2B6E"/>
    <w:rsid w:val="00FE4915"/>
    <w:rsid w:val="00FE65F2"/>
    <w:rsid w:val="00FF193A"/>
    <w:rsid w:val="00FF3560"/>
    <w:rsid w:val="00FF4440"/>
    <w:rsid w:val="00FF4CF0"/>
    <w:rsid w:val="00FF5D16"/>
    <w:rsid w:val="00FF60DF"/>
    <w:rsid w:val="00FF6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CD17"/>
  <w15:chartTrackingRefBased/>
  <w15:docId w15:val="{FE139927-50CB-4F13-A0A2-B319B991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2F3B"/>
  </w:style>
  <w:style w:type="paragraph" w:styleId="Nadpis1">
    <w:name w:val="heading 1"/>
    <w:basedOn w:val="Normln"/>
    <w:next w:val="Normln"/>
    <w:link w:val="Nadpis1Char"/>
    <w:uiPriority w:val="9"/>
    <w:qFormat/>
    <w:rsid w:val="00604B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04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47D21"/>
    <w:pPr>
      <w:spacing w:after="120" w:line="240" w:lineRule="auto"/>
      <w:outlineLvl w:val="2"/>
    </w:pPr>
    <w:rPr>
      <w:rFonts w:eastAsia="Times New Roman" w:cstheme="minorHAns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47D21"/>
    <w:rPr>
      <w:rFonts w:eastAsia="Times New Roman" w:cstheme="minorHAnsi"/>
      <w:b/>
      <w:sz w:val="24"/>
      <w:szCs w:val="24"/>
    </w:rPr>
  </w:style>
  <w:style w:type="paragraph" w:styleId="Odstavecseseznamem">
    <w:name w:val="List Paragraph"/>
    <w:aliases w:val="List Paragraph1,List Paragraph2,List Paragraph_0,Nad,Nad1,Nad2,Nadpis pro KZ,Odstavec_muj,Odstavec_muj1,Odstavec_muj10,Odstavec_muj2,Odstavec_muj3,Odstavec_muj4,Odstavec_muj5,Odstavec_muj6,Odstavec_muj7,Odstavec_muj8,odrážky"/>
    <w:basedOn w:val="Normln"/>
    <w:link w:val="OdstavecseseznamemChar"/>
    <w:uiPriority w:val="34"/>
    <w:qFormat/>
    <w:rsid w:val="00B47D21"/>
    <w:pPr>
      <w:ind w:left="720"/>
      <w:contextualSpacing/>
    </w:pPr>
  </w:style>
  <w:style w:type="paragraph" w:styleId="Textpoznpodarou">
    <w:name w:val="footnote text"/>
    <w:aliases w:val="Footnote,Footnote Text Char,Footnote Text Char Char,Footnote Text Char Char Char Char Char Char,Footnote Text Char1,Footnote Text Char1 Char Char Char Char,Footnote Text Char2 Char Char Char,Footnote Text Char3 Char Char,Podrozdział"/>
    <w:basedOn w:val="Normln"/>
    <w:link w:val="TextpoznpodarouChar"/>
    <w:uiPriority w:val="99"/>
    <w:unhideWhenUsed/>
    <w:qFormat/>
    <w:rsid w:val="00B47D21"/>
    <w:pPr>
      <w:spacing w:after="0" w:line="240" w:lineRule="auto"/>
    </w:pPr>
    <w:rPr>
      <w:sz w:val="20"/>
      <w:szCs w:val="20"/>
    </w:rPr>
  </w:style>
  <w:style w:type="character" w:customStyle="1" w:styleId="TextpoznpodarouChar">
    <w:name w:val="Text pozn. pod čarou Char"/>
    <w:aliases w:val="Footnote Char,Footnote Text Char Char1,Footnote Text Char Char Char,Footnote Text Char Char Char Char Char Char Char,Footnote Text Char1 Char,Footnote Text Char1 Char Char Char Char Char,Footnote Text Char2 Char Char Char Char"/>
    <w:basedOn w:val="Standardnpsmoodstavce"/>
    <w:link w:val="Textpoznpodarou"/>
    <w:uiPriority w:val="99"/>
    <w:rsid w:val="00B47D21"/>
    <w:rPr>
      <w:sz w:val="20"/>
      <w:szCs w:val="20"/>
    </w:rPr>
  </w:style>
  <w:style w:type="character" w:styleId="Znakapoznpodarou">
    <w:name w:val="footnote reference"/>
    <w:aliases w:val="12 b.,Appel note de bas de p,Appel note de bas de page,BVI fnr,Char Car Car Car Car,FR,Footnote Reference Superscript,Footnote symbol,Légende,PGI Fußnote Ziffer,PGI Fußnote Ziffer + Times New Roman,Voetnootverwijzing,Zúžené o ..."/>
    <w:basedOn w:val="Standardnpsmoodstavce"/>
    <w:uiPriority w:val="99"/>
    <w:unhideWhenUsed/>
    <w:qFormat/>
    <w:rsid w:val="00B47D21"/>
    <w:rPr>
      <w:vertAlign w:val="superscript"/>
    </w:rPr>
  </w:style>
  <w:style w:type="character" w:customStyle="1" w:styleId="OdstavecseseznamemChar">
    <w:name w:val="Odstavec se seznamem Char"/>
    <w:aliases w:val="List Paragraph1 Char,List Paragraph2 Char,List Paragraph_0 Char,Nad Char,Nad1 Char,Nad2 Char,Nadpis pro KZ Char,Odstavec_muj Char,Odstavec_muj1 Char,Odstavec_muj10 Char,Odstavec_muj2 Char,Odstavec_muj3 Char,Odstavec_muj4 Char"/>
    <w:basedOn w:val="Standardnpsmoodstavce"/>
    <w:link w:val="Odstavecseseznamem"/>
    <w:uiPriority w:val="34"/>
    <w:locked/>
    <w:rsid w:val="00B47D21"/>
  </w:style>
  <w:style w:type="character" w:styleId="Hypertextovodkaz">
    <w:name w:val="Hyperlink"/>
    <w:basedOn w:val="Standardnpsmoodstavce"/>
    <w:uiPriority w:val="99"/>
    <w:unhideWhenUsed/>
    <w:rsid w:val="00B47D21"/>
    <w:rPr>
      <w:color w:val="0563C1" w:themeColor="hyperlink"/>
      <w:u w:val="single"/>
    </w:rPr>
  </w:style>
  <w:style w:type="paragraph" w:styleId="Normlnweb">
    <w:name w:val="Normal (Web)"/>
    <w:basedOn w:val="Normln"/>
    <w:uiPriority w:val="99"/>
    <w:semiHidden/>
    <w:rsid w:val="00B47D21"/>
    <w:pPr>
      <w:spacing w:after="0" w:line="240" w:lineRule="auto"/>
    </w:pPr>
    <w:rPr>
      <w:rFonts w:ascii="Times New Roman" w:eastAsia="Times New Roman" w:hAnsi="Times New Roman" w:cs="Times New Roman"/>
      <w:sz w:val="24"/>
      <w:szCs w:val="24"/>
    </w:rPr>
  </w:style>
  <w:style w:type="table" w:styleId="Mkatabulky">
    <w:name w:val="Table Grid"/>
    <w:basedOn w:val="Normlntabulka"/>
    <w:uiPriority w:val="39"/>
    <w:rsid w:val="0025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A3587"/>
    <w:rPr>
      <w:sz w:val="16"/>
      <w:szCs w:val="16"/>
    </w:rPr>
  </w:style>
  <w:style w:type="paragraph" w:styleId="Textkomente">
    <w:name w:val="annotation text"/>
    <w:basedOn w:val="Normln"/>
    <w:link w:val="TextkomenteChar"/>
    <w:uiPriority w:val="99"/>
    <w:semiHidden/>
    <w:unhideWhenUsed/>
    <w:rsid w:val="00AA3587"/>
    <w:pPr>
      <w:spacing w:line="240" w:lineRule="auto"/>
    </w:pPr>
    <w:rPr>
      <w:sz w:val="20"/>
      <w:szCs w:val="20"/>
    </w:rPr>
  </w:style>
  <w:style w:type="character" w:customStyle="1" w:styleId="TextkomenteChar">
    <w:name w:val="Text komentáře Char"/>
    <w:basedOn w:val="Standardnpsmoodstavce"/>
    <w:link w:val="Textkomente"/>
    <w:uiPriority w:val="99"/>
    <w:semiHidden/>
    <w:rsid w:val="00AA3587"/>
    <w:rPr>
      <w:sz w:val="20"/>
      <w:szCs w:val="20"/>
    </w:rPr>
  </w:style>
  <w:style w:type="paragraph" w:styleId="Pedmtkomente">
    <w:name w:val="annotation subject"/>
    <w:basedOn w:val="Textkomente"/>
    <w:next w:val="Textkomente"/>
    <w:link w:val="PedmtkomenteChar"/>
    <w:uiPriority w:val="99"/>
    <w:semiHidden/>
    <w:unhideWhenUsed/>
    <w:rsid w:val="00AA3587"/>
    <w:rPr>
      <w:b/>
      <w:bCs/>
    </w:rPr>
  </w:style>
  <w:style w:type="character" w:customStyle="1" w:styleId="PedmtkomenteChar">
    <w:name w:val="Předmět komentáře Char"/>
    <w:basedOn w:val="TextkomenteChar"/>
    <w:link w:val="Pedmtkomente"/>
    <w:uiPriority w:val="99"/>
    <w:semiHidden/>
    <w:rsid w:val="00AA3587"/>
    <w:rPr>
      <w:b/>
      <w:bCs/>
      <w:sz w:val="20"/>
      <w:szCs w:val="20"/>
    </w:rPr>
  </w:style>
  <w:style w:type="paragraph" w:styleId="Textbubliny">
    <w:name w:val="Balloon Text"/>
    <w:basedOn w:val="Normln"/>
    <w:link w:val="TextbublinyChar"/>
    <w:uiPriority w:val="99"/>
    <w:semiHidden/>
    <w:unhideWhenUsed/>
    <w:rsid w:val="00AA35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3587"/>
    <w:rPr>
      <w:rFonts w:ascii="Segoe UI" w:hAnsi="Segoe UI" w:cs="Segoe UI"/>
      <w:sz w:val="18"/>
      <w:szCs w:val="18"/>
    </w:rPr>
  </w:style>
  <w:style w:type="paragraph" w:styleId="Revize">
    <w:name w:val="Revision"/>
    <w:hidden/>
    <w:uiPriority w:val="99"/>
    <w:semiHidden/>
    <w:rsid w:val="003D35BC"/>
    <w:pPr>
      <w:spacing w:after="0" w:line="240" w:lineRule="auto"/>
    </w:pPr>
  </w:style>
  <w:style w:type="table" w:customStyle="1" w:styleId="Mkatabulky1">
    <w:name w:val="Mřížka tabulky1"/>
    <w:basedOn w:val="Normlntabulka"/>
    <w:next w:val="Mkatabulky"/>
    <w:uiPriority w:val="39"/>
    <w:rsid w:val="003F412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AE6018"/>
  </w:style>
  <w:style w:type="paragraph" w:customStyle="1" w:styleId="l4">
    <w:name w:val="l4"/>
    <w:basedOn w:val="Normln"/>
    <w:rsid w:val="000360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25D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DA2"/>
  </w:style>
  <w:style w:type="paragraph" w:styleId="Zpat">
    <w:name w:val="footer"/>
    <w:basedOn w:val="Normln"/>
    <w:link w:val="ZpatChar"/>
    <w:uiPriority w:val="99"/>
    <w:unhideWhenUsed/>
    <w:rsid w:val="00425DA2"/>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DA2"/>
  </w:style>
  <w:style w:type="character" w:customStyle="1" w:styleId="A1">
    <w:name w:val="A1"/>
    <w:uiPriority w:val="99"/>
    <w:rsid w:val="00646B87"/>
    <w:rPr>
      <w:color w:val="000000"/>
      <w:sz w:val="28"/>
      <w:szCs w:val="28"/>
    </w:rPr>
  </w:style>
  <w:style w:type="character" w:customStyle="1" w:styleId="A4">
    <w:name w:val="A4"/>
    <w:uiPriority w:val="99"/>
    <w:rsid w:val="00646B87"/>
    <w:rPr>
      <w:color w:val="000000"/>
      <w:sz w:val="60"/>
      <w:szCs w:val="60"/>
    </w:rPr>
  </w:style>
  <w:style w:type="character" w:customStyle="1" w:styleId="A5">
    <w:name w:val="A5"/>
    <w:uiPriority w:val="99"/>
    <w:rsid w:val="00646B87"/>
    <w:rPr>
      <w:b/>
      <w:bCs/>
      <w:color w:val="000000"/>
      <w:sz w:val="40"/>
      <w:szCs w:val="40"/>
    </w:rPr>
  </w:style>
  <w:style w:type="character" w:customStyle="1" w:styleId="Nadpis1Char">
    <w:name w:val="Nadpis 1 Char"/>
    <w:basedOn w:val="Standardnpsmoodstavce"/>
    <w:link w:val="Nadpis1"/>
    <w:uiPriority w:val="9"/>
    <w:rsid w:val="00604B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04B88"/>
    <w:rPr>
      <w:rFonts w:asciiTheme="majorHAnsi" w:eastAsiaTheme="majorEastAsia" w:hAnsiTheme="majorHAnsi" w:cstheme="majorBidi"/>
      <w:color w:val="2E74B5" w:themeColor="accent1" w:themeShade="BF"/>
      <w:sz w:val="26"/>
      <w:szCs w:val="26"/>
    </w:rPr>
  </w:style>
  <w:style w:type="paragraph" w:customStyle="1" w:styleId="Default">
    <w:name w:val="Default"/>
    <w:rsid w:val="005953C2"/>
    <w:pPr>
      <w:autoSpaceDE w:val="0"/>
      <w:autoSpaceDN w:val="0"/>
      <w:adjustRightInd w:val="0"/>
      <w:spacing w:after="0" w:line="240" w:lineRule="auto"/>
    </w:pPr>
    <w:rPr>
      <w:rFonts w:ascii="Tahoma" w:hAnsi="Tahoma" w:cs="Tahoma"/>
      <w:color w:val="000000"/>
      <w:sz w:val="24"/>
      <w:szCs w:val="24"/>
    </w:rPr>
  </w:style>
  <w:style w:type="character" w:styleId="Sledovanodkaz">
    <w:name w:val="FollowedHyperlink"/>
    <w:basedOn w:val="Standardnpsmoodstavce"/>
    <w:uiPriority w:val="99"/>
    <w:semiHidden/>
    <w:unhideWhenUsed/>
    <w:rsid w:val="00D70997"/>
    <w:rPr>
      <w:color w:val="954F72" w:themeColor="followedHyperlink"/>
      <w:u w:val="single"/>
    </w:rPr>
  </w:style>
  <w:style w:type="table" w:customStyle="1" w:styleId="Mkatabulky2">
    <w:name w:val="Mřížka tabulky2"/>
    <w:basedOn w:val="Normlntabulka"/>
    <w:next w:val="Mkatabulky"/>
    <w:rsid w:val="004638D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topodporu">
    <w:name w:val="Žádost o podporu"/>
    <w:basedOn w:val="Normln"/>
    <w:autoRedefine/>
    <w:qFormat/>
    <w:rsid w:val="008F4847"/>
    <w:pPr>
      <w:spacing w:after="0" w:line="240" w:lineRule="auto"/>
      <w:jc w:val="both"/>
    </w:pPr>
    <w:rPr>
      <w:rFonts w:eastAsiaTheme="minorEastAsia" w:cstheme="minorHAnsi"/>
      <w:b/>
      <w:spacing w:val="-1"/>
      <w:kern w:val="24"/>
      <w:sz w:val="24"/>
      <w:szCs w:val="24"/>
      <w:lang w:eastAsia="cs-CZ"/>
    </w:rPr>
  </w:style>
  <w:style w:type="paragraph" w:customStyle="1" w:styleId="Nadpis">
    <w:name w:val="Nadpis"/>
    <w:basedOn w:val="Odstavecseseznamem"/>
    <w:link w:val="NadpisChar"/>
    <w:qFormat/>
    <w:rsid w:val="007D2F3B"/>
    <w:pPr>
      <w:spacing w:after="0" w:line="240" w:lineRule="auto"/>
      <w:ind w:left="0"/>
      <w:jc w:val="both"/>
    </w:pPr>
    <w:rPr>
      <w:b/>
      <w:bCs/>
      <w:sz w:val="24"/>
      <w:szCs w:val="24"/>
    </w:rPr>
  </w:style>
  <w:style w:type="character" w:customStyle="1" w:styleId="NadpisChar">
    <w:name w:val="Nadpis Char"/>
    <w:basedOn w:val="OdstavecseseznamemChar"/>
    <w:link w:val="Nadpis"/>
    <w:rsid w:val="007D2F3B"/>
    <w:rPr>
      <w:b/>
      <w:bCs/>
      <w:sz w:val="24"/>
      <w:szCs w:val="24"/>
    </w:rPr>
  </w:style>
  <w:style w:type="character" w:styleId="Siln">
    <w:name w:val="Strong"/>
    <w:basedOn w:val="Standardnpsmoodstavce"/>
    <w:uiPriority w:val="22"/>
    <w:qFormat/>
    <w:rsid w:val="003A0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1\BROZOVAT\Plocha\Kopie%20-%20Grafy%20KZ%2020-10_22.3.20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1\BROZOVAT\Plocha\Kopie%20-%20Grafy%20KZ%2020-10_22.3.2021.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okumenty\+%20DOKUMENTY%20+\+++%20KONTROLN&#205;%20AKCE%20+++\MIGRACE%20(20-10)\KZ%2020-10_&#269;&#225;st%204%20-%20AMIF%20+%20IIP_tabulky,%20graf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Dokumenty\+%20DOKUMENTY%20+\+++%20KONTROLN&#205;%20AKCE%20+++\MIGRACE%20(20-10)\KZ%2020-10_&#269;&#225;st%204%20-%20AMIF%20+%20IIP_tabulky,%20graf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okumenty\+%20DOKUMENTY%20+\+++%20KONTROLN&#205;%20AKCE%20+++\MIGRACE%20(20-10)\KZ%2020-10_&#269;&#225;st%204%20-%20AMIF%20+%20IIP_tabulky,%20grafy.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List1!$A$2</c:f>
              <c:strCache>
                <c:ptCount val="1"/>
                <c:pt idx="0">
                  <c:v>Počet cizinců s povoleným pobytem</c:v>
                </c:pt>
              </c:strCache>
            </c:strRef>
          </c:tx>
          <c:spPr>
            <a:solidFill>
              <a:schemeClr val="accent2"/>
            </a:solidFill>
            <a:ln>
              <a:noFill/>
            </a:ln>
            <a:effectLst/>
          </c:spPr>
          <c:invertIfNegative val="0"/>
          <c:dLbls>
            <c:dLbl>
              <c:idx val="0"/>
              <c:layout/>
              <c:tx>
                <c:rich>
                  <a:bodyPr rot="0" spcFirstLastPara="1" vertOverflow="ellipsis" vert="horz" wrap="square" lIns="38100" tIns="19050" rIns="38100" bIns="19050" anchor="ctr" anchorCtr="1">
                    <a:spAutoFit/>
                  </a:bodyPr>
                  <a:lstStyle/>
                  <a:p>
                    <a:pPr>
                      <a:defRPr sz="900" b="0" i="0" u="none" strike="noStrike" kern="1200" baseline="0">
                        <a:ln w="3175">
                          <a:noFill/>
                        </a:ln>
                        <a:solidFill>
                          <a:schemeClr val="tx1"/>
                        </a:solidFill>
                        <a:effectLst/>
                        <a:latin typeface="+mn-lt"/>
                        <a:ea typeface="+mn-ea"/>
                        <a:cs typeface="+mn-cs"/>
                      </a:defRPr>
                    </a:pPr>
                    <a:fld id="{FFF1F330-19E8-4294-9147-BA9E59BCFDDB}" type="CELLRANGE">
                      <a:rPr lang="en-US"/>
                      <a:pPr>
                        <a:defRPr>
                          <a:ln w="3175">
                            <a:noFill/>
                          </a:ln>
                          <a:solidFill>
                            <a:schemeClr val="tx1"/>
                          </a:solidFill>
                          <a:effectLst/>
                        </a:defRPr>
                      </a:pPr>
                      <a:t>[OBLAST BUNĚK]</a:t>
                    </a:fld>
                    <a:endParaRPr lang="cs-CZ"/>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3175">
                        <a:noFill/>
                      </a:ln>
                      <a:solidFill>
                        <a:schemeClr val="tx1"/>
                      </a:solidFill>
                      <a:effectLst/>
                      <a:latin typeface="+mn-lt"/>
                      <a:ea typeface="+mn-ea"/>
                      <a:cs typeface="+mn-cs"/>
                    </a:defRPr>
                  </a:pPr>
                  <a:endParaRPr lang="cs-CZ"/>
                </a:p>
              </c:txPr>
              <c:dLblPos val="outEnd"/>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6F76-4CAD-A7BE-15A136C0E51F}"/>
                </c:ext>
              </c:extLst>
            </c:dLbl>
            <c:dLbl>
              <c:idx val="1"/>
              <c:layout/>
              <c:tx>
                <c:rich>
                  <a:bodyPr rot="0" spcFirstLastPara="1" vertOverflow="ellipsis" vert="horz" wrap="square" lIns="38100" tIns="19050" rIns="38100" bIns="19050" anchor="ctr" anchorCtr="1">
                    <a:spAutoFit/>
                  </a:bodyPr>
                  <a:lstStyle/>
                  <a:p>
                    <a:pPr>
                      <a:defRPr sz="900" b="0" i="0" u="none" strike="noStrike" kern="1200" baseline="0">
                        <a:ln w="3175">
                          <a:noFill/>
                        </a:ln>
                        <a:solidFill>
                          <a:schemeClr val="tx1"/>
                        </a:solidFill>
                        <a:effectLst/>
                        <a:latin typeface="+mn-lt"/>
                        <a:ea typeface="+mn-ea"/>
                        <a:cs typeface="+mn-cs"/>
                      </a:defRPr>
                    </a:pPr>
                    <a:fld id="{FDF130AF-D768-41AD-B4C2-F60B535936A9}" type="CELLRANGE">
                      <a:rPr lang="cs-CZ"/>
                      <a:pPr>
                        <a:defRPr>
                          <a:ln w="3175">
                            <a:noFill/>
                          </a:ln>
                          <a:solidFill>
                            <a:schemeClr val="tx1"/>
                          </a:solidFill>
                          <a:effectLst/>
                        </a:defRPr>
                      </a:pPr>
                      <a:t>[OBLAST BUNĚK]</a:t>
                    </a:fld>
                    <a:endParaRPr lang="cs-CZ"/>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3175">
                        <a:noFill/>
                      </a:ln>
                      <a:solidFill>
                        <a:schemeClr val="tx1"/>
                      </a:solidFill>
                      <a:effectLst/>
                      <a:latin typeface="+mn-lt"/>
                      <a:ea typeface="+mn-ea"/>
                      <a:cs typeface="+mn-cs"/>
                    </a:defRPr>
                  </a:pPr>
                  <a:endParaRPr lang="cs-CZ"/>
                </a:p>
              </c:txPr>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6F76-4CAD-A7BE-15A136C0E51F}"/>
                </c:ext>
              </c:extLst>
            </c:dLbl>
            <c:dLbl>
              <c:idx val="2"/>
              <c:layout/>
              <c:tx>
                <c:rich>
                  <a:bodyPr rot="0" spcFirstLastPara="1" vertOverflow="ellipsis" vert="horz" wrap="square" lIns="38100" tIns="19050" rIns="38100" bIns="19050" anchor="ctr" anchorCtr="1">
                    <a:spAutoFit/>
                  </a:bodyPr>
                  <a:lstStyle/>
                  <a:p>
                    <a:pPr>
                      <a:defRPr sz="900" b="0" i="0" u="none" strike="noStrike" kern="1200" baseline="0">
                        <a:ln w="3175">
                          <a:noFill/>
                        </a:ln>
                        <a:solidFill>
                          <a:schemeClr val="tx1"/>
                        </a:solidFill>
                        <a:effectLst/>
                        <a:latin typeface="+mn-lt"/>
                        <a:ea typeface="+mn-ea"/>
                        <a:cs typeface="+mn-cs"/>
                      </a:defRPr>
                    </a:pPr>
                    <a:fld id="{A78A543B-8A96-4B24-8BBC-9699A4090D5A}" type="CELLRANGE">
                      <a:rPr lang="cs-CZ"/>
                      <a:pPr>
                        <a:defRPr>
                          <a:ln w="3175">
                            <a:noFill/>
                          </a:ln>
                          <a:solidFill>
                            <a:schemeClr val="tx1"/>
                          </a:solidFill>
                          <a:effectLst/>
                        </a:defRPr>
                      </a:pPr>
                      <a:t>[OBLAST BUNĚK]</a:t>
                    </a:fld>
                    <a:endParaRPr lang="cs-CZ"/>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3175">
                        <a:noFill/>
                      </a:ln>
                      <a:solidFill>
                        <a:schemeClr val="tx1"/>
                      </a:solidFill>
                      <a:effectLst/>
                      <a:latin typeface="+mn-lt"/>
                      <a:ea typeface="+mn-ea"/>
                      <a:cs typeface="+mn-cs"/>
                    </a:defRPr>
                  </a:pPr>
                  <a:endParaRPr lang="cs-CZ"/>
                </a:p>
              </c:txPr>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6F76-4CAD-A7BE-15A136C0E51F}"/>
                </c:ext>
              </c:extLst>
            </c:dLbl>
            <c:dLbl>
              <c:idx val="3"/>
              <c:layout/>
              <c:tx>
                <c:rich>
                  <a:bodyPr rot="0" spcFirstLastPara="1" vertOverflow="ellipsis" vert="horz" wrap="square" lIns="38100" tIns="19050" rIns="38100" bIns="19050" anchor="ctr" anchorCtr="1">
                    <a:spAutoFit/>
                  </a:bodyPr>
                  <a:lstStyle/>
                  <a:p>
                    <a:pPr>
                      <a:defRPr sz="900" b="0" i="0" u="none" strike="noStrike" kern="1200" baseline="0">
                        <a:ln w="3175">
                          <a:noFill/>
                        </a:ln>
                        <a:solidFill>
                          <a:schemeClr val="tx1"/>
                        </a:solidFill>
                        <a:effectLst/>
                        <a:latin typeface="+mn-lt"/>
                        <a:ea typeface="+mn-ea"/>
                        <a:cs typeface="+mn-cs"/>
                      </a:defRPr>
                    </a:pPr>
                    <a:fld id="{9D4EB926-16D2-4D75-AB47-96DFC458578B}" type="CELLRANGE">
                      <a:rPr lang="cs-CZ"/>
                      <a:pPr>
                        <a:defRPr>
                          <a:ln w="3175">
                            <a:noFill/>
                          </a:ln>
                          <a:solidFill>
                            <a:schemeClr val="tx1"/>
                          </a:solidFill>
                          <a:effectLst/>
                        </a:defRPr>
                      </a:pPr>
                      <a:t>[OBLAST BUNĚK]</a:t>
                    </a:fld>
                    <a:endParaRPr lang="cs-CZ"/>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3175">
                        <a:noFill/>
                      </a:ln>
                      <a:solidFill>
                        <a:schemeClr val="tx1"/>
                      </a:solidFill>
                      <a:effectLst/>
                      <a:latin typeface="+mn-lt"/>
                      <a:ea typeface="+mn-ea"/>
                      <a:cs typeface="+mn-cs"/>
                    </a:defRPr>
                  </a:pPr>
                  <a:endParaRPr lang="cs-CZ"/>
                </a:p>
              </c:txPr>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6F76-4CAD-A7BE-15A136C0E51F}"/>
                </c:ext>
              </c:extLst>
            </c:dLbl>
            <c:dLbl>
              <c:idx val="4"/>
              <c:layout/>
              <c:tx>
                <c:rich>
                  <a:bodyPr/>
                  <a:lstStyle/>
                  <a:p>
                    <a:fld id="{C795C049-6CB4-44F9-8ABB-554D6444E9D5}" type="CELLRANGE">
                      <a:rPr lang="cs-CZ"/>
                      <a:pPr/>
                      <a:t>[OBLAST BUNĚK]</a:t>
                    </a:fld>
                    <a:endParaRPr lang="cs-CZ"/>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6F76-4CAD-A7BE-15A136C0E5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3175">
                      <a:noFill/>
                    </a:ln>
                    <a:solidFill>
                      <a:schemeClr val="tx1">
                        <a:lumMod val="75000"/>
                        <a:lumOff val="25000"/>
                      </a:schemeClr>
                    </a:solidFill>
                    <a:effectLst/>
                    <a:latin typeface="+mn-lt"/>
                    <a:ea typeface="+mn-ea"/>
                    <a:cs typeface="+mn-cs"/>
                  </a:defRPr>
                </a:pPr>
                <a:endParaRPr lang="cs-CZ"/>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numRef>
              <c:f>List1!$B$1:$F$1</c:f>
              <c:numCache>
                <c:formatCode>General</c:formatCode>
                <c:ptCount val="5"/>
                <c:pt idx="0">
                  <c:v>2015</c:v>
                </c:pt>
                <c:pt idx="1">
                  <c:v>2016</c:v>
                </c:pt>
                <c:pt idx="2">
                  <c:v>2017</c:v>
                </c:pt>
                <c:pt idx="3">
                  <c:v>2018</c:v>
                </c:pt>
                <c:pt idx="4">
                  <c:v>2019</c:v>
                </c:pt>
              </c:numCache>
            </c:numRef>
          </c:cat>
          <c:val>
            <c:numRef>
              <c:f>List1!$B$2:$F$2</c:f>
              <c:numCache>
                <c:formatCode>0</c:formatCode>
                <c:ptCount val="5"/>
                <c:pt idx="0">
                  <c:v>467562</c:v>
                </c:pt>
                <c:pt idx="1">
                  <c:v>496413</c:v>
                </c:pt>
                <c:pt idx="2">
                  <c:v>526811</c:v>
                </c:pt>
                <c:pt idx="3">
                  <c:v>566931</c:v>
                </c:pt>
                <c:pt idx="4">
                  <c:v>595881</c:v>
                </c:pt>
              </c:numCache>
            </c:numRef>
          </c:val>
          <c:extLst>
            <c:ext xmlns:c15="http://schemas.microsoft.com/office/drawing/2012/chart" uri="{02D57815-91ED-43cb-92C2-25804820EDAC}">
              <c15:datalabelsRange>
                <c15:f>List1!$B$5:$F$5</c15:f>
                <c15:dlblRangeCache>
                  <c:ptCount val="5"/>
                  <c:pt idx="0">
                    <c:v>4,4 %*</c:v>
                  </c:pt>
                  <c:pt idx="1">
                    <c:v>4,7 %*</c:v>
                  </c:pt>
                  <c:pt idx="2">
                    <c:v>4,9 %*</c:v>
                  </c:pt>
                  <c:pt idx="3">
                    <c:v>5,3 %*</c:v>
                  </c:pt>
                  <c:pt idx="4">
                    <c:v>5,6 %*</c:v>
                  </c:pt>
                </c15:dlblRangeCache>
              </c15:datalabelsRange>
            </c:ext>
            <c:ext xmlns:c16="http://schemas.microsoft.com/office/drawing/2014/chart" uri="{C3380CC4-5D6E-409C-BE32-E72D297353CC}">
              <c16:uniqueId val="{00000005-6F76-4CAD-A7BE-15A136C0E51F}"/>
            </c:ext>
          </c:extLst>
        </c:ser>
        <c:ser>
          <c:idx val="1"/>
          <c:order val="1"/>
          <c:tx>
            <c:strRef>
              <c:f>List1!$A$3</c:f>
              <c:strCache>
                <c:ptCount val="1"/>
                <c:pt idx="0">
                  <c:v>v tom cizinci z EU</c:v>
                </c:pt>
              </c:strCache>
            </c:strRef>
          </c:tx>
          <c:spPr>
            <a:solidFill>
              <a:schemeClr val="accent5"/>
            </a:solidFill>
            <a:ln>
              <a:noFill/>
            </a:ln>
            <a:effectLst/>
          </c:spPr>
          <c:invertIfNegative val="0"/>
          <c:dLbls>
            <c:delete val="1"/>
          </c:dLbls>
          <c:cat>
            <c:numRef>
              <c:f>List1!$B$1:$F$1</c:f>
              <c:numCache>
                <c:formatCode>General</c:formatCode>
                <c:ptCount val="5"/>
                <c:pt idx="0">
                  <c:v>2015</c:v>
                </c:pt>
                <c:pt idx="1">
                  <c:v>2016</c:v>
                </c:pt>
                <c:pt idx="2">
                  <c:v>2017</c:v>
                </c:pt>
                <c:pt idx="3">
                  <c:v>2018</c:v>
                </c:pt>
                <c:pt idx="4">
                  <c:v>2019</c:v>
                </c:pt>
              </c:numCache>
            </c:numRef>
          </c:cat>
          <c:val>
            <c:numRef>
              <c:f>List1!$B$3:$F$3</c:f>
              <c:numCache>
                <c:formatCode>0</c:formatCode>
                <c:ptCount val="5"/>
                <c:pt idx="0">
                  <c:v>196378</c:v>
                </c:pt>
                <c:pt idx="1">
                  <c:v>209078</c:v>
                </c:pt>
                <c:pt idx="2">
                  <c:v>220677</c:v>
                </c:pt>
                <c:pt idx="3">
                  <c:v>232493</c:v>
                </c:pt>
                <c:pt idx="4">
                  <c:v>246321</c:v>
                </c:pt>
              </c:numCache>
            </c:numRef>
          </c:val>
          <c:extLst>
            <c:ext xmlns:c16="http://schemas.microsoft.com/office/drawing/2014/chart" uri="{C3380CC4-5D6E-409C-BE32-E72D297353CC}">
              <c16:uniqueId val="{00000006-6F76-4CAD-A7BE-15A136C0E51F}"/>
            </c:ext>
          </c:extLst>
        </c:ser>
        <c:ser>
          <c:idx val="2"/>
          <c:order val="2"/>
          <c:tx>
            <c:strRef>
              <c:f>List1!$A$4</c:f>
              <c:strCache>
                <c:ptCount val="1"/>
                <c:pt idx="0">
                  <c:v>v tom cizinci ze třetích zemí</c:v>
                </c:pt>
              </c:strCache>
            </c:strRef>
          </c:tx>
          <c:spPr>
            <a:solidFill>
              <a:schemeClr val="bg1">
                <a:lumMod val="50000"/>
              </a:schemeClr>
            </a:solidFill>
            <a:ln>
              <a:noFill/>
            </a:ln>
            <a:effectLst/>
          </c:spPr>
          <c:invertIfNegative val="0"/>
          <c:dLbls>
            <c:delete val="1"/>
          </c:dLbls>
          <c:cat>
            <c:numRef>
              <c:f>List1!$B$1:$F$1</c:f>
              <c:numCache>
                <c:formatCode>General</c:formatCode>
                <c:ptCount val="5"/>
                <c:pt idx="0">
                  <c:v>2015</c:v>
                </c:pt>
                <c:pt idx="1">
                  <c:v>2016</c:v>
                </c:pt>
                <c:pt idx="2">
                  <c:v>2017</c:v>
                </c:pt>
                <c:pt idx="3">
                  <c:v>2018</c:v>
                </c:pt>
                <c:pt idx="4">
                  <c:v>2019</c:v>
                </c:pt>
              </c:numCache>
            </c:numRef>
          </c:cat>
          <c:val>
            <c:numRef>
              <c:f>List1!$B$4:$F$4</c:f>
              <c:numCache>
                <c:formatCode>0</c:formatCode>
                <c:ptCount val="5"/>
                <c:pt idx="0">
                  <c:v>271184</c:v>
                </c:pt>
                <c:pt idx="1">
                  <c:v>287335</c:v>
                </c:pt>
                <c:pt idx="2">
                  <c:v>306134</c:v>
                </c:pt>
                <c:pt idx="3">
                  <c:v>334438</c:v>
                </c:pt>
                <c:pt idx="4">
                  <c:v>349560</c:v>
                </c:pt>
              </c:numCache>
            </c:numRef>
          </c:val>
          <c:extLst>
            <c:ext xmlns:c16="http://schemas.microsoft.com/office/drawing/2014/chart" uri="{C3380CC4-5D6E-409C-BE32-E72D297353CC}">
              <c16:uniqueId val="{00000007-6F76-4CAD-A7BE-15A136C0E51F}"/>
            </c:ext>
          </c:extLst>
        </c:ser>
        <c:dLbls>
          <c:dLblPos val="outEnd"/>
          <c:showLegendKey val="0"/>
          <c:showVal val="1"/>
          <c:showCatName val="0"/>
          <c:showSerName val="0"/>
          <c:showPercent val="0"/>
          <c:showBubbleSize val="0"/>
        </c:dLbls>
        <c:gapWidth val="219"/>
        <c:overlap val="-27"/>
        <c:axId val="556860144"/>
        <c:axId val="556849328"/>
        <c:extLst>
          <c:ext xmlns:c15="http://schemas.microsoft.com/office/drawing/2012/chart" uri="{02D57815-91ED-43cb-92C2-25804820EDAC}">
            <c15:filteredBarSeries>
              <c15:ser>
                <c:idx val="3"/>
                <c:order val="3"/>
                <c:tx>
                  <c:strRef>
                    <c:extLst>
                      <c:ext uri="{02D57815-91ED-43cb-92C2-25804820EDAC}">
                        <c15:formulaRef>
                          <c15:sqref>List1!$A$5</c15:sqref>
                        </c15:formulaRef>
                      </c:ext>
                    </c:extLst>
                    <c:strCache>
                      <c:ptCount val="1"/>
                      <c:pt idx="0">
                        <c:v>poměr k celkové populaci v ČR</c:v>
                      </c:pt>
                    </c:strCache>
                  </c:strRef>
                </c:tx>
                <c:spPr>
                  <a:solidFill>
                    <a:schemeClr val="tx1"/>
                  </a:solidFill>
                  <a:ln>
                    <a:noFill/>
                  </a:ln>
                  <a:effectLst/>
                </c:spPr>
                <c:invertIfNegative val="0"/>
                <c:dLbls>
                  <c:dLbl>
                    <c:idx val="0"/>
                    <c:delete val="1"/>
                    <c:extLst>
                      <c:ext uri="{CE6537A1-D6FC-4f65-9D91-7224C49458BB}"/>
                      <c:ext xmlns:c16="http://schemas.microsoft.com/office/drawing/2014/chart" uri="{C3380CC4-5D6E-409C-BE32-E72D297353CC}">
                        <c16:uniqueId val="{00000008-6F76-4CAD-A7BE-15A136C0E5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c:v>
                    </c:pt>
                  </c:numLit>
                </c:val>
                <c:extLst>
                  <c:ext xmlns:c16="http://schemas.microsoft.com/office/drawing/2014/chart" uri="{C3380CC4-5D6E-409C-BE32-E72D297353CC}">
                    <c16:uniqueId val="{00000009-6F76-4CAD-A7BE-15A136C0E51F}"/>
                  </c:ext>
                </c:extLst>
              </c15:ser>
            </c15:filteredBarSeries>
          </c:ext>
        </c:extLst>
      </c:barChart>
      <c:catAx>
        <c:axId val="55686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6849328"/>
        <c:crosses val="autoZero"/>
        <c:auto val="1"/>
        <c:lblAlgn val="ctr"/>
        <c:lblOffset val="100"/>
        <c:noMultiLvlLbl val="0"/>
      </c:catAx>
      <c:valAx>
        <c:axId val="556849328"/>
        <c:scaling>
          <c:orientation val="minMax"/>
          <c:max val="65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6860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076330316361709E-2"/>
          <c:y val="3.6393713813068655E-2"/>
          <c:w val="0.88844138092962022"/>
          <c:h val="0.61826409629830759"/>
        </c:manualLayout>
      </c:layout>
      <c:barChart>
        <c:barDir val="col"/>
        <c:grouping val="clustered"/>
        <c:varyColors val="0"/>
        <c:ser>
          <c:idx val="0"/>
          <c:order val="0"/>
          <c:tx>
            <c:strRef>
              <c:f>List2!$A$2</c:f>
              <c:strCache>
                <c:ptCount val="1"/>
                <c:pt idx="0">
                  <c:v>Zjištění cizinci bez povoleného pobytu (nelegální pobyt)</c:v>
                </c:pt>
              </c:strCache>
            </c:strRef>
          </c:tx>
          <c:spPr>
            <a:solidFill>
              <a:srgbClr val="FF0000"/>
            </a:solidFill>
            <a:ln>
              <a:noFill/>
            </a:ln>
            <a:effectLst/>
          </c:spPr>
          <c:invertIfNegative val="0"/>
          <c:cat>
            <c:numRef>
              <c:f>List2!$B$1:$F$1</c:f>
              <c:numCache>
                <c:formatCode>General</c:formatCode>
                <c:ptCount val="5"/>
                <c:pt idx="0">
                  <c:v>2015</c:v>
                </c:pt>
                <c:pt idx="1">
                  <c:v>2016</c:v>
                </c:pt>
                <c:pt idx="2">
                  <c:v>2017</c:v>
                </c:pt>
                <c:pt idx="3">
                  <c:v>2018</c:v>
                </c:pt>
                <c:pt idx="4">
                  <c:v>2019</c:v>
                </c:pt>
              </c:numCache>
            </c:numRef>
          </c:cat>
          <c:val>
            <c:numRef>
              <c:f>List2!$B$2:$F$2</c:f>
              <c:numCache>
                <c:formatCode>#,##0</c:formatCode>
                <c:ptCount val="5"/>
                <c:pt idx="0">
                  <c:v>8563</c:v>
                </c:pt>
                <c:pt idx="1">
                  <c:v>5261</c:v>
                </c:pt>
                <c:pt idx="2">
                  <c:v>4738</c:v>
                </c:pt>
                <c:pt idx="3">
                  <c:v>4992</c:v>
                </c:pt>
                <c:pt idx="4">
                  <c:v>5677</c:v>
                </c:pt>
              </c:numCache>
            </c:numRef>
          </c:val>
          <c:extLst>
            <c:ext xmlns:c16="http://schemas.microsoft.com/office/drawing/2014/chart" uri="{C3380CC4-5D6E-409C-BE32-E72D297353CC}">
              <c16:uniqueId val="{00000000-60B0-4309-A79D-C195FA7D05E8}"/>
            </c:ext>
          </c:extLst>
        </c:ser>
        <c:ser>
          <c:idx val="1"/>
          <c:order val="1"/>
          <c:tx>
            <c:strRef>
              <c:f>List2!$A$3</c:f>
              <c:strCache>
                <c:ptCount val="1"/>
                <c:pt idx="0">
                  <c:v>Osoby se statusem azylanta</c:v>
                </c:pt>
              </c:strCache>
            </c:strRef>
          </c:tx>
          <c:spPr>
            <a:solidFill>
              <a:srgbClr val="0070C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60B0-4309-A79D-C195FA7D05E8}"/>
                </c:ext>
              </c:extLst>
            </c:dLbl>
            <c:dLbl>
              <c:idx val="1"/>
              <c:layout>
                <c:manualLayout>
                  <c:x val="2.8021408360333467E-7"/>
                  <c:y val="-0.14888337468982632"/>
                </c:manualLayout>
              </c:layout>
              <c:tx>
                <c:rich>
                  <a:bodyPr/>
                  <a:lstStyle/>
                  <a:p>
                    <a:r>
                      <a:rPr lang="en-US">
                        <a:solidFill>
                          <a:srgbClr val="002060"/>
                        </a:solidFill>
                      </a:rPr>
                      <a:t>Údaj</a:t>
                    </a:r>
                    <a:r>
                      <a:rPr lang="en-US" baseline="0">
                        <a:solidFill>
                          <a:srgbClr val="002060"/>
                        </a:solidFill>
                      </a:rPr>
                      <a:t> není znám</a:t>
                    </a:r>
                    <a:endParaRPr lang="en-US">
                      <a:solidFill>
                        <a:srgbClr val="002060"/>
                      </a:solidFill>
                    </a:endParaRPr>
                  </a:p>
                </c:rich>
              </c:tx>
              <c:showLegendKey val="0"/>
              <c:showVal val="1"/>
              <c:showCatName val="0"/>
              <c:showSerName val="0"/>
              <c:showPercent val="0"/>
              <c:showBubbleSize val="0"/>
              <c:extLst>
                <c:ext xmlns:c15="http://schemas.microsoft.com/office/drawing/2012/chart" uri="{CE6537A1-D6FC-4f65-9D91-7224C49458BB}">
                  <c15:layout>
                    <c:manualLayout>
                      <c:w val="7.0664200782731335E-2"/>
                      <c:h val="0.16206795490514059"/>
                    </c:manualLayout>
                  </c15:layout>
                </c:ext>
                <c:ext xmlns:c16="http://schemas.microsoft.com/office/drawing/2014/chart" uri="{C3380CC4-5D6E-409C-BE32-E72D297353CC}">
                  <c16:uniqueId val="{00000002-60B0-4309-A79D-C195FA7D05E8}"/>
                </c:ext>
              </c:extLst>
            </c:dLbl>
            <c:dLbl>
              <c:idx val="2"/>
              <c:layout>
                <c:manualLayout>
                  <c:x val="1.1863330250977545E-3"/>
                  <c:y val="-0.14387057697192318"/>
                </c:manualLayout>
              </c:layout>
              <c:tx>
                <c:rich>
                  <a:bodyPr rot="0" spcFirstLastPara="1" vertOverflow="overflow" horzOverflow="overflow"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rgbClr val="002060"/>
                        </a:solidFill>
                        <a:latin typeface="+mn-lt"/>
                        <a:ea typeface="+mn-ea"/>
                        <a:cs typeface="+mn-cs"/>
                      </a:defRPr>
                    </a:pPr>
                    <a:r>
                      <a:rPr lang="en-US" sz="900" b="0" i="0" u="none" strike="noStrike" kern="1200" baseline="0">
                        <a:solidFill>
                          <a:srgbClr val="002060"/>
                        </a:solidFill>
                      </a:rPr>
                      <a:t>Údaj není znám</a:t>
                    </a:r>
                  </a:p>
                </c:rich>
              </c:tx>
              <c:spPr>
                <a:noFill/>
                <a:ln>
                  <a:noFill/>
                </a:ln>
                <a:effectLst/>
              </c:spPr>
              <c:txPr>
                <a:bodyPr rot="0" spcFirstLastPara="1" vertOverflow="overflow" horzOverflow="overflow"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rgbClr val="002060"/>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7.0664200782731335E-2"/>
                      <c:h val="0.16206795490514059"/>
                    </c:manualLayout>
                  </c15:layout>
                </c:ext>
                <c:ext xmlns:c16="http://schemas.microsoft.com/office/drawing/2014/chart" uri="{C3380CC4-5D6E-409C-BE32-E72D297353CC}">
                  <c16:uniqueId val="{00000003-60B0-4309-A79D-C195FA7D05E8}"/>
                </c:ext>
              </c:extLst>
            </c:dLbl>
            <c:dLbl>
              <c:idx val="3"/>
              <c:delete val="1"/>
              <c:extLst>
                <c:ext xmlns:c15="http://schemas.microsoft.com/office/drawing/2012/chart" uri="{CE6537A1-D6FC-4f65-9D91-7224C49458BB}"/>
                <c:ext xmlns:c16="http://schemas.microsoft.com/office/drawing/2014/chart" uri="{C3380CC4-5D6E-409C-BE32-E72D297353CC}">
                  <c16:uniqueId val="{00000004-60B0-4309-A79D-C195FA7D05E8}"/>
                </c:ext>
              </c:extLst>
            </c:dLbl>
            <c:dLbl>
              <c:idx val="4"/>
              <c:delete val="1"/>
              <c:extLst>
                <c:ext xmlns:c15="http://schemas.microsoft.com/office/drawing/2012/chart" uri="{CE6537A1-D6FC-4f65-9D91-7224C49458BB}"/>
                <c:ext xmlns:c16="http://schemas.microsoft.com/office/drawing/2014/chart" uri="{C3380CC4-5D6E-409C-BE32-E72D297353CC}">
                  <c16:uniqueId val="{00000005-60B0-4309-A79D-C195FA7D05E8}"/>
                </c:ext>
              </c:extLst>
            </c:dLbl>
            <c:spPr>
              <a:noFill/>
              <a:ln>
                <a:noFill/>
              </a:ln>
              <a:effectLst/>
            </c:spPr>
            <c:txPr>
              <a:bodyPr rot="0" spcFirstLastPara="1" vertOverflow="overflow" horzOverflow="overflow"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15875" cap="flat" cmpd="sng" algn="ctr">
                      <a:solidFill>
                        <a:srgbClr val="0070C0"/>
                      </a:solidFill>
                      <a:round/>
                    </a:ln>
                    <a:effectLst/>
                  </c:spPr>
                </c15:leaderLines>
              </c:ext>
            </c:extLst>
          </c:dLbls>
          <c:cat>
            <c:numRef>
              <c:f>List2!$B$1:$F$1</c:f>
              <c:numCache>
                <c:formatCode>General</c:formatCode>
                <c:ptCount val="5"/>
                <c:pt idx="0">
                  <c:v>2015</c:v>
                </c:pt>
                <c:pt idx="1">
                  <c:v>2016</c:v>
                </c:pt>
                <c:pt idx="2">
                  <c:v>2017</c:v>
                </c:pt>
                <c:pt idx="3">
                  <c:v>2018</c:v>
                </c:pt>
                <c:pt idx="4">
                  <c:v>2019</c:v>
                </c:pt>
              </c:numCache>
            </c:numRef>
          </c:cat>
          <c:val>
            <c:numRef>
              <c:f>List2!$B$3:$F$3</c:f>
              <c:numCache>
                <c:formatCode>#,##0</c:formatCode>
                <c:ptCount val="5"/>
                <c:pt idx="0">
                  <c:v>1973</c:v>
                </c:pt>
                <c:pt idx="1">
                  <c:v>0</c:v>
                </c:pt>
                <c:pt idx="2">
                  <c:v>0</c:v>
                </c:pt>
                <c:pt idx="3">
                  <c:v>928</c:v>
                </c:pt>
                <c:pt idx="4">
                  <c:v>954</c:v>
                </c:pt>
              </c:numCache>
            </c:numRef>
          </c:val>
          <c:extLst>
            <c:ext xmlns:c16="http://schemas.microsoft.com/office/drawing/2014/chart" uri="{C3380CC4-5D6E-409C-BE32-E72D297353CC}">
              <c16:uniqueId val="{00000006-60B0-4309-A79D-C195FA7D05E8}"/>
            </c:ext>
          </c:extLst>
        </c:ser>
        <c:ser>
          <c:idx val="2"/>
          <c:order val="2"/>
          <c:tx>
            <c:strRef>
              <c:f>List2!$A$4</c:f>
              <c:strCache>
                <c:ptCount val="1"/>
                <c:pt idx="0">
                  <c:v>Osoby s udělenou doplňkovou ochranou</c:v>
                </c:pt>
              </c:strCache>
            </c:strRef>
          </c:tx>
          <c:spPr>
            <a:solidFill>
              <a:schemeClr val="bg1">
                <a:lumMod val="50000"/>
              </a:schemeClr>
            </a:solidFill>
            <a:ln>
              <a:noFill/>
            </a:ln>
            <a:effectLst/>
          </c:spPr>
          <c:invertIfNegative val="0"/>
          <c:cat>
            <c:numRef>
              <c:f>List2!$B$1:$F$1</c:f>
              <c:numCache>
                <c:formatCode>General</c:formatCode>
                <c:ptCount val="5"/>
                <c:pt idx="0">
                  <c:v>2015</c:v>
                </c:pt>
                <c:pt idx="1">
                  <c:v>2016</c:v>
                </c:pt>
                <c:pt idx="2">
                  <c:v>2017</c:v>
                </c:pt>
                <c:pt idx="3">
                  <c:v>2018</c:v>
                </c:pt>
                <c:pt idx="4">
                  <c:v>2019</c:v>
                </c:pt>
              </c:numCache>
            </c:numRef>
          </c:cat>
          <c:val>
            <c:numRef>
              <c:f>List2!$B$4:$F$4</c:f>
              <c:numCache>
                <c:formatCode>#,##0</c:formatCode>
                <c:ptCount val="5"/>
                <c:pt idx="0">
                  <c:v>1671</c:v>
                </c:pt>
                <c:pt idx="1">
                  <c:v>1883</c:v>
                </c:pt>
                <c:pt idx="2">
                  <c:v>1717</c:v>
                </c:pt>
                <c:pt idx="3">
                  <c:v>1258</c:v>
                </c:pt>
                <c:pt idx="4">
                  <c:v>1104</c:v>
                </c:pt>
              </c:numCache>
            </c:numRef>
          </c:val>
          <c:extLst>
            <c:ext xmlns:c16="http://schemas.microsoft.com/office/drawing/2014/chart" uri="{C3380CC4-5D6E-409C-BE32-E72D297353CC}">
              <c16:uniqueId val="{00000007-60B0-4309-A79D-C195FA7D05E8}"/>
            </c:ext>
          </c:extLst>
        </c:ser>
        <c:dLbls>
          <c:showLegendKey val="0"/>
          <c:showVal val="0"/>
          <c:showCatName val="0"/>
          <c:showSerName val="0"/>
          <c:showPercent val="0"/>
          <c:showBubbleSize val="0"/>
        </c:dLbls>
        <c:gapWidth val="219"/>
        <c:overlap val="-27"/>
        <c:axId val="572663072"/>
        <c:axId val="572670976"/>
      </c:barChart>
      <c:catAx>
        <c:axId val="57266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2670976"/>
        <c:crosses val="autoZero"/>
        <c:auto val="1"/>
        <c:lblAlgn val="ctr"/>
        <c:lblOffset val="100"/>
        <c:noMultiLvlLbl val="0"/>
      </c:catAx>
      <c:valAx>
        <c:axId val="572670976"/>
        <c:scaling>
          <c:orientation val="minMax"/>
          <c:max val="9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2663072"/>
        <c:crosses val="autoZero"/>
        <c:crossBetween val="between"/>
        <c:majorUnit val="1000"/>
      </c:valAx>
      <c:spPr>
        <a:noFill/>
        <a:ln>
          <a:noFill/>
        </a:ln>
        <a:effectLst/>
      </c:spPr>
    </c:plotArea>
    <c:legend>
      <c:legendPos val="b"/>
      <c:layout>
        <c:manualLayout>
          <c:xMode val="edge"/>
          <c:yMode val="edge"/>
          <c:x val="0.21034145613314922"/>
          <c:y val="0.76907457688478609"/>
          <c:w val="0.64349740642609243"/>
          <c:h val="0.187302923341478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3786811337578"/>
          <c:y val="0.13900695402765376"/>
          <c:w val="0.5544583003679564"/>
          <c:h val="0.79643838334641159"/>
        </c:manualLayout>
      </c:layout>
      <c:pieChart>
        <c:varyColors val="1"/>
        <c:ser>
          <c:idx val="1"/>
          <c:order val="1"/>
          <c:tx>
            <c:strRef>
              <c:f>List1!$C$1</c:f>
              <c:strCache>
                <c:ptCount val="1"/>
                <c:pt idx="0">
                  <c:v>Sloupec1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DC7-422E-91AC-E178858D780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3DC7-422E-91AC-E178858D780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3DC7-422E-91AC-E178858D780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3DC7-422E-91AC-E178858D780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3DC7-422E-91AC-E178858D780E}"/>
              </c:ext>
            </c:extLst>
          </c:dPt>
          <c:cat>
            <c:strRef>
              <c:f>List1!$A$2:$A$6</c:f>
              <c:strCache>
                <c:ptCount val="5"/>
                <c:pt idx="0">
                  <c:v>Účelný</c:v>
                </c:pt>
                <c:pt idx="1">
                  <c:v>Účelný s mírnými nedostatky</c:v>
                </c:pt>
                <c:pt idx="2">
                  <c:v>Omezeně účelný</c:v>
                </c:pt>
                <c:pt idx="3">
                  <c:v>Neúčelný</c:v>
                </c:pt>
                <c:pt idx="4">
                  <c:v>Nehodnoceno</c:v>
                </c:pt>
              </c:strCache>
            </c:strRef>
          </c:cat>
          <c:val>
            <c:numRef>
              <c:f>List1!$C$2:$C$6</c:f>
              <c:numCache>
                <c:formatCode>General</c:formatCode>
                <c:ptCount val="5"/>
              </c:numCache>
            </c:numRef>
          </c:val>
          <c:extLst>
            <c:ext xmlns:c16="http://schemas.microsoft.com/office/drawing/2014/chart" uri="{C3380CC4-5D6E-409C-BE32-E72D297353CC}">
              <c16:uniqueId val="{0000000A-3DC7-422E-91AC-E178858D780E}"/>
            </c:ext>
          </c:extLst>
        </c:ser>
        <c:dLbls>
          <c:showLegendKey val="0"/>
          <c:showVal val="0"/>
          <c:showCatName val="0"/>
          <c:showSerName val="0"/>
          <c:showPercent val="0"/>
          <c:showBubbleSize val="0"/>
          <c:showLeaderLines val="1"/>
        </c:dLbls>
        <c:firstSliceAng val="0"/>
      </c:pieChart>
      <c:doughnutChart>
        <c:varyColors val="1"/>
        <c:ser>
          <c:idx val="0"/>
          <c:order val="0"/>
          <c:tx>
            <c:strRef>
              <c:f>List1!$B$1</c:f>
              <c:strCache>
                <c:ptCount val="1"/>
                <c:pt idx="0">
                  <c:v>projekty</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C-3DC7-422E-91AC-E178858D780E}"/>
              </c:ext>
            </c:extLst>
          </c:dPt>
          <c:dPt>
            <c:idx val="1"/>
            <c:bubble3D val="0"/>
            <c:spPr>
              <a:solidFill>
                <a:srgbClr val="FFFF00"/>
              </a:solidFill>
              <a:ln>
                <a:noFill/>
              </a:ln>
              <a:effectLst/>
            </c:spPr>
            <c:extLst>
              <c:ext xmlns:c16="http://schemas.microsoft.com/office/drawing/2014/chart" uri="{C3380CC4-5D6E-409C-BE32-E72D297353CC}">
                <c16:uniqueId val="{0000000E-3DC7-422E-91AC-E178858D780E}"/>
              </c:ext>
            </c:extLst>
          </c:dPt>
          <c:dPt>
            <c:idx val="2"/>
            <c:bubble3D val="0"/>
            <c:spPr>
              <a:solidFill>
                <a:schemeClr val="accent2"/>
              </a:solidFill>
              <a:ln>
                <a:noFill/>
              </a:ln>
              <a:effectLst/>
            </c:spPr>
            <c:extLst>
              <c:ext xmlns:c16="http://schemas.microsoft.com/office/drawing/2014/chart" uri="{C3380CC4-5D6E-409C-BE32-E72D297353CC}">
                <c16:uniqueId val="{00000010-3DC7-422E-91AC-E178858D780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12-3DC7-422E-91AC-E178858D780E}"/>
              </c:ext>
            </c:extLst>
          </c:dPt>
          <c:dPt>
            <c:idx val="4"/>
            <c:bubble3D val="0"/>
            <c:spPr>
              <a:solidFill>
                <a:schemeClr val="accent1"/>
              </a:solidFill>
              <a:ln>
                <a:noFill/>
              </a:ln>
              <a:effectLst/>
            </c:spPr>
            <c:extLst>
              <c:ext xmlns:c16="http://schemas.microsoft.com/office/drawing/2014/chart" uri="{C3380CC4-5D6E-409C-BE32-E72D297353CC}">
                <c16:uniqueId val="{00000014-3DC7-422E-91AC-E178858D780E}"/>
              </c:ext>
            </c:extLst>
          </c:dPt>
          <c:dLbls>
            <c:dLbl>
              <c:idx val="0"/>
              <c:layout>
                <c:manualLayout>
                  <c:x val="0.38725337363132639"/>
                  <c:y val="0.31087732590127254"/>
                </c:manualLayout>
              </c:layout>
              <c:tx>
                <c:rich>
                  <a:bodyPr/>
                  <a:lstStyle/>
                  <a:p>
                    <a:fld id="{7AD3F2FA-155F-487E-9469-8E2DBF3E26B3}" type="CATEGORYNAME">
                      <a:rPr lang="en-US" b="1"/>
                      <a:pPr/>
                      <a:t>[NÁZEV KATEGORIE]</a:t>
                    </a:fld>
                    <a:r>
                      <a:rPr lang="en-US" b="1"/>
                      <a:t> </a:t>
                    </a:r>
                    <a:br>
                      <a:rPr lang="en-US" b="1"/>
                    </a:br>
                    <a:r>
                      <a:rPr lang="en-US" b="1"/>
                      <a:t>s mírnými</a:t>
                    </a:r>
                    <a:r>
                      <a:rPr lang="en-US" b="1" baseline="0"/>
                      <a:t> nedostatky</a:t>
                    </a:r>
                  </a:p>
                  <a:p>
                    <a:r>
                      <a:rPr lang="en-US" baseline="0"/>
                      <a:t> 4 projekty 375,1 mil. Kč</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C-3DC7-422E-91AC-E178858D780E}"/>
                </c:ext>
              </c:extLst>
            </c:dLbl>
            <c:dLbl>
              <c:idx val="1"/>
              <c:layout/>
              <c:tx>
                <c:rich>
                  <a:bodyPr/>
                  <a:lstStyle/>
                  <a:p>
                    <a:endParaRPr lang="en-US"/>
                  </a:p>
                </c:rich>
              </c:tx>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DC7-422E-91AC-E178858D780E}"/>
                </c:ext>
              </c:extLst>
            </c:dLbl>
            <c:dLbl>
              <c:idx val="2"/>
              <c:layout>
                <c:manualLayout>
                  <c:x val="-0.1477905034597948"/>
                  <c:y val="9.8388216936800429E-2"/>
                </c:manualLayout>
              </c:layout>
              <c:tx>
                <c:rich>
                  <a:bodyPr/>
                  <a:lstStyle/>
                  <a:p>
                    <a:r>
                      <a:rPr lang="en-US" b="1"/>
                      <a:t>Omezeně účelný</a:t>
                    </a:r>
                  </a:p>
                  <a:p>
                    <a:r>
                      <a:rPr lang="en-US" baseline="0"/>
                      <a:t> 2 projekty</a:t>
                    </a:r>
                  </a:p>
                  <a:p>
                    <a:r>
                      <a:rPr lang="en-US" baseline="0"/>
                      <a:t>27 mil. Kč</a:t>
                    </a:r>
                  </a:p>
                </c:rich>
              </c:tx>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DC7-422E-91AC-E178858D780E}"/>
                </c:ext>
              </c:extLst>
            </c:dLbl>
            <c:dLbl>
              <c:idx val="3"/>
              <c:layout>
                <c:manualLayout>
                  <c:x val="-5.8713645642779498E-2"/>
                  <c:y val="-0.22747986398607389"/>
                </c:manualLayout>
              </c:layout>
              <c:tx>
                <c:rich>
                  <a:bodyPr/>
                  <a:lstStyle/>
                  <a:p>
                    <a:endParaRPr lang="en-US" baseline="0"/>
                  </a:p>
                </c:rich>
              </c:tx>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DC7-422E-91AC-E178858D780E}"/>
                </c:ext>
              </c:extLst>
            </c:dLbl>
            <c:dLbl>
              <c:idx val="4"/>
              <c:layout>
                <c:manualLayout>
                  <c:x val="-0.12289562289562292"/>
                  <c:y val="-0.13552615201450335"/>
                </c:manualLayout>
              </c:layout>
              <c:tx>
                <c:rich>
                  <a:bodyPr/>
                  <a:lstStyle/>
                  <a:p>
                    <a:fld id="{7ED68A4E-E648-4752-84E3-98AA5B9EC439}" type="CATEGORYNAME">
                      <a:rPr lang="en-US" b="1"/>
                      <a:pPr/>
                      <a:t>[NÁZEV KATEGORIE]</a:t>
                    </a:fld>
                    <a:r>
                      <a:rPr lang="en-US" b="1"/>
                      <a:t>*</a:t>
                    </a:r>
                    <a:endParaRPr lang="en-US" b="1" baseline="0"/>
                  </a:p>
                  <a:p>
                    <a:r>
                      <a:rPr lang="en-US" baseline="0"/>
                      <a:t>1 projekt</a:t>
                    </a:r>
                  </a:p>
                  <a:p>
                    <a:r>
                      <a:rPr lang="en-US" baseline="0"/>
                      <a:t>7 mil. Kč</a:t>
                    </a:r>
                  </a:p>
                </c:rich>
              </c:tx>
              <c:showLegendKey val="0"/>
              <c:showVal val="1"/>
              <c:showCatName val="1"/>
              <c:showSerName val="0"/>
              <c:showPercent val="0"/>
              <c:showBubbleSize val="0"/>
              <c:extLst>
                <c:ext xmlns:c15="http://schemas.microsoft.com/office/drawing/2012/chart" uri="{CE6537A1-D6FC-4f65-9D91-7224C49458BB}">
                  <c15:layout>
                    <c:manualLayout>
                      <c:w val="0.22085871841777355"/>
                      <c:h val="0.21507445589919816"/>
                    </c:manualLayout>
                  </c15:layout>
                  <c15:dlblFieldTable/>
                  <c15:showDataLabelsRange val="1"/>
                </c:ext>
                <c:ext xmlns:c16="http://schemas.microsoft.com/office/drawing/2014/chart" uri="{C3380CC4-5D6E-409C-BE32-E72D297353CC}">
                  <c16:uniqueId val="{00000014-3DC7-422E-91AC-E178858D78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1"/>
            <c:showSerName val="0"/>
            <c:showPercent val="0"/>
            <c:showBubbleSize val="0"/>
            <c:showLeaderLines val="0"/>
            <c:extLst>
              <c:ext xmlns:c15="http://schemas.microsoft.com/office/drawing/2012/chart" uri="{CE6537A1-D6FC-4f65-9D91-7224C49458BB}">
                <c15:showDataLabelsRange val="1"/>
              </c:ext>
            </c:extLst>
          </c:dLbls>
          <c:cat>
            <c:strRef>
              <c:f>List1!$A$2:$A$6</c:f>
              <c:strCache>
                <c:ptCount val="5"/>
                <c:pt idx="0">
                  <c:v>Účelný</c:v>
                </c:pt>
                <c:pt idx="1">
                  <c:v>Účelný s mírnými nedostatky</c:v>
                </c:pt>
                <c:pt idx="2">
                  <c:v>Omezeně účelný</c:v>
                </c:pt>
                <c:pt idx="3">
                  <c:v>Neúčelný</c:v>
                </c:pt>
                <c:pt idx="4">
                  <c:v>Nehodnoceno</c:v>
                </c:pt>
              </c:strCache>
            </c:strRef>
          </c:cat>
          <c:val>
            <c:numRef>
              <c:f>List1!$B$2:$B$6</c:f>
              <c:numCache>
                <c:formatCode>General</c:formatCode>
                <c:ptCount val="5"/>
                <c:pt idx="0">
                  <c:v>0</c:v>
                </c:pt>
                <c:pt idx="1">
                  <c:v>4</c:v>
                </c:pt>
                <c:pt idx="2">
                  <c:v>2</c:v>
                </c:pt>
                <c:pt idx="3">
                  <c:v>0</c:v>
                </c:pt>
                <c:pt idx="4">
                  <c:v>1</c:v>
                </c:pt>
              </c:numCache>
            </c:numRef>
          </c:val>
          <c:extLst>
            <c:ext xmlns:c15="http://schemas.microsoft.com/office/drawing/2012/chart" uri="{02D57815-91ED-43cb-92C2-25804820EDAC}">
              <c15:datalabelsRange>
                <c15:f>List1!$B$2</c15:f>
                <c15:dlblRangeCache>
                  <c:ptCount val="1"/>
                  <c:pt idx="0">
                    <c:v>0</c:v>
                  </c:pt>
                </c15:dlblRangeCache>
              </c15:datalabelsRange>
            </c:ext>
            <c:ext xmlns:c16="http://schemas.microsoft.com/office/drawing/2014/chart" uri="{C3380CC4-5D6E-409C-BE32-E72D297353CC}">
              <c16:uniqueId val="{00000015-3DC7-422E-91AC-E178858D780E}"/>
            </c:ext>
          </c:extLst>
        </c:ser>
        <c:dLbls>
          <c:showLegendKey val="0"/>
          <c:showVal val="0"/>
          <c:showCatName val="0"/>
          <c:showSerName val="0"/>
          <c:showPercent val="0"/>
          <c:showBubbleSize val="0"/>
          <c:showLeaderLines val="0"/>
        </c:dLbls>
        <c:firstSliceAng val="10"/>
        <c:holeSize val="65"/>
      </c:doughnutChart>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3786811337578"/>
          <c:y val="0.13900695402765376"/>
          <c:w val="0.5544583003679564"/>
          <c:h val="0.79643838334641159"/>
        </c:manualLayout>
      </c:layout>
      <c:pieChart>
        <c:varyColors val="1"/>
        <c:ser>
          <c:idx val="1"/>
          <c:order val="1"/>
          <c:tx>
            <c:strRef>
              <c:f>List1!$C$1</c:f>
              <c:strCache>
                <c:ptCount val="1"/>
                <c:pt idx="0">
                  <c:v>Sloupec1</c:v>
                </c:pt>
              </c:strCache>
            </c:strRef>
          </c:tx>
          <c:dPt>
            <c:idx val="0"/>
            <c:bubble3D val="0"/>
            <c:spPr>
              <a:solidFill>
                <a:schemeClr val="accent1"/>
              </a:solidFill>
              <a:ln>
                <a:noFill/>
              </a:ln>
              <a:effectLst/>
            </c:spPr>
            <c:extLst>
              <c:ext xmlns:c16="http://schemas.microsoft.com/office/drawing/2014/chart" uri="{C3380CC4-5D6E-409C-BE32-E72D297353CC}">
                <c16:uniqueId val="{00000001-7F63-4B77-A649-DE1EA2EFBE2F}"/>
              </c:ext>
            </c:extLst>
          </c:dPt>
          <c:dPt>
            <c:idx val="1"/>
            <c:bubble3D val="0"/>
            <c:spPr>
              <a:solidFill>
                <a:schemeClr val="accent2"/>
              </a:solidFill>
              <a:ln>
                <a:noFill/>
              </a:ln>
              <a:effectLst/>
            </c:spPr>
            <c:extLst>
              <c:ext xmlns:c16="http://schemas.microsoft.com/office/drawing/2014/chart" uri="{C3380CC4-5D6E-409C-BE32-E72D297353CC}">
                <c16:uniqueId val="{00000003-7F63-4B77-A649-DE1EA2EFBE2F}"/>
              </c:ext>
            </c:extLst>
          </c:dPt>
          <c:dPt>
            <c:idx val="2"/>
            <c:bubble3D val="0"/>
            <c:spPr>
              <a:solidFill>
                <a:schemeClr val="accent3"/>
              </a:solidFill>
              <a:ln>
                <a:noFill/>
              </a:ln>
              <a:effectLst/>
            </c:spPr>
            <c:extLst>
              <c:ext xmlns:c16="http://schemas.microsoft.com/office/drawing/2014/chart" uri="{C3380CC4-5D6E-409C-BE32-E72D297353CC}">
                <c16:uniqueId val="{00000005-7F63-4B77-A649-DE1EA2EFBE2F}"/>
              </c:ext>
            </c:extLst>
          </c:dPt>
          <c:dPt>
            <c:idx val="3"/>
            <c:bubble3D val="0"/>
            <c:spPr>
              <a:solidFill>
                <a:schemeClr val="accent4"/>
              </a:solidFill>
              <a:ln>
                <a:noFill/>
              </a:ln>
              <a:effectLst/>
            </c:spPr>
            <c:extLst>
              <c:ext xmlns:c16="http://schemas.microsoft.com/office/drawing/2014/chart" uri="{C3380CC4-5D6E-409C-BE32-E72D297353CC}">
                <c16:uniqueId val="{00000007-7F63-4B77-A649-DE1EA2EFBE2F}"/>
              </c:ext>
            </c:extLst>
          </c:dPt>
          <c:dPt>
            <c:idx val="4"/>
            <c:bubble3D val="0"/>
            <c:spPr>
              <a:solidFill>
                <a:schemeClr val="accent5"/>
              </a:solidFill>
              <a:ln>
                <a:noFill/>
              </a:ln>
              <a:effectLst/>
            </c:spPr>
            <c:extLst>
              <c:ext xmlns:c16="http://schemas.microsoft.com/office/drawing/2014/chart" uri="{C3380CC4-5D6E-409C-BE32-E72D297353CC}">
                <c16:uniqueId val="{00000009-7F63-4B77-A649-DE1EA2EFBE2F}"/>
              </c:ext>
            </c:extLst>
          </c:dPt>
          <c:cat>
            <c:strRef>
              <c:f>List1!$A$2:$A$6</c:f>
              <c:strCache>
                <c:ptCount val="5"/>
                <c:pt idx="0">
                  <c:v>Účelný</c:v>
                </c:pt>
                <c:pt idx="1">
                  <c:v>Účelný s mírnými nedostatky</c:v>
                </c:pt>
                <c:pt idx="2">
                  <c:v>Omezeně účelný</c:v>
                </c:pt>
                <c:pt idx="3">
                  <c:v>Neúčelný</c:v>
                </c:pt>
                <c:pt idx="4">
                  <c:v>Nehodnoceno</c:v>
                </c:pt>
              </c:strCache>
            </c:strRef>
          </c:cat>
          <c:val>
            <c:numRef>
              <c:f>List1!$C$2:$C$6</c:f>
              <c:numCache>
                <c:formatCode>General</c:formatCode>
                <c:ptCount val="5"/>
              </c:numCache>
            </c:numRef>
          </c:val>
          <c:extLst>
            <c:ext xmlns:c16="http://schemas.microsoft.com/office/drawing/2014/chart" uri="{C3380CC4-5D6E-409C-BE32-E72D297353CC}">
              <c16:uniqueId val="{0000000A-7F63-4B77-A649-DE1EA2EFBE2F}"/>
            </c:ext>
          </c:extLst>
        </c:ser>
        <c:dLbls>
          <c:showLegendKey val="0"/>
          <c:showVal val="0"/>
          <c:showCatName val="0"/>
          <c:showSerName val="0"/>
          <c:showPercent val="0"/>
          <c:showBubbleSize val="0"/>
          <c:showLeaderLines val="1"/>
        </c:dLbls>
        <c:firstSliceAng val="0"/>
      </c:pieChart>
      <c:doughnutChart>
        <c:varyColors val="1"/>
        <c:ser>
          <c:idx val="0"/>
          <c:order val="0"/>
          <c:tx>
            <c:strRef>
              <c:f>List1!$B$1</c:f>
              <c:strCache>
                <c:ptCount val="1"/>
                <c:pt idx="0">
                  <c:v>projekty</c:v>
                </c:pt>
              </c:strCache>
            </c:strRef>
          </c:tx>
          <c:spPr>
            <a:solidFill>
              <a:schemeClr val="accent2"/>
            </a:solidFill>
          </c:spPr>
          <c:dPt>
            <c:idx val="0"/>
            <c:bubble3D val="0"/>
            <c:spPr>
              <a:solidFill>
                <a:schemeClr val="accent2"/>
              </a:solidFill>
              <a:ln>
                <a:noFill/>
              </a:ln>
              <a:effectLst/>
            </c:spPr>
            <c:extLst>
              <c:ext xmlns:c16="http://schemas.microsoft.com/office/drawing/2014/chart" uri="{C3380CC4-5D6E-409C-BE32-E72D297353CC}">
                <c16:uniqueId val="{0000000C-7F63-4B77-A649-DE1EA2EFBE2F}"/>
              </c:ext>
            </c:extLst>
          </c:dPt>
          <c:dPt>
            <c:idx val="1"/>
            <c:bubble3D val="0"/>
            <c:spPr>
              <a:solidFill>
                <a:schemeClr val="accent2"/>
              </a:solidFill>
              <a:ln>
                <a:noFill/>
              </a:ln>
              <a:effectLst/>
            </c:spPr>
            <c:extLst>
              <c:ext xmlns:c16="http://schemas.microsoft.com/office/drawing/2014/chart" uri="{C3380CC4-5D6E-409C-BE32-E72D297353CC}">
                <c16:uniqueId val="{0000000E-7F63-4B77-A649-DE1EA2EFBE2F}"/>
              </c:ext>
            </c:extLst>
          </c:dPt>
          <c:dPt>
            <c:idx val="2"/>
            <c:bubble3D val="0"/>
            <c:spPr>
              <a:solidFill>
                <a:schemeClr val="accent2"/>
              </a:solidFill>
              <a:ln>
                <a:noFill/>
              </a:ln>
              <a:effectLst/>
            </c:spPr>
            <c:extLst>
              <c:ext xmlns:c16="http://schemas.microsoft.com/office/drawing/2014/chart" uri="{C3380CC4-5D6E-409C-BE32-E72D297353CC}">
                <c16:uniqueId val="{00000010-7F63-4B77-A649-DE1EA2EFBE2F}"/>
              </c:ext>
            </c:extLst>
          </c:dPt>
          <c:dPt>
            <c:idx val="3"/>
            <c:bubble3D val="0"/>
            <c:spPr>
              <a:solidFill>
                <a:schemeClr val="accent2"/>
              </a:solidFill>
              <a:ln>
                <a:noFill/>
              </a:ln>
              <a:effectLst/>
            </c:spPr>
            <c:extLst>
              <c:ext xmlns:c16="http://schemas.microsoft.com/office/drawing/2014/chart" uri="{C3380CC4-5D6E-409C-BE32-E72D297353CC}">
                <c16:uniqueId val="{00000012-7F63-4B77-A649-DE1EA2EFBE2F}"/>
              </c:ext>
            </c:extLst>
          </c:dPt>
          <c:dPt>
            <c:idx val="4"/>
            <c:bubble3D val="0"/>
            <c:spPr>
              <a:solidFill>
                <a:schemeClr val="accent1"/>
              </a:solidFill>
              <a:ln>
                <a:noFill/>
              </a:ln>
              <a:effectLst/>
            </c:spPr>
            <c:extLst>
              <c:ext xmlns:c16="http://schemas.microsoft.com/office/drawing/2014/chart" uri="{C3380CC4-5D6E-409C-BE32-E72D297353CC}">
                <c16:uniqueId val="{00000014-7F63-4B77-A649-DE1EA2EFBE2F}"/>
              </c:ext>
            </c:extLst>
          </c:dPt>
          <c:dLbls>
            <c:dLbl>
              <c:idx val="0"/>
              <c:delete val="1"/>
              <c:extLst>
                <c:ext xmlns:c15="http://schemas.microsoft.com/office/drawing/2012/chart" uri="{CE6537A1-D6FC-4f65-9D91-7224C49458BB}"/>
                <c:ext xmlns:c16="http://schemas.microsoft.com/office/drawing/2014/chart" uri="{C3380CC4-5D6E-409C-BE32-E72D297353CC}">
                  <c16:uniqueId val="{0000000C-7F63-4B77-A649-DE1EA2EFBE2F}"/>
                </c:ext>
              </c:extLst>
            </c:dLbl>
            <c:dLbl>
              <c:idx val="1"/>
              <c:delete val="1"/>
              <c:extLst>
                <c:ext xmlns:c15="http://schemas.microsoft.com/office/drawing/2012/chart" uri="{CE6537A1-D6FC-4f65-9D91-7224C49458BB}"/>
                <c:ext xmlns:c16="http://schemas.microsoft.com/office/drawing/2014/chart" uri="{C3380CC4-5D6E-409C-BE32-E72D297353CC}">
                  <c16:uniqueId val="{0000000E-7F63-4B77-A649-DE1EA2EFBE2F}"/>
                </c:ext>
              </c:extLst>
            </c:dLbl>
            <c:dLbl>
              <c:idx val="2"/>
              <c:layout>
                <c:manualLayout>
                  <c:x val="0.16197380630451497"/>
                  <c:y val="-6.9955173129132055E-3"/>
                </c:manualLayout>
              </c:layout>
              <c:tx>
                <c:rich>
                  <a:bodyPr/>
                  <a:lstStyle/>
                  <a:p>
                    <a:r>
                      <a:rPr lang="en-US" b="1"/>
                      <a:t>Omezeně efektivní</a:t>
                    </a:r>
                  </a:p>
                  <a:p>
                    <a:r>
                      <a:rPr lang="en-US" b="0"/>
                      <a:t>3 projekty</a:t>
                    </a:r>
                  </a:p>
                  <a:p>
                    <a:r>
                      <a:rPr lang="en-US" baseline="0"/>
                      <a:t> 163 mil. Kč</a:t>
                    </a:r>
                  </a:p>
                </c:rich>
              </c:tx>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7F63-4B77-A649-DE1EA2EFBE2F}"/>
                </c:ext>
              </c:extLst>
            </c:dLbl>
            <c:dLbl>
              <c:idx val="3"/>
              <c:layout>
                <c:manualLayout>
                  <c:x val="-5.8713645642779498E-2"/>
                  <c:y val="-0.22747986398607389"/>
                </c:manualLayout>
              </c:layout>
              <c:tx>
                <c:rich>
                  <a:bodyPr/>
                  <a:lstStyle/>
                  <a:p>
                    <a:endParaRPr lang="en-US" baseline="0"/>
                  </a:p>
                </c:rich>
              </c:tx>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7F63-4B77-A649-DE1EA2EFBE2F}"/>
                </c:ext>
              </c:extLst>
            </c:dLbl>
            <c:dLbl>
              <c:idx val="4"/>
              <c:layout>
                <c:manualLayout>
                  <c:x val="-0.13591373048065963"/>
                  <c:y val="-0.3142203100901047"/>
                </c:manualLayout>
              </c:layout>
              <c:tx>
                <c:rich>
                  <a:bodyPr/>
                  <a:lstStyle/>
                  <a:p>
                    <a:fld id="{7ED68A4E-E648-4752-84E3-98AA5B9EC439}" type="CATEGORYNAME">
                      <a:rPr lang="en-US" b="1"/>
                      <a:pPr/>
                      <a:t>[NÁZEV KATEGORIE]</a:t>
                    </a:fld>
                    <a:r>
                      <a:rPr lang="en-US" b="1"/>
                      <a:t>*</a:t>
                    </a:r>
                    <a:endParaRPr lang="en-US" b="1" baseline="0"/>
                  </a:p>
                  <a:p>
                    <a:r>
                      <a:rPr lang="en-US" baseline="0"/>
                      <a:t>4 projekty</a:t>
                    </a:r>
                  </a:p>
                  <a:p>
                    <a:r>
                      <a:rPr lang="en-US" baseline="0"/>
                      <a:t>246,1 mil. Kč</a:t>
                    </a:r>
                  </a:p>
                </c:rich>
              </c:tx>
              <c:showLegendKey val="0"/>
              <c:showVal val="1"/>
              <c:showCatName val="1"/>
              <c:showSerName val="0"/>
              <c:showPercent val="0"/>
              <c:showBubbleSize val="0"/>
              <c:extLst>
                <c:ext xmlns:c15="http://schemas.microsoft.com/office/drawing/2012/chart" uri="{CE6537A1-D6FC-4f65-9D91-7224C49458BB}">
                  <c15:layout>
                    <c:manualLayout>
                      <c:w val="0.22759272515178028"/>
                      <c:h val="0.21507445589919816"/>
                    </c:manualLayout>
                  </c15:layout>
                  <c15:dlblFieldTable/>
                  <c15:showDataLabelsRange val="1"/>
                </c:ext>
                <c:ext xmlns:c16="http://schemas.microsoft.com/office/drawing/2014/chart" uri="{C3380CC4-5D6E-409C-BE32-E72D297353CC}">
                  <c16:uniqueId val="{00000014-7F63-4B77-A649-DE1EA2EFBE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1"/>
            <c:showCatName val="1"/>
            <c:showSerName val="0"/>
            <c:showPercent val="0"/>
            <c:showBubbleSize val="0"/>
            <c:showLeaderLines val="0"/>
            <c:extLst>
              <c:ext xmlns:c15="http://schemas.microsoft.com/office/drawing/2012/chart" uri="{CE6537A1-D6FC-4f65-9D91-7224C49458BB}">
                <c15:showDataLabelsRange val="1"/>
              </c:ext>
            </c:extLst>
          </c:dLbls>
          <c:cat>
            <c:strRef>
              <c:f>List1!$A$2:$A$6</c:f>
              <c:strCache>
                <c:ptCount val="5"/>
                <c:pt idx="0">
                  <c:v>Účelný</c:v>
                </c:pt>
                <c:pt idx="1">
                  <c:v>Účelný s mírnými nedostatky</c:v>
                </c:pt>
                <c:pt idx="2">
                  <c:v>Omezeně účelný</c:v>
                </c:pt>
                <c:pt idx="3">
                  <c:v>Neúčelný</c:v>
                </c:pt>
                <c:pt idx="4">
                  <c:v>Nehodnoceno</c:v>
                </c:pt>
              </c:strCache>
            </c:strRef>
          </c:cat>
          <c:val>
            <c:numRef>
              <c:f>List1!$B$2:$B$6</c:f>
              <c:numCache>
                <c:formatCode>General</c:formatCode>
                <c:ptCount val="5"/>
                <c:pt idx="0">
                  <c:v>0</c:v>
                </c:pt>
                <c:pt idx="1">
                  <c:v>0</c:v>
                </c:pt>
                <c:pt idx="2">
                  <c:v>3</c:v>
                </c:pt>
                <c:pt idx="3">
                  <c:v>0</c:v>
                </c:pt>
                <c:pt idx="4">
                  <c:v>4</c:v>
                </c:pt>
              </c:numCache>
            </c:numRef>
          </c:val>
          <c:extLst>
            <c:ext xmlns:c15="http://schemas.microsoft.com/office/drawing/2012/chart" uri="{02D57815-91ED-43cb-92C2-25804820EDAC}">
              <c15:datalabelsRange>
                <c15:f>List1!$B$2</c15:f>
                <c15:dlblRangeCache>
                  <c:ptCount val="1"/>
                  <c:pt idx="0">
                    <c:v>0</c:v>
                  </c:pt>
                </c15:dlblRangeCache>
              </c15:datalabelsRange>
            </c:ext>
            <c:ext xmlns:c16="http://schemas.microsoft.com/office/drawing/2014/chart" uri="{C3380CC4-5D6E-409C-BE32-E72D297353CC}">
              <c16:uniqueId val="{00000015-7F63-4B77-A649-DE1EA2EFBE2F}"/>
            </c:ext>
          </c:extLst>
        </c:ser>
        <c:dLbls>
          <c:showLegendKey val="0"/>
          <c:showVal val="0"/>
          <c:showCatName val="0"/>
          <c:showSerName val="0"/>
          <c:showPercent val="0"/>
          <c:showBubbleSize val="0"/>
          <c:showLeaderLines val="0"/>
        </c:dLbls>
        <c:firstSliceAng val="10"/>
        <c:holeSize val="65"/>
      </c:doughnutChart>
      <c:spPr>
        <a:solidFill>
          <a:schemeClr val="lt1"/>
        </a:solidFill>
        <a:ln>
          <a:noFill/>
        </a:ln>
        <a:effectLst/>
      </c:spPr>
    </c:plotArea>
    <c:plotVisOnly val="1"/>
    <c:dispBlanksAs val="gap"/>
    <c:showDLblsOverMax val="0"/>
  </c:chart>
  <c:spPr>
    <a:solidFill>
      <a:schemeClr val="lt1"/>
    </a:solidFill>
    <a:ln w="9525">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00361493274873"/>
          <c:y val="0.20856734200359786"/>
          <c:w val="0.40689875304048534"/>
          <c:h val="0.6240638178654635"/>
        </c:manualLayout>
      </c:layout>
      <c:doughnutChart>
        <c:varyColors val="1"/>
        <c:ser>
          <c:idx val="0"/>
          <c:order val="0"/>
          <c:dPt>
            <c:idx val="0"/>
            <c:bubble3D val="0"/>
            <c:spPr>
              <a:solidFill>
                <a:schemeClr val="accent6"/>
              </a:solidFill>
              <a:ln>
                <a:noFill/>
              </a:ln>
              <a:effectLst/>
            </c:spPr>
            <c:extLst>
              <c:ext xmlns:c16="http://schemas.microsoft.com/office/drawing/2014/chart" uri="{C3380CC4-5D6E-409C-BE32-E72D297353CC}">
                <c16:uniqueId val="{00000001-B278-4C84-BA8E-603C91B0D144}"/>
              </c:ext>
            </c:extLst>
          </c:dPt>
          <c:dPt>
            <c:idx val="1"/>
            <c:bubble3D val="0"/>
            <c:spPr>
              <a:solidFill>
                <a:srgbClr val="FFFF00"/>
              </a:solidFill>
              <a:ln>
                <a:noFill/>
              </a:ln>
              <a:effectLst/>
            </c:spPr>
            <c:extLst>
              <c:ext xmlns:c16="http://schemas.microsoft.com/office/drawing/2014/chart" uri="{C3380CC4-5D6E-409C-BE32-E72D297353CC}">
                <c16:uniqueId val="{00000003-B278-4C84-BA8E-603C91B0D144}"/>
              </c:ext>
            </c:extLst>
          </c:dPt>
          <c:dPt>
            <c:idx val="2"/>
            <c:bubble3D val="0"/>
            <c:spPr>
              <a:solidFill>
                <a:schemeClr val="accent2"/>
              </a:solidFill>
              <a:ln>
                <a:noFill/>
              </a:ln>
              <a:effectLst/>
            </c:spPr>
            <c:extLst>
              <c:ext xmlns:c16="http://schemas.microsoft.com/office/drawing/2014/chart" uri="{C3380CC4-5D6E-409C-BE32-E72D297353CC}">
                <c16:uniqueId val="{00000005-B278-4C84-BA8E-603C91B0D144}"/>
              </c:ext>
            </c:extLst>
          </c:dPt>
          <c:dPt>
            <c:idx val="3"/>
            <c:bubble3D val="0"/>
            <c:spPr>
              <a:solidFill>
                <a:schemeClr val="accent1"/>
              </a:solidFill>
              <a:ln>
                <a:noFill/>
              </a:ln>
              <a:effectLst/>
            </c:spPr>
            <c:extLst>
              <c:ext xmlns:c16="http://schemas.microsoft.com/office/drawing/2014/chart" uri="{C3380CC4-5D6E-409C-BE32-E72D297353CC}">
                <c16:uniqueId val="{00000007-B278-4C84-BA8E-603C91B0D144}"/>
              </c:ext>
            </c:extLst>
          </c:dPt>
          <c:dLbls>
            <c:dLbl>
              <c:idx val="0"/>
              <c:layout>
                <c:manualLayout>
                  <c:x val="7.448107448107448E-2"/>
                  <c:y val="-0.12359550561797754"/>
                </c:manualLayout>
              </c:layout>
              <c:tx>
                <c:rich>
                  <a:bodyPr/>
                  <a:lstStyle/>
                  <a:p>
                    <a:fld id="{FA48EBE1-3C91-4551-BCA9-FE3A15079CCF}" type="CATEGORYNAME">
                      <a:rPr lang="en-US" b="1"/>
                      <a:pPr/>
                      <a:t>[NÁZEV KATEGORIE]</a:t>
                    </a:fld>
                    <a:endParaRPr lang="en-US" b="1"/>
                  </a:p>
                  <a:p>
                    <a:fld id="{D9FCBE58-C71C-45D1-89F9-3328E137461B}" type="VALUE">
                      <a:rPr lang="en-US"/>
                      <a:pPr/>
                      <a:t>[HODNOTA]</a:t>
                    </a:fld>
                    <a:r>
                      <a:rPr lang="en-US"/>
                      <a:t> projekty</a:t>
                    </a:r>
                  </a:p>
                  <a:p>
                    <a:r>
                      <a:rPr lang="en-US"/>
                      <a:t>21 mil. Kč</a:t>
                    </a:r>
                  </a:p>
                </c:rich>
              </c:tx>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278-4C84-BA8E-603C91B0D144}"/>
                </c:ext>
              </c:extLst>
            </c:dLbl>
            <c:dLbl>
              <c:idx val="1"/>
              <c:layout>
                <c:manualLayout>
                  <c:x val="0.23443215063370318"/>
                  <c:y val="-1.2927589491542707E-2"/>
                </c:manualLayout>
              </c:layout>
              <c:tx>
                <c:rich>
                  <a:bodyPr/>
                  <a:lstStyle/>
                  <a:p>
                    <a:fld id="{A512B38B-AE6A-42BC-B08C-890725BD9E80}" type="CATEGORYNAME">
                      <a:rPr lang="en-US" b="1"/>
                      <a:pPr/>
                      <a:t>[NÁZEV KATEGORIE]</a:t>
                    </a:fld>
                    <a:endParaRPr lang="en-US" b="1" baseline="0"/>
                  </a:p>
                  <a:p>
                    <a:fld id="{689376FE-C290-4423-B5D1-A65BE5752800}" type="VALUE">
                      <a:rPr lang="en-US"/>
                      <a:pPr/>
                      <a:t>[HODNOTA]</a:t>
                    </a:fld>
                    <a:r>
                      <a:rPr lang="en-US"/>
                      <a:t> projektů</a:t>
                    </a:r>
                  </a:p>
                  <a:p>
                    <a:r>
                      <a:rPr lang="en-US"/>
                      <a:t>249,1 mil. Kč</a:t>
                    </a:r>
                  </a:p>
                </c:rich>
              </c:tx>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278-4C84-BA8E-603C91B0D144}"/>
                </c:ext>
              </c:extLst>
            </c:dLbl>
            <c:dLbl>
              <c:idx val="2"/>
              <c:layout>
                <c:manualLayout>
                  <c:x val="-0.1391941391941392"/>
                  <c:y val="-4.4943820224719135E-2"/>
                </c:manualLayout>
              </c:layout>
              <c:tx>
                <c:rich>
                  <a:bodyPr/>
                  <a:lstStyle/>
                  <a:p>
                    <a:fld id="{E8981771-C840-477E-A428-9DD66C375C8C}" type="CATEGORYNAME">
                      <a:rPr lang="en-US" b="1"/>
                      <a:pPr/>
                      <a:t>[NÁZEV KATEGORIE]</a:t>
                    </a:fld>
                    <a:endParaRPr lang="en-US" b="1" baseline="0"/>
                  </a:p>
                  <a:p>
                    <a:fld id="{65F11516-1909-44B9-B64A-1B085AF58490}" type="VALUE">
                      <a:rPr lang="en-US"/>
                      <a:pPr/>
                      <a:t>[HODNOTA]</a:t>
                    </a:fld>
                    <a:r>
                      <a:rPr lang="en-US"/>
                      <a:t> projekty</a:t>
                    </a:r>
                  </a:p>
                  <a:p>
                    <a:r>
                      <a:rPr lang="en-US"/>
                      <a:t>158,2 mil. Kč</a:t>
                    </a:r>
                  </a:p>
                </c:rich>
              </c:tx>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278-4C84-BA8E-603C91B0D144}"/>
                </c:ext>
              </c:extLst>
            </c:dLbl>
            <c:dLbl>
              <c:idx val="3"/>
              <c:layout>
                <c:manualLayout>
                  <c:x val="-0.10067017682860319"/>
                  <c:y val="-0.1293647251339446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fld id="{70B76F04-C656-4E6F-A963-8BF0D9EAA0DF}" type="CATEGORYNAME">
                      <a:rPr lang="en-US" b="1"/>
                      <a:pPr>
                        <a:defRPr/>
                      </a:pPr>
                      <a:t>[NÁZEV KATEGORIE]</a:t>
                    </a:fld>
                    <a:r>
                      <a:rPr lang="en-US" b="1"/>
                      <a:t>*</a:t>
                    </a:r>
                    <a:endParaRPr lang="en-US" b="1" baseline="0"/>
                  </a:p>
                  <a:p>
                    <a:pPr>
                      <a:defRPr/>
                    </a:pPr>
                    <a:fld id="{4AD6A0E5-6A8D-47FA-93C5-CF590FF10311}" type="VALUE">
                      <a:rPr lang="en-US"/>
                      <a:pPr>
                        <a:defRPr/>
                      </a:pPr>
                      <a:t>[HODNOTA]</a:t>
                    </a:fld>
                    <a:r>
                      <a:rPr lang="en-US"/>
                      <a:t> projekty</a:t>
                    </a:r>
                  </a:p>
                  <a:p>
                    <a:pPr>
                      <a:defRPr/>
                    </a:pPr>
                    <a:r>
                      <a:rPr lang="en-US"/>
                      <a:t>14,9 mil. Kč</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16995116482053407"/>
                      <c:h val="0.17761231886100134"/>
                    </c:manualLayout>
                  </c15:layout>
                  <c15:dlblFieldTable/>
                  <c15:showDataLabelsRange val="0"/>
                </c:ext>
                <c:ext xmlns:c16="http://schemas.microsoft.com/office/drawing/2014/chart" uri="{C3380CC4-5D6E-409C-BE32-E72D297353CC}">
                  <c16:uniqueId val="{00000007-B278-4C84-BA8E-603C91B0D1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'[KZ 20-10_část 4 - AMIF + IIP_tabulky, grafy.xlsx]AMIF'!$A$24:$A$27</c:f>
              <c:strCache>
                <c:ptCount val="4"/>
                <c:pt idx="0">
                  <c:v>Účelný</c:v>
                </c:pt>
                <c:pt idx="1">
                  <c:v>Účelný s mírnými nedostatky</c:v>
                </c:pt>
                <c:pt idx="2">
                  <c:v>Omezeně účelný</c:v>
                </c:pt>
                <c:pt idx="3">
                  <c:v>Nehodnoceno</c:v>
                </c:pt>
              </c:strCache>
            </c:strRef>
          </c:cat>
          <c:val>
            <c:numRef>
              <c:f>'[KZ 20-10_část 4 - AMIF + IIP_tabulky, grafy.xlsx]AMIF'!$B$24:$B$27</c:f>
              <c:numCache>
                <c:formatCode>0</c:formatCode>
                <c:ptCount val="4"/>
                <c:pt idx="0">
                  <c:v>3</c:v>
                </c:pt>
                <c:pt idx="1">
                  <c:v>12</c:v>
                </c:pt>
                <c:pt idx="2">
                  <c:v>3</c:v>
                </c:pt>
                <c:pt idx="3">
                  <c:v>2</c:v>
                </c:pt>
              </c:numCache>
            </c:numRef>
          </c:val>
          <c:extLst>
            <c:ext xmlns:c16="http://schemas.microsoft.com/office/drawing/2014/chart" uri="{C3380CC4-5D6E-409C-BE32-E72D297353CC}">
              <c16:uniqueId val="{00000008-B278-4C84-BA8E-603C91B0D144}"/>
            </c:ext>
          </c:extLst>
        </c:ser>
        <c:dLbls>
          <c:showLegendKey val="0"/>
          <c:showVal val="1"/>
          <c:showCatName val="0"/>
          <c:showSerName val="0"/>
          <c:showPercent val="0"/>
          <c:showBubbleSize val="0"/>
          <c:showLeaderLines val="0"/>
        </c:dLbls>
        <c:firstSliceAng val="0"/>
        <c:holeSize val="75"/>
        <c:extLst>
          <c:ext xmlns:c15="http://schemas.microsoft.com/office/drawing/2012/chart" uri="{02D57815-91ED-43cb-92C2-25804820EDAC}">
            <c15:filteredPieSeries>
              <c15: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A-B278-4C84-BA8E-603C91B0D14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C-B278-4C84-BA8E-603C91B0D14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E-B278-4C84-BA8E-603C91B0D14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10-B278-4C84-BA8E-603C91B0D1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uri="{CE6537A1-D6FC-4f65-9D91-7224C49458BB}"/>
                  </c:extLst>
                </c:dLbls>
                <c:val>
                  <c:numRef>
                    <c:extLst>
                      <c:ext uri="{02D57815-91ED-43cb-92C2-25804820EDAC}">
                        <c15:formulaRef>
                          <c15:sqref>'[KZ 20-10_část 4 - AMIF + IIP_tabulky, grafy.xlsx]AMIF'!$C$24:$C$27</c15:sqref>
                        </c15:formulaRef>
                      </c:ext>
                    </c:extLst>
                    <c:numCache>
                      <c:formatCode>#\ ##0.00\ "Kč"</c:formatCode>
                      <c:ptCount val="4"/>
                      <c:pt idx="0">
                        <c:v>13926781.48</c:v>
                      </c:pt>
                      <c:pt idx="1">
                        <c:v>214752077.62</c:v>
                      </c:pt>
                      <c:pt idx="2">
                        <c:v>59001602</c:v>
                      </c:pt>
                      <c:pt idx="3">
                        <c:v>1459922.37</c:v>
                      </c:pt>
                    </c:numCache>
                  </c:numRef>
                </c:val>
                <c:extLst>
                  <c:ext xmlns:c16="http://schemas.microsoft.com/office/drawing/2014/chart" uri="{C3380CC4-5D6E-409C-BE32-E72D297353CC}">
                    <c16:uniqueId val="{00000011-B278-4C84-BA8E-603C91B0D144}"/>
                  </c:ext>
                </c:extLst>
              </c15:ser>
            </c15:filteredPieSeries>
          </c:ext>
        </c:extLst>
      </c:doughnutChart>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317553101568398"/>
          <c:y val="0.21475965821844606"/>
          <c:w val="0.38485157249179464"/>
          <c:h val="0.59134494581712327"/>
        </c:manualLayout>
      </c:layout>
      <c:doughnutChart>
        <c:varyColors val="1"/>
        <c:ser>
          <c:idx val="0"/>
          <c:order val="0"/>
          <c:dPt>
            <c:idx val="0"/>
            <c:bubble3D val="0"/>
            <c:spPr>
              <a:solidFill>
                <a:schemeClr val="accent6"/>
              </a:solidFill>
              <a:ln>
                <a:noFill/>
              </a:ln>
              <a:effectLst/>
            </c:spPr>
            <c:extLst>
              <c:ext xmlns:c16="http://schemas.microsoft.com/office/drawing/2014/chart" uri="{C3380CC4-5D6E-409C-BE32-E72D297353CC}">
                <c16:uniqueId val="{00000001-1D86-4E7C-BAED-CBB95264BE52}"/>
              </c:ext>
            </c:extLst>
          </c:dPt>
          <c:dPt>
            <c:idx val="1"/>
            <c:bubble3D val="0"/>
            <c:spPr>
              <a:solidFill>
                <a:srgbClr val="FFFF00"/>
              </a:solidFill>
              <a:ln>
                <a:noFill/>
              </a:ln>
              <a:effectLst/>
            </c:spPr>
            <c:extLst>
              <c:ext xmlns:c16="http://schemas.microsoft.com/office/drawing/2014/chart" uri="{C3380CC4-5D6E-409C-BE32-E72D297353CC}">
                <c16:uniqueId val="{00000003-1D86-4E7C-BAED-CBB95264BE52}"/>
              </c:ext>
            </c:extLst>
          </c:dPt>
          <c:dPt>
            <c:idx val="2"/>
            <c:bubble3D val="0"/>
            <c:spPr>
              <a:solidFill>
                <a:schemeClr val="accent2"/>
              </a:solidFill>
              <a:ln>
                <a:noFill/>
              </a:ln>
              <a:effectLst/>
            </c:spPr>
            <c:extLst>
              <c:ext xmlns:c16="http://schemas.microsoft.com/office/drawing/2014/chart" uri="{C3380CC4-5D6E-409C-BE32-E72D297353CC}">
                <c16:uniqueId val="{00000005-1D86-4E7C-BAED-CBB95264BE52}"/>
              </c:ext>
            </c:extLst>
          </c:dPt>
          <c:dPt>
            <c:idx val="3"/>
            <c:bubble3D val="0"/>
            <c:spPr>
              <a:solidFill>
                <a:schemeClr val="accent1"/>
              </a:solidFill>
              <a:ln>
                <a:noFill/>
              </a:ln>
              <a:effectLst/>
            </c:spPr>
            <c:extLst>
              <c:ext xmlns:c16="http://schemas.microsoft.com/office/drawing/2014/chart" uri="{C3380CC4-5D6E-409C-BE32-E72D297353CC}">
                <c16:uniqueId val="{00000007-1D86-4E7C-BAED-CBB95264BE52}"/>
              </c:ext>
            </c:extLst>
          </c:dPt>
          <c:dLbls>
            <c:dLbl>
              <c:idx val="0"/>
              <c:layout>
                <c:manualLayout>
                  <c:x val="8.4984559621072833E-2"/>
                  <c:y val="-0.1384391259490587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40964F76-1E57-45C9-9336-AA347EBDB187}" type="CATEGORYNAME">
                      <a:rPr lang="en-US" b="1"/>
                      <a:pPr>
                        <a:defRPr>
                          <a:solidFill>
                            <a:schemeClr val="dk2">
                              <a:lumMod val="75000"/>
                            </a:schemeClr>
                          </a:solidFill>
                        </a:defRPr>
                      </a:pPr>
                      <a:t>[NÁZEV KATEGORIE]</a:t>
                    </a:fld>
                    <a:endParaRPr lang="en-US" b="1"/>
                  </a:p>
                  <a:p>
                    <a:pPr>
                      <a:defRPr>
                        <a:solidFill>
                          <a:schemeClr val="dk2">
                            <a:lumMod val="75000"/>
                          </a:schemeClr>
                        </a:solidFill>
                      </a:defRPr>
                    </a:pPr>
                    <a:fld id="{00CA18C8-0BA2-4D8B-B0DB-E2399C34A80D}" type="VALUE">
                      <a:rPr lang="en-US"/>
                      <a:pPr>
                        <a:defRPr>
                          <a:solidFill>
                            <a:schemeClr val="dk2">
                              <a:lumMod val="75000"/>
                            </a:schemeClr>
                          </a:solidFill>
                        </a:defRPr>
                      </a:pPr>
                      <a:t>[HODNOTA]</a:t>
                    </a:fld>
                    <a:r>
                      <a:rPr lang="en-US"/>
                      <a:t> projekt</a:t>
                    </a:r>
                  </a:p>
                  <a:p>
                    <a:pPr>
                      <a:defRPr>
                        <a:solidFill>
                          <a:schemeClr val="dk2">
                            <a:lumMod val="75000"/>
                          </a:schemeClr>
                        </a:solidFill>
                      </a:defRPr>
                    </a:pPr>
                    <a:r>
                      <a:rPr lang="en-US"/>
                      <a:t>11 mil. Kč</a:t>
                    </a:r>
                  </a:p>
                </c:rich>
              </c:tx>
              <c:numFmt formatCode="General" sourceLinked="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18310535892974705"/>
                      <c:h val="0.15523379965853784"/>
                    </c:manualLayout>
                  </c15:layout>
                  <c15:dlblFieldTable/>
                  <c15:showDataLabelsRange val="1"/>
                </c:ext>
                <c:ext xmlns:c16="http://schemas.microsoft.com/office/drawing/2014/chart" uri="{C3380CC4-5D6E-409C-BE32-E72D297353CC}">
                  <c16:uniqueId val="{00000001-1D86-4E7C-BAED-CBB95264BE52}"/>
                </c:ext>
              </c:extLst>
            </c:dLbl>
            <c:dLbl>
              <c:idx val="1"/>
              <c:layout>
                <c:manualLayout>
                  <c:x val="0.17786531930074415"/>
                  <c:y val="-2.611758553677868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F7F83EF9-9955-44EB-B666-731CECFF8FBA}" type="CATEGORYNAME">
                      <a:rPr lang="en-US" b="1"/>
                      <a:pPr>
                        <a:defRPr>
                          <a:solidFill>
                            <a:schemeClr val="dk2">
                              <a:lumMod val="75000"/>
                            </a:schemeClr>
                          </a:solidFill>
                        </a:defRPr>
                      </a:pPr>
                      <a:t>[NÁZEV KATEGORIE]</a:t>
                    </a:fld>
                    <a:endParaRPr lang="en-US" b="1" baseline="0"/>
                  </a:p>
                  <a:p>
                    <a:pPr>
                      <a:defRPr>
                        <a:solidFill>
                          <a:schemeClr val="dk2">
                            <a:lumMod val="75000"/>
                          </a:schemeClr>
                        </a:solidFill>
                      </a:defRPr>
                    </a:pPr>
                    <a:fld id="{AF83B290-3785-41FE-8C20-81D7E2700C76}" type="VALUE">
                      <a:rPr lang="en-US"/>
                      <a:pPr>
                        <a:defRPr>
                          <a:solidFill>
                            <a:schemeClr val="dk2">
                              <a:lumMod val="75000"/>
                            </a:schemeClr>
                          </a:solidFill>
                        </a:defRPr>
                      </a:pPr>
                      <a:t>[HODNOTA]</a:t>
                    </a:fld>
                    <a:r>
                      <a:rPr lang="en-US"/>
                      <a:t> projektů</a:t>
                    </a:r>
                  </a:p>
                  <a:p>
                    <a:pPr>
                      <a:defRPr>
                        <a:solidFill>
                          <a:schemeClr val="dk2">
                            <a:lumMod val="75000"/>
                          </a:schemeClr>
                        </a:solidFill>
                      </a:defRPr>
                    </a:pPr>
                    <a:r>
                      <a:rPr lang="en-US"/>
                      <a:t>188,3 mil. Kč</a:t>
                    </a:r>
                  </a:p>
                </c:rich>
              </c:tx>
              <c:numFmt formatCode="General" sourceLinked="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24329417150633209"/>
                      <c:h val="0.23155466527441851"/>
                    </c:manualLayout>
                  </c15:layout>
                  <c15:dlblFieldTable/>
                  <c15:showDataLabelsRange val="0"/>
                </c:ext>
                <c:ext xmlns:c16="http://schemas.microsoft.com/office/drawing/2014/chart" uri="{C3380CC4-5D6E-409C-BE32-E72D297353CC}">
                  <c16:uniqueId val="{00000003-1D86-4E7C-BAED-CBB95264BE52}"/>
                </c:ext>
              </c:extLst>
            </c:dLbl>
            <c:dLbl>
              <c:idx val="2"/>
              <c:layout>
                <c:manualLayout>
                  <c:x val="-0.12865484426794963"/>
                  <c:y val="0.13325609351759743"/>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3CE0B09E-CB17-42A5-9C80-7680BC230398}" type="CATEGORYNAME">
                      <a:rPr lang="en-US" b="1"/>
                      <a:pPr>
                        <a:defRPr>
                          <a:solidFill>
                            <a:schemeClr val="dk2">
                              <a:lumMod val="75000"/>
                            </a:schemeClr>
                          </a:solidFill>
                        </a:defRPr>
                      </a:pPr>
                      <a:t>[NÁZEV KATEGORIE]</a:t>
                    </a:fld>
                    <a:endParaRPr lang="en-US" b="1" baseline="0"/>
                  </a:p>
                  <a:p>
                    <a:pPr>
                      <a:defRPr>
                        <a:solidFill>
                          <a:schemeClr val="dk2">
                            <a:lumMod val="75000"/>
                          </a:schemeClr>
                        </a:solidFill>
                      </a:defRPr>
                    </a:pPr>
                    <a:fld id="{B81BFC02-540C-4CA0-A37D-F42C6FF2C608}" type="VALUE">
                      <a:rPr lang="en-US"/>
                      <a:pPr>
                        <a:defRPr>
                          <a:solidFill>
                            <a:schemeClr val="dk2">
                              <a:lumMod val="75000"/>
                            </a:schemeClr>
                          </a:solidFill>
                        </a:defRPr>
                      </a:pPr>
                      <a:t>[HODNOTA]</a:t>
                    </a:fld>
                    <a:r>
                      <a:rPr lang="en-US"/>
                      <a:t> projekty</a:t>
                    </a:r>
                  </a:p>
                  <a:p>
                    <a:pPr>
                      <a:defRPr>
                        <a:solidFill>
                          <a:schemeClr val="dk2">
                            <a:lumMod val="75000"/>
                          </a:schemeClr>
                        </a:solidFill>
                      </a:defRPr>
                    </a:pPr>
                    <a:r>
                      <a:rPr lang="en-US"/>
                      <a:t>103,1 mil. Kč</a:t>
                    </a:r>
                  </a:p>
                </c:rich>
              </c:tx>
              <c:numFmt formatCode="General" sourceLinked="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20796515650905686"/>
                      <c:h val="0.20900166572547849"/>
                    </c:manualLayout>
                  </c15:layout>
                  <c15:dlblFieldTable/>
                  <c15:showDataLabelsRange val="0"/>
                </c:ext>
                <c:ext xmlns:c16="http://schemas.microsoft.com/office/drawing/2014/chart" uri="{C3380CC4-5D6E-409C-BE32-E72D297353CC}">
                  <c16:uniqueId val="{00000005-1D86-4E7C-BAED-CBB95264BE52}"/>
                </c:ext>
              </c:extLst>
            </c:dLbl>
            <c:dLbl>
              <c:idx val="3"/>
              <c:layout>
                <c:manualLayout>
                  <c:x val="-0.11892094798991572"/>
                  <c:y val="-0.1286026261537350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B9464F2C-2317-4670-822D-E2EF5513A5E5}" type="CATEGORYNAME">
                      <a:rPr lang="en-US" b="1"/>
                      <a:pPr>
                        <a:defRPr>
                          <a:solidFill>
                            <a:schemeClr val="dk2">
                              <a:lumMod val="75000"/>
                            </a:schemeClr>
                          </a:solidFill>
                        </a:defRPr>
                      </a:pPr>
                      <a:t>[NÁZEV KATEGORIE]</a:t>
                    </a:fld>
                    <a:r>
                      <a:rPr lang="en-US" b="1"/>
                      <a:t>*</a:t>
                    </a:r>
                    <a:endParaRPr lang="en-US" b="1" baseline="0"/>
                  </a:p>
                  <a:p>
                    <a:pPr>
                      <a:defRPr>
                        <a:solidFill>
                          <a:schemeClr val="dk2">
                            <a:lumMod val="75000"/>
                          </a:schemeClr>
                        </a:solidFill>
                      </a:defRPr>
                    </a:pPr>
                    <a:fld id="{680B6E2B-C207-44A1-8316-3E08E6EC640D}" type="VALUE">
                      <a:rPr lang="en-US"/>
                      <a:pPr>
                        <a:defRPr>
                          <a:solidFill>
                            <a:schemeClr val="dk2">
                              <a:lumMod val="75000"/>
                            </a:schemeClr>
                          </a:solidFill>
                        </a:defRPr>
                      </a:pPr>
                      <a:t>[HODNOTA]</a:t>
                    </a:fld>
                    <a:r>
                      <a:rPr lang="en-US"/>
                      <a:t> projektů</a:t>
                    </a:r>
                  </a:p>
                  <a:p>
                    <a:pPr>
                      <a:defRPr>
                        <a:solidFill>
                          <a:schemeClr val="dk2">
                            <a:lumMod val="75000"/>
                          </a:schemeClr>
                        </a:solidFill>
                      </a:defRPr>
                    </a:pPr>
                    <a:r>
                      <a:rPr lang="en-US"/>
                      <a:t>140,8 mil. Kč</a:t>
                    </a:r>
                  </a:p>
                </c:rich>
              </c:tx>
              <c:numFmt formatCode="General" sourceLinked="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17268843194840675"/>
                      <c:h val="0.20280296492031866"/>
                    </c:manualLayout>
                  </c15:layout>
                  <c15:dlblFieldTable/>
                  <c15:showDataLabelsRange val="0"/>
                </c:ext>
                <c:ext xmlns:c16="http://schemas.microsoft.com/office/drawing/2014/chart" uri="{C3380CC4-5D6E-409C-BE32-E72D297353CC}">
                  <c16:uniqueId val="{00000007-1D86-4E7C-BAED-CBB95264BE52}"/>
                </c:ext>
              </c:extLst>
            </c:dLbl>
            <c:numFmt formatCode="General" sourceLinked="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cs-CZ"/>
              </a:p>
            </c:txPr>
            <c:showLegendKey val="0"/>
            <c:showVal val="1"/>
            <c:showCatName val="1"/>
            <c:showSerName val="0"/>
            <c:showPercent val="0"/>
            <c:showBubbleSize val="0"/>
            <c:showLeaderLines val="0"/>
            <c:extLst>
              <c:ext xmlns:c15="http://schemas.microsoft.com/office/drawing/2012/chart" uri="{CE6537A1-D6FC-4f65-9D91-7224C49458BB}">
                <c15:showDataLabelsRange val="1"/>
              </c:ext>
            </c:extLst>
          </c:dLbls>
          <c:cat>
            <c:strRef>
              <c:f>'[KZ 20-10_část 4 - AMIF + IIP_tabulky, grafy.xlsx]AMIF'!$D$24:$D$27</c:f>
              <c:strCache>
                <c:ptCount val="4"/>
                <c:pt idx="0">
                  <c:v>Efektivní</c:v>
                </c:pt>
                <c:pt idx="1">
                  <c:v>Efektivní s mírnými nedostatky</c:v>
                </c:pt>
                <c:pt idx="2">
                  <c:v>Omezeně efektivní</c:v>
                </c:pt>
                <c:pt idx="3">
                  <c:v>Nehodnoceno</c:v>
                </c:pt>
              </c:strCache>
            </c:strRef>
          </c:cat>
          <c:val>
            <c:numRef>
              <c:f>'[KZ 20-10_část 4 - AMIF + IIP_tabulky, grafy.xlsx]AMIF'!$E$24:$E$27</c:f>
              <c:numCache>
                <c:formatCode>General</c:formatCode>
                <c:ptCount val="4"/>
                <c:pt idx="0">
                  <c:v>1</c:v>
                </c:pt>
                <c:pt idx="1">
                  <c:v>9</c:v>
                </c:pt>
                <c:pt idx="2">
                  <c:v>4</c:v>
                </c:pt>
                <c:pt idx="3">
                  <c:v>6</c:v>
                </c:pt>
              </c:numCache>
            </c:numRef>
          </c:val>
          <c:extLst>
            <c:ext xmlns:c15="http://schemas.microsoft.com/office/drawing/2012/chart" uri="{02D57815-91ED-43cb-92C2-25804820EDAC}">
              <c15:datalabelsRange>
                <c15:f>'[KZ 20-10_část 4 - AMIF + IIP_tabulky, grafy.xlsx]AMIF'!$F$24:$F$27</c15:f>
                <c15:dlblRangeCache>
                  <c:ptCount val="4"/>
                  <c:pt idx="0">
                    <c:v>9 828 391,00 Kč</c:v>
                  </c:pt>
                  <c:pt idx="1">
                    <c:v>167 068 428,82 Kč</c:v>
                  </c:pt>
                  <c:pt idx="2">
                    <c:v>57 030 217,37 Kč</c:v>
                  </c:pt>
                  <c:pt idx="3">
                    <c:v>55 213 346,28 Kč</c:v>
                  </c:pt>
                </c15:dlblRangeCache>
              </c15:datalabelsRange>
            </c:ext>
            <c:ext xmlns:c16="http://schemas.microsoft.com/office/drawing/2014/chart" uri="{C3380CC4-5D6E-409C-BE32-E72D297353CC}">
              <c16:uniqueId val="{00000008-1D86-4E7C-BAED-CBB95264BE52}"/>
            </c:ext>
          </c:extLst>
        </c:ser>
        <c:dLbls>
          <c:showLegendKey val="0"/>
          <c:showVal val="1"/>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09568280709095"/>
          <c:y val="0.21692536236031779"/>
          <c:w val="0.41043782317907934"/>
          <c:h val="0.6979759781793442"/>
        </c:manualLayout>
      </c:layout>
      <c:doughnutChart>
        <c:varyColors val="1"/>
        <c:ser>
          <c:idx val="0"/>
          <c:order val="0"/>
          <c:dPt>
            <c:idx val="0"/>
            <c:bubble3D val="0"/>
            <c:spPr>
              <a:solidFill>
                <a:schemeClr val="accent6"/>
              </a:solidFill>
              <a:ln>
                <a:noFill/>
              </a:ln>
              <a:effectLst/>
            </c:spPr>
            <c:extLst>
              <c:ext xmlns:c16="http://schemas.microsoft.com/office/drawing/2014/chart" uri="{C3380CC4-5D6E-409C-BE32-E72D297353CC}">
                <c16:uniqueId val="{00000001-1747-42D0-AFF5-C1887EEB1895}"/>
              </c:ext>
            </c:extLst>
          </c:dPt>
          <c:dPt>
            <c:idx val="1"/>
            <c:bubble3D val="0"/>
            <c:spPr>
              <a:solidFill>
                <a:srgbClr val="FFFF00"/>
              </a:solidFill>
              <a:ln>
                <a:noFill/>
              </a:ln>
              <a:effectLst/>
            </c:spPr>
            <c:extLst>
              <c:ext xmlns:c16="http://schemas.microsoft.com/office/drawing/2014/chart" uri="{C3380CC4-5D6E-409C-BE32-E72D297353CC}">
                <c16:uniqueId val="{00000003-1747-42D0-AFF5-C1887EEB1895}"/>
              </c:ext>
            </c:extLst>
          </c:dPt>
          <c:dPt>
            <c:idx val="2"/>
            <c:bubble3D val="0"/>
            <c:spPr>
              <a:solidFill>
                <a:schemeClr val="accent2"/>
              </a:solidFill>
              <a:ln>
                <a:noFill/>
              </a:ln>
              <a:effectLst/>
            </c:spPr>
            <c:extLst>
              <c:ext xmlns:c16="http://schemas.microsoft.com/office/drawing/2014/chart" uri="{C3380CC4-5D6E-409C-BE32-E72D297353CC}">
                <c16:uniqueId val="{00000005-1747-42D0-AFF5-C1887EEB1895}"/>
              </c:ext>
            </c:extLst>
          </c:dPt>
          <c:dPt>
            <c:idx val="3"/>
            <c:bubble3D val="0"/>
            <c:spPr>
              <a:solidFill>
                <a:srgbClr val="FF0000"/>
              </a:solidFill>
              <a:ln>
                <a:noFill/>
              </a:ln>
              <a:effectLst/>
            </c:spPr>
            <c:extLst>
              <c:ext xmlns:c16="http://schemas.microsoft.com/office/drawing/2014/chart" uri="{C3380CC4-5D6E-409C-BE32-E72D297353CC}">
                <c16:uniqueId val="{00000007-1747-42D0-AFF5-C1887EEB1895}"/>
              </c:ext>
            </c:extLst>
          </c:dPt>
          <c:dPt>
            <c:idx val="4"/>
            <c:bubble3D val="0"/>
            <c:spPr>
              <a:solidFill>
                <a:schemeClr val="accent1"/>
              </a:solidFill>
              <a:ln>
                <a:noFill/>
              </a:ln>
              <a:effectLst/>
            </c:spPr>
            <c:extLst>
              <c:ext xmlns:c16="http://schemas.microsoft.com/office/drawing/2014/chart" uri="{C3380CC4-5D6E-409C-BE32-E72D297353CC}">
                <c16:uniqueId val="{00000009-1747-42D0-AFF5-C1887EEB1895}"/>
              </c:ext>
            </c:extLst>
          </c:dPt>
          <c:dPt>
            <c:idx val="5"/>
            <c:bubble3D val="0"/>
            <c:spPr>
              <a:solidFill>
                <a:schemeClr val="accent1">
                  <a:lumMod val="75000"/>
                </a:schemeClr>
              </a:solidFill>
              <a:ln>
                <a:noFill/>
              </a:ln>
              <a:effectLst/>
            </c:spPr>
            <c:extLst>
              <c:ext xmlns:c16="http://schemas.microsoft.com/office/drawing/2014/chart" uri="{C3380CC4-5D6E-409C-BE32-E72D297353CC}">
                <c16:uniqueId val="{0000000B-1747-42D0-AFF5-C1887EEB1895}"/>
              </c:ext>
            </c:extLst>
          </c:dPt>
          <c:dLbls>
            <c:dLbl>
              <c:idx val="0"/>
              <c:layout>
                <c:manualLayout>
                  <c:x val="0.20353416821786077"/>
                  <c:y val="-7.5475885886498631E-2"/>
                </c:manualLayout>
              </c:layout>
              <c:tx>
                <c:rich>
                  <a:bodyPr rot="0" spcFirstLastPara="1" vertOverflow="clip" vert="horz" wrap="square" lIns="38100" tIns="19050" rIns="38100" bIns="19050" anchor="ctr" anchorCtr="1"/>
                  <a:lstStyle/>
                  <a:p>
                    <a:pPr>
                      <a:defRPr sz="900" b="0" i="0" u="none" strike="noStrike" kern="1200" baseline="0">
                        <a:solidFill>
                          <a:schemeClr val="tx2"/>
                        </a:solidFill>
                        <a:latin typeface="+mn-lt"/>
                        <a:ea typeface="+mn-ea"/>
                        <a:cs typeface="+mn-cs"/>
                      </a:defRPr>
                    </a:pPr>
                    <a:fld id="{03A49310-5D40-44C9-B9D9-56E865212B8A}" type="CATEGORYNAME">
                      <a:rPr lang="en-US" b="1"/>
                      <a:pPr>
                        <a:defRPr/>
                      </a:pPr>
                      <a:t>[NÁZEV KATEGORIE]</a:t>
                    </a:fld>
                    <a:endParaRPr lang="en-US" b="1" baseline="0"/>
                  </a:p>
                  <a:p>
                    <a:pPr>
                      <a:defRPr/>
                    </a:pPr>
                    <a:fld id="{35FA5D56-32A0-49CE-9364-92FFB3AB983F}" type="VALUE">
                      <a:rPr lang="en-US"/>
                      <a:pPr>
                        <a:defRPr/>
                      </a:pPr>
                      <a:t>[HODNOTA]</a:t>
                    </a:fld>
                    <a:r>
                      <a:rPr lang="en-US"/>
                      <a:t> plánů</a:t>
                    </a:r>
                  </a:p>
                  <a:p>
                    <a:pPr>
                      <a:defRPr/>
                    </a:pPr>
                    <a:r>
                      <a:rPr lang="en-US"/>
                      <a:t>4 206,4 tis. Kč</a:t>
                    </a:r>
                  </a:p>
                </c:rich>
              </c:tx>
              <c:spPr>
                <a:noFill/>
                <a:ln>
                  <a:noFill/>
                </a:ln>
                <a:effectLst/>
              </c:spPr>
              <c:txPr>
                <a:bodyPr rot="0" spcFirstLastPara="1" vertOverflow="clip" vert="horz" wrap="square" lIns="38100" tIns="19050" rIns="38100" bIns="19050" anchor="ctr" anchorCtr="1"/>
                <a:lstStyle/>
                <a:p>
                  <a:pPr>
                    <a:defRPr sz="900" b="0" i="0" u="none" strike="noStrike" kern="1200" baseline="0">
                      <a:solidFill>
                        <a:schemeClr val="tx2"/>
                      </a:solidFill>
                      <a:latin typeface="+mn-lt"/>
                      <a:ea typeface="+mn-ea"/>
                      <a:cs typeface="+mn-cs"/>
                    </a:defRPr>
                  </a:pPr>
                  <a:endParaRPr lang="cs-CZ"/>
                </a:p>
              </c:txPr>
              <c:showLegendKey val="0"/>
              <c:showVal val="1"/>
              <c:showCatName val="1"/>
              <c:showSerName val="0"/>
              <c:showPercent val="0"/>
              <c:showBubbleSize val="0"/>
              <c:separator>
</c:separator>
              <c:extLst>
                <c:ext xmlns:c15="http://schemas.microsoft.com/office/drawing/2012/chart" uri="{CE6537A1-D6FC-4f65-9D91-7224C49458BB}">
                  <c15:layout>
                    <c:manualLayout>
                      <c:w val="0.18042591092495691"/>
                      <c:h val="0.17691147010809388"/>
                    </c:manualLayout>
                  </c15:layout>
                  <c15:dlblFieldTable/>
                  <c15:showDataLabelsRange val="0"/>
                </c:ext>
                <c:ext xmlns:c16="http://schemas.microsoft.com/office/drawing/2014/chart" uri="{C3380CC4-5D6E-409C-BE32-E72D297353CC}">
                  <c16:uniqueId val="{00000001-1747-42D0-AFF5-C1887EEB1895}"/>
                </c:ext>
              </c:extLst>
            </c:dLbl>
            <c:dLbl>
              <c:idx val="1"/>
              <c:layout>
                <c:manualLayout>
                  <c:x val="-0.17214569109093922"/>
                  <c:y val="0.21962602132360573"/>
                </c:manualLayout>
              </c:layout>
              <c:tx>
                <c:rich>
                  <a:bodyPr/>
                  <a:lstStyle/>
                  <a:p>
                    <a:fld id="{3918E726-7719-4C8D-BEE8-5B8004686581}" type="CATEGORYNAME">
                      <a:rPr lang="en-US" b="1"/>
                      <a:pPr/>
                      <a:t>[NÁZEV KATEGORIE]</a:t>
                    </a:fld>
                    <a:endParaRPr lang="en-US" b="1" baseline="0"/>
                  </a:p>
                  <a:p>
                    <a:fld id="{077C5BB4-23C2-471F-82EC-13C2AB8513DB}" type="VALUE">
                      <a:rPr lang="en-US"/>
                      <a:pPr/>
                      <a:t>[HODNOTA]</a:t>
                    </a:fld>
                    <a:r>
                      <a:rPr lang="en-US"/>
                      <a:t> plán</a:t>
                    </a:r>
                  </a:p>
                  <a:p>
                    <a:r>
                      <a:rPr lang="en-US"/>
                      <a:t>115</a:t>
                    </a:r>
                    <a:r>
                      <a:rPr lang="en-US" baseline="0"/>
                      <a:t> tis. Kč</a:t>
                    </a:r>
                  </a:p>
                </c:rich>
              </c:tx>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1747-42D0-AFF5-C1887EEB1895}"/>
                </c:ext>
              </c:extLst>
            </c:dLbl>
            <c:dLbl>
              <c:idx val="2"/>
              <c:layout>
                <c:manualLayout>
                  <c:x val="-0.17718715393133999"/>
                  <c:y val="0"/>
                </c:manualLayout>
              </c:layout>
              <c:tx>
                <c:rich>
                  <a:bodyPr/>
                  <a:lstStyle/>
                  <a:p>
                    <a:fld id="{16D901CD-BA4D-4167-8592-90C0A97C4340}" type="CATEGORYNAME">
                      <a:rPr lang="en-US" b="1"/>
                      <a:pPr/>
                      <a:t>[NÁZEV KATEGORIE]</a:t>
                    </a:fld>
                    <a:endParaRPr lang="en-US" b="1" baseline="0"/>
                  </a:p>
                  <a:p>
                    <a:fld id="{B1AA0FCE-38AB-4D60-BBDE-A1A226990AFA}" type="VALUE">
                      <a:rPr lang="en-US"/>
                      <a:pPr/>
                      <a:t>[HODNOTA]</a:t>
                    </a:fld>
                    <a:r>
                      <a:rPr lang="en-US"/>
                      <a:t> plán</a:t>
                    </a:r>
                  </a:p>
                  <a:p>
                    <a:r>
                      <a:rPr lang="en-US"/>
                      <a:t>108,5</a:t>
                    </a:r>
                    <a:r>
                      <a:rPr lang="en-US" baseline="0"/>
                      <a:t> tis. Kč</a:t>
                    </a:r>
                  </a:p>
                </c:rich>
              </c:tx>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1747-42D0-AFF5-C1887EEB1895}"/>
                </c:ext>
              </c:extLst>
            </c:dLbl>
            <c:dLbl>
              <c:idx val="3"/>
              <c:layout>
                <c:manualLayout>
                  <c:x val="-0.18484613841874417"/>
                  <c:y val="-0.15347479870100983"/>
                </c:manualLayout>
              </c:layout>
              <c:tx>
                <c:rich>
                  <a:bodyPr/>
                  <a:lstStyle/>
                  <a:p>
                    <a:fld id="{84699643-3F15-4EAB-88F8-4CF96EC21DE3}" type="CATEGORYNAME">
                      <a:rPr lang="en-US" b="1"/>
                      <a:pPr/>
                      <a:t>[NÁZEV KATEGORIE]</a:t>
                    </a:fld>
                    <a:endParaRPr lang="en-US" b="1" baseline="0"/>
                  </a:p>
                  <a:p>
                    <a:fld id="{28F95DAE-BEB5-448B-BEED-48D24C37D283}" type="VALUE">
                      <a:rPr lang="en-US"/>
                      <a:pPr/>
                      <a:t>[HODNOTA]</a:t>
                    </a:fld>
                    <a:r>
                      <a:rPr lang="en-US"/>
                      <a:t> plán</a:t>
                    </a:r>
                  </a:p>
                  <a:p>
                    <a:r>
                      <a:rPr lang="en-US"/>
                      <a:t>73,4 tis. Kč</a:t>
                    </a:r>
                  </a:p>
                </c:rich>
              </c:tx>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1747-42D0-AFF5-C1887EEB1895}"/>
                </c:ext>
              </c:extLst>
            </c:dLbl>
            <c:dLbl>
              <c:idx val="4"/>
              <c:layout>
                <c:manualLayout>
                  <c:x val="-9.4277866429487017E-2"/>
                  <c:y val="-0.20580328134309611"/>
                </c:manualLayout>
              </c:layout>
              <c:tx>
                <c:rich>
                  <a:bodyPr/>
                  <a:lstStyle/>
                  <a:p>
                    <a:fld id="{90FC63D5-45BD-4075-BAE4-5A95AD90165A}" type="CATEGORYNAME">
                      <a:rPr lang="en-US" b="1"/>
                      <a:pPr/>
                      <a:t>[NÁZEV KATEGORIE]</a:t>
                    </a:fld>
                    <a:endParaRPr lang="en-US" b="1" baseline="0"/>
                  </a:p>
                  <a:p>
                    <a:fld id="{8D112A46-0483-40B3-8105-9A349C682813}" type="VALUE">
                      <a:rPr lang="en-US"/>
                      <a:pPr/>
                      <a:t>[HODNOTA]</a:t>
                    </a:fld>
                    <a:r>
                      <a:rPr lang="en-US"/>
                      <a:t> plány</a:t>
                    </a:r>
                  </a:p>
                  <a:p>
                    <a:r>
                      <a:rPr lang="en-US"/>
                      <a:t>322,5 tis. Kč</a:t>
                    </a:r>
                  </a:p>
                </c:rich>
              </c:tx>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1747-42D0-AFF5-C1887EEB1895}"/>
                </c:ext>
              </c:extLst>
            </c:dLbl>
            <c:dLbl>
              <c:idx val="5"/>
              <c:layout>
                <c:manualLayout>
                  <c:x val="0.24463023606690801"/>
                  <c:y val="-9.8981544900085663E-2"/>
                </c:manualLayout>
              </c:layout>
              <c:tx>
                <c:rich>
                  <a:bodyPr/>
                  <a:lstStyle/>
                  <a:p>
                    <a:fld id="{880D543F-AD7D-4A03-884D-26928B66CCF2}" type="CATEGORYNAME">
                      <a:rPr lang="en-US" b="1"/>
                      <a:pPr/>
                      <a:t>[NÁZEV KATEGORIE]</a:t>
                    </a:fld>
                    <a:endParaRPr lang="en-US" b="1" baseline="0"/>
                  </a:p>
                  <a:p>
                    <a:fld id="{DD4243CC-7AF8-4CB6-A4EF-D75A675D4A24}" type="VALUE">
                      <a:rPr lang="en-US"/>
                      <a:pPr/>
                      <a:t>[HODNOTA]</a:t>
                    </a:fld>
                    <a:r>
                      <a:rPr lang="en-US"/>
                      <a:t> plány</a:t>
                    </a:r>
                  </a:p>
                  <a:p>
                    <a:r>
                      <a:rPr lang="en-US"/>
                      <a:t>352,7 tis. Kč</a:t>
                    </a:r>
                  </a:p>
                </c:rich>
              </c:tx>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1747-42D0-AFF5-C1887EEB18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showLegendKey val="0"/>
            <c:showVal val="1"/>
            <c:showCatName val="1"/>
            <c:showSerName val="0"/>
            <c:showPercent val="0"/>
            <c:showBubbleSize val="0"/>
            <c:separator>
</c:separator>
            <c:showLeaderLines val="1"/>
            <c:leaderLines>
              <c:spPr>
                <a:ln w="9525">
                  <a:solidFill>
                    <a:schemeClr val="tx2"/>
                  </a:solidFill>
                  <a:headEnd type="triangle"/>
                  <a:tailEnd/>
                </a:ln>
                <a:effectLst/>
              </c:spPr>
            </c:leaderLines>
            <c:extLst>
              <c:ext xmlns:c15="http://schemas.microsoft.com/office/drawing/2012/chart" uri="{CE6537A1-D6FC-4f65-9D91-7224C49458BB}"/>
            </c:extLst>
          </c:dLbls>
          <c:cat>
            <c:strRef>
              <c:f>'[KZ 20-10_část 4 - AMIF + IIP_tabulky, grafy.xlsx]IIP'!$A$3:$A$8</c:f>
              <c:strCache>
                <c:ptCount val="6"/>
                <c:pt idx="0">
                  <c:v>Efektivní</c:v>
                </c:pt>
                <c:pt idx="1">
                  <c:v>Efektivní s mírnými nedostatky</c:v>
                </c:pt>
                <c:pt idx="2">
                  <c:v>Omezeně efektivní</c:v>
                </c:pt>
                <c:pt idx="3">
                  <c:v>Neefektivní</c:v>
                </c:pt>
                <c:pt idx="4">
                  <c:v>Nehodnoceno - neznámý výsledek</c:v>
                </c:pt>
                <c:pt idx="5">
                  <c:v>Nehodnoceno - neukončená realizace</c:v>
                </c:pt>
              </c:strCache>
            </c:strRef>
          </c:cat>
          <c:val>
            <c:numRef>
              <c:f>'[KZ 20-10_část 4 - AMIF + IIP_tabulky, grafy.xlsx]IIP'!$B$3:$B$8</c:f>
              <c:numCache>
                <c:formatCode>General</c:formatCode>
                <c:ptCount val="6"/>
                <c:pt idx="0">
                  <c:v>30</c:v>
                </c:pt>
                <c:pt idx="1">
                  <c:v>1</c:v>
                </c:pt>
                <c:pt idx="2">
                  <c:v>1</c:v>
                </c:pt>
                <c:pt idx="3">
                  <c:v>1</c:v>
                </c:pt>
                <c:pt idx="4">
                  <c:v>4</c:v>
                </c:pt>
                <c:pt idx="5">
                  <c:v>2</c:v>
                </c:pt>
              </c:numCache>
            </c:numRef>
          </c:val>
          <c:extLst>
            <c:ext xmlns:c16="http://schemas.microsoft.com/office/drawing/2014/chart" uri="{C3380CC4-5D6E-409C-BE32-E72D297353CC}">
              <c16:uniqueId val="{0000000C-1747-42D0-AFF5-C1887EEB1895}"/>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round/>
      </a:ln>
    </cs:spPr>
  </cs:downBar>
  <cs:dropLine>
    <cs:lnRef idx="0"/>
    <cs:fillRef idx="0"/>
    <cs:effectRef idx="0"/>
    <cs:fontRef idx="minor">
      <a:schemeClr val="dk1"/>
    </cs:fontRef>
    <cs:spPr>
      <a:ln w="9525">
        <a:solidFill>
          <a:schemeClr val="dk1">
            <a:lumMod val="35000"/>
            <a:lumOff val="65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a:solidFill>
          <a:schemeClr val="dk1">
            <a:lumMod val="15000"/>
            <a:lumOff val="85000"/>
          </a:schemeClr>
        </a:solidFill>
        <a:round/>
      </a:ln>
    </cs:spPr>
  </cs:gridlineMajor>
  <cs:gridlineMinor>
    <cs:lnRef idx="0"/>
    <cs:fillRef idx="0"/>
    <cs:effectRef idx="0"/>
    <cs:fontRef idx="minor">
      <a:schemeClr val="dk1"/>
    </cs:fontRef>
    <cs:spPr>
      <a:ln w="9525">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round/>
      </a:ln>
    </cs:spPr>
  </cs:hiLoLine>
  <cs:leaderLine>
    <cs:lnRef idx="0"/>
    <cs:fillRef idx="0"/>
    <cs:effectRef idx="0"/>
    <cs:fontRef idx="minor">
      <a:schemeClr val="dk1"/>
    </cs:fontRef>
    <cs:spPr>
      <a:ln w="9525">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0C7B-AD09-4CDE-A957-D500CBA05A09}">
  <ds:schemaRefs>
    <ds:schemaRef ds:uri="http://purl.org/dc/elements/1.1/"/>
    <ds:schemaRef ds:uri="http://schemas.microsoft.com/sharepoint/v3"/>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3AE2C38-18E4-47CD-840E-AB84DBC19528}">
  <ds:schemaRefs>
    <ds:schemaRef ds:uri="http://schemas.microsoft.com/sharepoint/v3/contenttype/forms"/>
  </ds:schemaRefs>
</ds:datastoreItem>
</file>

<file path=customXml/itemProps3.xml><?xml version="1.0" encoding="utf-8"?>
<ds:datastoreItem xmlns:ds="http://schemas.openxmlformats.org/officeDocument/2006/customXml" ds:itemID="{5949EC2C-D1CF-47B0-AAD0-BCC65867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A2E94-C93D-4F2E-9C28-839A2DB8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F168B372.dotm</Template>
  <TotalTime>2</TotalTime>
  <Pages>34</Pages>
  <Words>12889</Words>
  <Characters>76050</Characters>
  <Application>Microsoft Office Word</Application>
  <DocSecurity>4</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88762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20/10 - Peněžní prostředky státu vynakládané na plnění vybraných cílů migrační politiky České republiky</dc:title>
  <dc:subject>Kontrolní závěr z kontrolní akce NKÚ č. 20/10 - Peněžní prostředky státu vynakládané na plnění vybraných cílů migrační politiky České republiky</dc:subject>
  <dc:creator>Nejvyšší kontrolní úřad</dc:creator>
  <cp:keywords>kontrolní závěr; migrační politika; migrace</cp:keywords>
  <cp:lastModifiedBy>KOKRDA Daniel</cp:lastModifiedBy>
  <cp:revision>2</cp:revision>
  <cp:lastPrinted>2020-03-09T12:20:00Z</cp:lastPrinted>
  <dcterms:created xsi:type="dcterms:W3CDTF">2021-05-26T06:26:00Z</dcterms:created>
  <dcterms:modified xsi:type="dcterms:W3CDTF">2021-05-26T06:26:00Z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20/10-NKU30/243/21</vt:lpwstr>
  </property>
  <property fmtid="{D5CDD505-2E9C-101B-9397-08002B2CF9AE}" pid="5" name="CJ_PostaDoruc_PisemnostOdpovedNa_Pisemnost">
    <vt:lpwstr>XXX-XXX-XXX</vt:lpwstr>
  </property>
  <property fmtid="{D5CDD505-2E9C-101B-9397-08002B2CF9AE}" pid="6" name="CJ_Spis_Pisemnost">
    <vt:lpwstr>510/143/19</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0x0101002F7A625AE9F5AB4A939F92BCAA7FEC02</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23.3.2021</vt:lpwstr>
  </property>
  <property fmtid="{D5CDD505-2E9C-101B-9397-08002B2CF9AE}" pid="13" name="DisplayName_CisloObalky_PostaOdes">
    <vt:lpwstr>ČÍSLO OBÁLKY</vt:lpwstr>
  </property>
  <property fmtid="{D5CDD505-2E9C-101B-9397-08002B2CF9AE}" pid="14" name="DisplayName_CJCol">
    <vt:lpwstr>&lt;TABLE&gt;&lt;TR&gt;&lt;TD&gt;Č.j.:&lt;/TD&gt;&lt;TD&gt;20/10-NKU30/243/21&lt;/TD&gt;&lt;/TR&gt;&lt;TR&gt;&lt;TD&gt;&lt;/TD&gt;&lt;TD&gt;&lt;/TD&gt;&lt;/TR&gt;&lt;/TABLE&gt;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Členové Úřadu</vt:lpwstr>
  </property>
  <property fmtid="{D5CDD505-2E9C-101B-9397-08002B2CF9AE}" pid="17" name="DisplayName_UserPoriz_Pisemnost">
    <vt:lpwstr>Bc. Monika Hoffmannová, DiS.</vt:lpwstr>
  </property>
  <property fmtid="{D5CDD505-2E9C-101B-9397-08002B2CF9AE}" pid="18" name="DuvodZmeny_SlozkaStupenUtajeniCollection_Slozka_Pisemnost">
    <vt:lpwstr/>
  </property>
  <property fmtid="{D5CDD505-2E9C-101B-9397-08002B2CF9AE}" pid="19" name="EC_Pisemnost">
    <vt:lpwstr>21-3986/NKU</vt:lpwstr>
  </property>
  <property fmtid="{D5CDD505-2E9C-101B-9397-08002B2CF9AE}" pid="20" name="Key_BarCode_Pisemnost">
    <vt:lpwstr>*B000383037*</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21-3986/NKU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20/10</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Návrh kontrolního závěru č. 20/10 do připomínek</vt:lpwstr>
  </property>
  <property fmtid="{D5CDD505-2E9C-101B-9397-08002B2CF9AE}" pid="42" name="Zkratka_SpisovyUzel_PoziceZodpo_Pisemnost">
    <vt:lpwstr>30</vt:lpwstr>
  </property>
</Properties>
</file>