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3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E6C96" w14:textId="77777777" w:rsidR="00EF0338" w:rsidRDefault="00EF0338" w:rsidP="00EF0338">
      <w:pPr>
        <w:jc w:val="center"/>
      </w:pPr>
      <w:bookmarkStart w:id="0" w:name="_GoBack"/>
      <w:bookmarkEnd w:id="0"/>
      <w:r w:rsidRPr="00C3396A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934CE8B" wp14:editId="29E4AB13">
            <wp:simplePos x="0" y="0"/>
            <wp:positionH relativeFrom="margin">
              <wp:posOffset>2522855</wp:posOffset>
            </wp:positionH>
            <wp:positionV relativeFrom="paragraph">
              <wp:posOffset>559</wp:posOffset>
            </wp:positionV>
            <wp:extent cx="713740" cy="504190"/>
            <wp:effectExtent l="0" t="0" r="0" b="0"/>
            <wp:wrapTopAndBottom/>
            <wp:docPr id="6" name="obrázek 4" descr="NKU_logo-transp-rgb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04072" name="Picture 4" descr="NKU_logo-transp-rgb300dp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889E3" w14:textId="77777777" w:rsidR="00EF0338" w:rsidRDefault="00EF0338" w:rsidP="00EF0338">
      <w:pPr>
        <w:jc w:val="center"/>
      </w:pPr>
    </w:p>
    <w:p w14:paraId="30BEA9AD" w14:textId="77777777" w:rsidR="00EF0338" w:rsidRPr="00C3396A" w:rsidRDefault="00EF0338" w:rsidP="00EF0338">
      <w:pPr>
        <w:jc w:val="center"/>
      </w:pPr>
    </w:p>
    <w:p w14:paraId="16028AA1" w14:textId="77777777" w:rsidR="006265D4" w:rsidRPr="006265D4" w:rsidRDefault="006265D4" w:rsidP="006265D4">
      <w:pPr>
        <w:jc w:val="center"/>
        <w:rPr>
          <w:b/>
          <w:sz w:val="28"/>
          <w:szCs w:val="28"/>
        </w:rPr>
      </w:pPr>
      <w:r w:rsidRPr="006265D4">
        <w:rPr>
          <w:b/>
          <w:sz w:val="28"/>
          <w:szCs w:val="28"/>
        </w:rPr>
        <w:t>Kontrolní závěr z kontrolní akce</w:t>
      </w:r>
    </w:p>
    <w:p w14:paraId="7A8D0240" w14:textId="77777777" w:rsidR="006265D4" w:rsidRPr="006265D4" w:rsidRDefault="006265D4" w:rsidP="006265D4">
      <w:pPr>
        <w:jc w:val="center"/>
      </w:pPr>
    </w:p>
    <w:p w14:paraId="0E9C4132" w14:textId="77777777" w:rsidR="006265D4" w:rsidRPr="006265D4" w:rsidRDefault="006265D4" w:rsidP="006265D4">
      <w:pPr>
        <w:jc w:val="center"/>
        <w:rPr>
          <w:b/>
          <w:sz w:val="28"/>
          <w:szCs w:val="28"/>
        </w:rPr>
      </w:pPr>
      <w:r w:rsidRPr="006265D4">
        <w:rPr>
          <w:b/>
          <w:sz w:val="28"/>
          <w:szCs w:val="28"/>
        </w:rPr>
        <w:t>21/21</w:t>
      </w:r>
    </w:p>
    <w:p w14:paraId="1B7DDD07" w14:textId="77777777" w:rsidR="006265D4" w:rsidRPr="006265D4" w:rsidRDefault="006265D4" w:rsidP="00C73A5E">
      <w:pPr>
        <w:jc w:val="center"/>
      </w:pPr>
    </w:p>
    <w:p w14:paraId="4695226B" w14:textId="77777777" w:rsidR="006265D4" w:rsidRPr="006265D4" w:rsidRDefault="006265D4" w:rsidP="00C73A5E">
      <w:pPr>
        <w:jc w:val="center"/>
      </w:pPr>
      <w:r w:rsidRPr="006265D4">
        <w:rPr>
          <w:b/>
          <w:sz w:val="28"/>
          <w:szCs w:val="28"/>
        </w:rPr>
        <w:t>Peněžní prostředky státu vynakládané na systém ochrany měkkých cílů</w:t>
      </w:r>
    </w:p>
    <w:p w14:paraId="62564AA5" w14:textId="77777777" w:rsidR="006265D4" w:rsidRPr="006265D4" w:rsidRDefault="006265D4" w:rsidP="00AC73A8">
      <w:pPr>
        <w:jc w:val="both"/>
      </w:pPr>
    </w:p>
    <w:p w14:paraId="2F4F8570" w14:textId="77777777" w:rsidR="006265D4" w:rsidRPr="006265D4" w:rsidRDefault="006265D4" w:rsidP="00AC73A8">
      <w:pPr>
        <w:jc w:val="both"/>
      </w:pPr>
    </w:p>
    <w:p w14:paraId="18BEE0DF" w14:textId="77777777" w:rsidR="006265D4" w:rsidRPr="006265D4" w:rsidRDefault="006265D4" w:rsidP="00AC73A8">
      <w:pPr>
        <w:jc w:val="both"/>
        <w:rPr>
          <w:rFonts w:cstheme="minorHAnsi"/>
        </w:rPr>
      </w:pPr>
      <w:r w:rsidRPr="006265D4">
        <w:rPr>
          <w:rFonts w:cstheme="minorHAnsi"/>
        </w:rPr>
        <w:t>Kontrolní akce byla zařazena do plánu kontrolní činnosti Nejvyššího kontrolního úřadu (dále také „NKÚ“) na rok 2021 pod číslem 21/21. Kontrolní akci řídil a kontrolní závěr vypracoval člen NKÚ Ing. Jan Stárek.</w:t>
      </w:r>
    </w:p>
    <w:p w14:paraId="6DC593EA" w14:textId="77777777" w:rsidR="006265D4" w:rsidRPr="006265D4" w:rsidRDefault="006265D4" w:rsidP="00AC73A8">
      <w:pPr>
        <w:jc w:val="both"/>
        <w:rPr>
          <w:rFonts w:cstheme="minorHAnsi"/>
        </w:rPr>
      </w:pPr>
    </w:p>
    <w:p w14:paraId="4FC86E18" w14:textId="77777777" w:rsidR="006265D4" w:rsidRPr="006265D4" w:rsidRDefault="006265D4" w:rsidP="00AC73A8">
      <w:pPr>
        <w:jc w:val="both"/>
        <w:rPr>
          <w:rFonts w:cstheme="minorHAnsi"/>
        </w:rPr>
      </w:pPr>
      <w:r w:rsidRPr="006265D4">
        <w:rPr>
          <w:rFonts w:cstheme="minorHAnsi"/>
        </w:rPr>
        <w:t>Cílem kontroly bylo prověřit, zda peněžní prostředky státu na systém ochrany měkkých cílů byly vynaloženy a čerpány účelně, hospodárně a v souladu s právními předpisy.</w:t>
      </w:r>
    </w:p>
    <w:p w14:paraId="573472BF" w14:textId="77777777" w:rsidR="006265D4" w:rsidRPr="006265D4" w:rsidRDefault="006265D4" w:rsidP="00AC73A8">
      <w:pPr>
        <w:jc w:val="both"/>
        <w:rPr>
          <w:rFonts w:cstheme="minorHAnsi"/>
        </w:rPr>
      </w:pPr>
    </w:p>
    <w:p w14:paraId="1222F609" w14:textId="73AFC6C6" w:rsidR="006265D4" w:rsidRPr="006265D4" w:rsidRDefault="006265D4" w:rsidP="00AC73A8">
      <w:pPr>
        <w:jc w:val="both"/>
        <w:rPr>
          <w:rFonts w:cstheme="minorHAnsi"/>
        </w:rPr>
      </w:pPr>
      <w:r w:rsidRPr="006265D4">
        <w:rPr>
          <w:rFonts w:cstheme="minorHAnsi"/>
        </w:rPr>
        <w:t>Kontrola byla prováděna u kontrolovaných osob v období od srpna 20</w:t>
      </w:r>
      <w:r w:rsidR="003958F9">
        <w:rPr>
          <w:rFonts w:cstheme="minorHAnsi"/>
        </w:rPr>
        <w:t>21</w:t>
      </w:r>
      <w:r w:rsidRPr="006265D4">
        <w:rPr>
          <w:rFonts w:cstheme="minorHAnsi"/>
        </w:rPr>
        <w:t xml:space="preserve"> do února 2022.</w:t>
      </w:r>
    </w:p>
    <w:p w14:paraId="62457948" w14:textId="77777777" w:rsidR="006265D4" w:rsidRPr="006265D4" w:rsidRDefault="006265D4" w:rsidP="00AC73A8">
      <w:pPr>
        <w:jc w:val="both"/>
        <w:rPr>
          <w:rFonts w:cstheme="minorHAnsi"/>
        </w:rPr>
      </w:pPr>
    </w:p>
    <w:p w14:paraId="1E4A99F9" w14:textId="77777777" w:rsidR="006265D4" w:rsidRPr="006265D4" w:rsidRDefault="006265D4" w:rsidP="00AC73A8">
      <w:pPr>
        <w:jc w:val="both"/>
        <w:rPr>
          <w:rFonts w:cstheme="minorHAnsi"/>
        </w:rPr>
      </w:pPr>
      <w:r w:rsidRPr="006265D4">
        <w:rPr>
          <w:rFonts w:cstheme="minorHAnsi"/>
        </w:rPr>
        <w:t>Kontrolovaným obdobím byly roky 2016 až 2021, v případě věcných souvislostí i období předcházející a následující.</w:t>
      </w:r>
    </w:p>
    <w:p w14:paraId="2F019EA1" w14:textId="77777777" w:rsidR="006265D4" w:rsidRPr="006265D4" w:rsidRDefault="006265D4" w:rsidP="00AC73A8">
      <w:pPr>
        <w:jc w:val="both"/>
        <w:rPr>
          <w:rFonts w:cstheme="minorHAnsi"/>
        </w:rPr>
      </w:pPr>
    </w:p>
    <w:p w14:paraId="6C2F50AA" w14:textId="0AFDEEBA" w:rsidR="006265D4" w:rsidRPr="006265D4" w:rsidRDefault="006265D4" w:rsidP="00AC73A8">
      <w:pPr>
        <w:jc w:val="both"/>
        <w:rPr>
          <w:rFonts w:cstheme="minorHAnsi"/>
        </w:rPr>
      </w:pPr>
      <w:r w:rsidRPr="006265D4">
        <w:rPr>
          <w:rFonts w:cstheme="minorHAnsi"/>
        </w:rPr>
        <w:t>Kontrolované osoby:</w:t>
      </w:r>
      <w:r w:rsidRPr="006265D4">
        <w:rPr>
          <w:rFonts w:cstheme="minorHAnsi"/>
        </w:rPr>
        <w:cr/>
        <w:t>Ministerstvo vnitra (dále také „MV“); Ministerstvo kultury (dále také „MK“); Ministerstvo zdravotnictví (dále také „</w:t>
      </w:r>
      <w:proofErr w:type="spellStart"/>
      <w:r w:rsidRPr="006265D4">
        <w:rPr>
          <w:rFonts w:cstheme="minorHAnsi"/>
        </w:rPr>
        <w:t>MZd</w:t>
      </w:r>
      <w:proofErr w:type="spellEnd"/>
      <w:r w:rsidRPr="006265D4">
        <w:rPr>
          <w:rFonts w:cstheme="minorHAnsi"/>
        </w:rPr>
        <w:t>“); Ústecký kraj</w:t>
      </w:r>
      <w:r w:rsidR="00DF1946">
        <w:rPr>
          <w:rFonts w:cstheme="minorHAnsi"/>
        </w:rPr>
        <w:t>, Ústí nad Labem</w:t>
      </w:r>
      <w:r w:rsidRPr="006265D4">
        <w:rPr>
          <w:rFonts w:cstheme="minorHAnsi"/>
        </w:rPr>
        <w:t>; Fakultní nemocnice Bulovka</w:t>
      </w:r>
      <w:r w:rsidR="00DF1946">
        <w:rPr>
          <w:rFonts w:cstheme="minorHAnsi"/>
        </w:rPr>
        <w:t>, Praha</w:t>
      </w:r>
      <w:r w:rsidRPr="006265D4">
        <w:rPr>
          <w:rFonts w:cstheme="minorHAnsi"/>
        </w:rPr>
        <w:t>; Národní knihovna České republiky</w:t>
      </w:r>
      <w:r w:rsidR="00DF1946">
        <w:rPr>
          <w:rFonts w:cstheme="minorHAnsi"/>
        </w:rPr>
        <w:t>, Praha</w:t>
      </w:r>
      <w:r w:rsidRPr="006265D4">
        <w:rPr>
          <w:rFonts w:cstheme="minorHAnsi"/>
        </w:rPr>
        <w:t>.</w:t>
      </w:r>
    </w:p>
    <w:p w14:paraId="6E368337" w14:textId="77777777" w:rsidR="006265D4" w:rsidRPr="006265D4" w:rsidRDefault="006265D4" w:rsidP="00AC73A8"/>
    <w:p w14:paraId="3C54BFC1" w14:textId="77777777" w:rsidR="006265D4" w:rsidRPr="006265D4" w:rsidRDefault="006265D4" w:rsidP="00AC73A8"/>
    <w:p w14:paraId="1A4D22D0" w14:textId="77777777" w:rsidR="006265D4" w:rsidRPr="006265D4" w:rsidRDefault="006265D4" w:rsidP="00AC73A8"/>
    <w:p w14:paraId="4457F7BD" w14:textId="4C000D79" w:rsidR="006265D4" w:rsidRPr="004362A7" w:rsidRDefault="006265D4" w:rsidP="00AC73A8">
      <w:pPr>
        <w:spacing w:after="120" w:line="360" w:lineRule="auto"/>
      </w:pPr>
      <w:r w:rsidRPr="006265D4">
        <w:rPr>
          <w:b/>
          <w:i/>
          <w:spacing w:val="40"/>
        </w:rPr>
        <w:t>Kolegium NKÚ</w:t>
      </w:r>
      <w:r w:rsidRPr="006265D4">
        <w:rPr>
          <w:b/>
          <w:i/>
        </w:rPr>
        <w:t xml:space="preserve">   </w:t>
      </w:r>
      <w:r w:rsidRPr="006265D4">
        <w:t>n</w:t>
      </w:r>
      <w:r w:rsidRPr="004362A7">
        <w:t xml:space="preserve">a svém </w:t>
      </w:r>
      <w:r w:rsidR="004362A7">
        <w:t>VIII.</w:t>
      </w:r>
      <w:r w:rsidRPr="004362A7">
        <w:t xml:space="preserve"> jednání, které se konalo dne </w:t>
      </w:r>
      <w:r w:rsidR="004362A7" w:rsidRPr="004362A7">
        <w:t xml:space="preserve">30. května </w:t>
      </w:r>
      <w:r w:rsidRPr="004362A7">
        <w:t>2022,</w:t>
      </w:r>
    </w:p>
    <w:p w14:paraId="7DC7EDCA" w14:textId="6BDED362" w:rsidR="006265D4" w:rsidRPr="006265D4" w:rsidRDefault="006265D4" w:rsidP="00AC73A8">
      <w:pPr>
        <w:spacing w:after="120" w:line="360" w:lineRule="auto"/>
      </w:pPr>
      <w:r w:rsidRPr="004362A7">
        <w:rPr>
          <w:b/>
          <w:i/>
          <w:spacing w:val="40"/>
        </w:rPr>
        <w:t>schválilo</w:t>
      </w:r>
      <w:r w:rsidRPr="004362A7">
        <w:rPr>
          <w:b/>
          <w:i/>
        </w:rPr>
        <w:t xml:space="preserve">   </w:t>
      </w:r>
      <w:r w:rsidRPr="004362A7">
        <w:t xml:space="preserve">usnesením č. </w:t>
      </w:r>
      <w:r w:rsidR="00B7267E">
        <w:t>12</w:t>
      </w:r>
      <w:r w:rsidRPr="004362A7">
        <w:t>/</w:t>
      </w:r>
      <w:r w:rsidR="004362A7" w:rsidRPr="004362A7">
        <w:t>VIII</w:t>
      </w:r>
      <w:r w:rsidRPr="004362A7">
        <w:t>/2022</w:t>
      </w:r>
    </w:p>
    <w:p w14:paraId="79FA604E" w14:textId="7479082F" w:rsidR="006265D4" w:rsidRPr="006265D4" w:rsidRDefault="006265D4" w:rsidP="00AC73A8">
      <w:pPr>
        <w:spacing w:after="120" w:line="360" w:lineRule="auto"/>
        <w:jc w:val="both"/>
        <w:rPr>
          <w:rFonts w:cstheme="minorHAnsi"/>
        </w:rPr>
      </w:pPr>
      <w:r w:rsidRPr="006265D4">
        <w:rPr>
          <w:rFonts w:cstheme="minorHAnsi"/>
          <w:b/>
          <w:i/>
          <w:spacing w:val="40"/>
        </w:rPr>
        <w:t>kontrolní závěr</w:t>
      </w:r>
      <w:r w:rsidR="006039A8" w:rsidRPr="006265D4">
        <w:rPr>
          <w:b/>
          <w:i/>
        </w:rPr>
        <w:t xml:space="preserve">   </w:t>
      </w:r>
      <w:r w:rsidRPr="006265D4">
        <w:rPr>
          <w:rFonts w:cstheme="minorHAnsi"/>
        </w:rPr>
        <w:t>v tomto znění:</w:t>
      </w:r>
    </w:p>
    <w:p w14:paraId="154D8F58" w14:textId="77777777" w:rsidR="006265D4" w:rsidRPr="006265D4" w:rsidRDefault="006265D4" w:rsidP="00C73A5E">
      <w:pPr>
        <w:spacing w:after="120"/>
        <w:jc w:val="both"/>
        <w:rPr>
          <w:rFonts w:cstheme="minorHAnsi"/>
          <w:noProof/>
          <w:lang w:eastAsia="cs-CZ"/>
        </w:rPr>
      </w:pPr>
    </w:p>
    <w:p w14:paraId="21E6957E" w14:textId="77777777" w:rsidR="00AC73A8" w:rsidRDefault="00AC73A8">
      <w:pPr>
        <w:rPr>
          <w:rFonts w:ascii="Calibri" w:hAnsi="Calibri" w:cs="Calibri"/>
          <w:b/>
          <w:bCs/>
          <w:color w:val="2F5496" w:themeColor="accent5" w:themeShade="BF"/>
          <w:sz w:val="40"/>
          <w:szCs w:val="40"/>
        </w:rPr>
      </w:pPr>
      <w:r>
        <w:rPr>
          <w:rFonts w:ascii="Calibri" w:hAnsi="Calibri" w:cs="Calibri"/>
          <w:b/>
          <w:bCs/>
          <w:color w:val="2F5496" w:themeColor="accent5" w:themeShade="BF"/>
          <w:sz w:val="40"/>
          <w:szCs w:val="40"/>
        </w:rPr>
        <w:br w:type="page"/>
      </w:r>
    </w:p>
    <w:p w14:paraId="63CAE564" w14:textId="77777777" w:rsidR="00F27C4A" w:rsidRDefault="008C2A2A" w:rsidP="00276CDE">
      <w:pPr>
        <w:ind w:left="-426"/>
        <w:jc w:val="center"/>
        <w:rPr>
          <w:rStyle w:val="A4"/>
          <w:rFonts w:ascii="Calibri" w:hAnsi="Calibri" w:cs="Calibri"/>
          <w:b/>
          <w:color w:val="0070C0"/>
          <w:sz w:val="40"/>
          <w:szCs w:val="40"/>
        </w:rPr>
      </w:pPr>
      <w:r w:rsidRPr="008C2A2A">
        <w:rPr>
          <w:rStyle w:val="A4"/>
          <w:rFonts w:ascii="Calibri" w:hAnsi="Calibri" w:cs="Calibri"/>
          <w:b/>
          <w:color w:val="0070C0"/>
          <w:sz w:val="40"/>
          <w:szCs w:val="40"/>
        </w:rPr>
        <w:lastRenderedPageBreak/>
        <w:t>N</w:t>
      </w:r>
      <w:r>
        <w:rPr>
          <w:rStyle w:val="A4"/>
          <w:rFonts w:ascii="Calibri" w:hAnsi="Calibri" w:cs="Calibri"/>
          <w:b/>
          <w:color w:val="0070C0"/>
          <w:sz w:val="40"/>
          <w:szCs w:val="40"/>
        </w:rPr>
        <w:t>einvestiční programy MV, MK a </w:t>
      </w:r>
      <w:proofErr w:type="spellStart"/>
      <w:r>
        <w:rPr>
          <w:rStyle w:val="A4"/>
          <w:rFonts w:ascii="Calibri" w:hAnsi="Calibri" w:cs="Calibri"/>
          <w:b/>
          <w:color w:val="0070C0"/>
          <w:sz w:val="40"/>
          <w:szCs w:val="40"/>
        </w:rPr>
        <w:t>MZd</w:t>
      </w:r>
      <w:proofErr w:type="spellEnd"/>
      <w:r>
        <w:rPr>
          <w:rStyle w:val="A4"/>
          <w:rFonts w:ascii="Calibri" w:hAnsi="Calibri" w:cs="Calibri"/>
          <w:b/>
          <w:color w:val="0070C0"/>
          <w:sz w:val="40"/>
          <w:szCs w:val="40"/>
        </w:rPr>
        <w:t xml:space="preserve"> na ochranu měkkých cílů v letech 2019–2021</w:t>
      </w:r>
      <w:r w:rsidR="00F27C4A">
        <w:rPr>
          <w:rStyle w:val="Znakapoznpodarou"/>
          <w:rFonts w:ascii="Calibri" w:hAnsi="Calibri" w:cs="Calibri"/>
          <w:b/>
          <w:color w:val="0070C0"/>
          <w:sz w:val="40"/>
          <w:szCs w:val="40"/>
        </w:rPr>
        <w:footnoteReference w:id="2"/>
      </w:r>
      <w:r w:rsidR="00F27C4A">
        <w:rPr>
          <w:rStyle w:val="A4"/>
          <w:rFonts w:ascii="Calibri" w:hAnsi="Calibri" w:cs="Calibri"/>
          <w:b/>
          <w:color w:val="0070C0"/>
          <w:sz w:val="40"/>
          <w:szCs w:val="40"/>
        </w:rPr>
        <w:t xml:space="preserve"> </w:t>
      </w:r>
    </w:p>
    <w:p w14:paraId="582D3C3C" w14:textId="77777777" w:rsidR="00276CDE" w:rsidRPr="00907CCB" w:rsidRDefault="00276CDE" w:rsidP="00276CDE">
      <w:pPr>
        <w:ind w:left="-426"/>
        <w:jc w:val="both"/>
        <w:rPr>
          <w:rFonts w:ascii="Calibri" w:hAnsi="Calibri" w:cs="Calibri"/>
          <w:b/>
        </w:rPr>
      </w:pPr>
    </w:p>
    <w:tbl>
      <w:tblPr>
        <w:tblStyle w:val="Mkatabulky5"/>
        <w:tblW w:w="1006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3120"/>
        <w:gridCol w:w="2694"/>
        <w:gridCol w:w="4253"/>
      </w:tblGrid>
      <w:tr w:rsidR="00276CDE" w:rsidRPr="00907CCB" w14:paraId="71B8E8F8" w14:textId="77777777" w:rsidTr="00AC73A8">
        <w:trPr>
          <w:trHeight w:val="1430"/>
        </w:trPr>
        <w:tc>
          <w:tcPr>
            <w:tcW w:w="3120" w:type="dxa"/>
            <w:hideMark/>
          </w:tcPr>
          <w:p w14:paraId="5A6C9EB0" w14:textId="36BDA671" w:rsidR="00276CDE" w:rsidRPr="00907CCB" w:rsidRDefault="004D3298" w:rsidP="005C25CE">
            <w:pPr>
              <w:jc w:val="center"/>
              <w:rPr>
                <w:rFonts w:ascii="Calibri" w:hAnsi="Calibri" w:cs="Calibri"/>
                <w:b/>
                <w:sz w:val="40"/>
              </w:rPr>
            </w:pPr>
            <w:r>
              <w:rPr>
                <w:rFonts w:ascii="Calibri" w:hAnsi="Calibri" w:cs="Calibri"/>
                <w:b/>
                <w:sz w:val="40"/>
              </w:rPr>
              <w:t>194</w:t>
            </w:r>
            <w:r w:rsidR="00276CDE" w:rsidRPr="00907CCB">
              <w:rPr>
                <w:rFonts w:ascii="Calibri" w:hAnsi="Calibri" w:cs="Calibri"/>
                <w:b/>
                <w:sz w:val="40"/>
              </w:rPr>
              <w:t xml:space="preserve"> mil. Kč</w:t>
            </w:r>
          </w:p>
          <w:p w14:paraId="1410BE6D" w14:textId="0890BC16" w:rsidR="00D076F6" w:rsidRPr="00907CCB" w:rsidRDefault="006B5E7D" w:rsidP="00AC73A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Čerpané p</w:t>
            </w:r>
            <w:r w:rsidR="00276CDE" w:rsidRPr="0043287F">
              <w:rPr>
                <w:rFonts w:ascii="Calibri" w:hAnsi="Calibri" w:cs="Calibri"/>
                <w:b/>
                <w:sz w:val="24"/>
                <w:szCs w:val="24"/>
              </w:rPr>
              <w:t>eněžní prostředky státu</w:t>
            </w:r>
          </w:p>
        </w:tc>
        <w:tc>
          <w:tcPr>
            <w:tcW w:w="2694" w:type="dxa"/>
            <w:hideMark/>
          </w:tcPr>
          <w:p w14:paraId="61661212" w14:textId="77777777" w:rsidR="00276CDE" w:rsidRPr="00907CCB" w:rsidRDefault="00276CDE" w:rsidP="005C25CE">
            <w:pPr>
              <w:jc w:val="center"/>
              <w:rPr>
                <w:rFonts w:ascii="Calibri" w:hAnsi="Calibri" w:cs="Calibri"/>
                <w:b/>
                <w:sz w:val="40"/>
              </w:rPr>
            </w:pPr>
            <w:r w:rsidRPr="00907CCB">
              <w:rPr>
                <w:rFonts w:ascii="Calibri" w:hAnsi="Calibri" w:cs="Calibri"/>
                <w:b/>
                <w:sz w:val="40"/>
              </w:rPr>
              <w:t>746</w:t>
            </w:r>
            <w:r>
              <w:rPr>
                <w:rFonts w:ascii="Calibri" w:hAnsi="Calibri" w:cs="Calibri"/>
                <w:b/>
                <w:sz w:val="40"/>
              </w:rPr>
              <w:t xml:space="preserve"> </w:t>
            </w:r>
          </w:p>
          <w:p w14:paraId="23D01867" w14:textId="070267A7" w:rsidR="00276CDE" w:rsidRPr="0043287F" w:rsidRDefault="00276CDE" w:rsidP="005C25C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3287F">
              <w:rPr>
                <w:rFonts w:ascii="Calibri" w:hAnsi="Calibri" w:cs="Calibri"/>
                <w:b/>
                <w:sz w:val="24"/>
                <w:szCs w:val="24"/>
              </w:rPr>
              <w:t>Počet</w:t>
            </w:r>
            <w:r w:rsidR="006B5E7D" w:rsidRPr="0043287F">
              <w:rPr>
                <w:rFonts w:ascii="Calibri" w:hAnsi="Calibri" w:cs="Calibri"/>
                <w:b/>
                <w:sz w:val="24"/>
                <w:szCs w:val="24"/>
              </w:rPr>
              <w:t xml:space="preserve"> financovaných</w:t>
            </w:r>
            <w:r w:rsidRPr="0043287F">
              <w:rPr>
                <w:rFonts w:ascii="Calibri" w:hAnsi="Calibri" w:cs="Calibri"/>
                <w:b/>
                <w:sz w:val="24"/>
                <w:szCs w:val="24"/>
              </w:rPr>
              <w:t xml:space="preserve"> projektů </w:t>
            </w:r>
          </w:p>
        </w:tc>
        <w:tc>
          <w:tcPr>
            <w:tcW w:w="4252" w:type="dxa"/>
            <w:hideMark/>
          </w:tcPr>
          <w:p w14:paraId="0144F56C" w14:textId="5CD4A07D" w:rsidR="00276CDE" w:rsidRPr="00FC1A69" w:rsidRDefault="00276CDE" w:rsidP="005C25CE">
            <w:pPr>
              <w:jc w:val="center"/>
              <w:rPr>
                <w:rFonts w:ascii="Calibri" w:hAnsi="Calibri" w:cs="Calibri"/>
                <w:b/>
                <w:color w:val="BD2A33"/>
                <w:sz w:val="40"/>
                <w:szCs w:val="40"/>
              </w:rPr>
            </w:pPr>
            <w:r w:rsidRPr="00FC1A69">
              <w:rPr>
                <w:rFonts w:ascii="Calibri" w:hAnsi="Calibri" w:cs="Calibri"/>
                <w:b/>
                <w:color w:val="BD2A33"/>
                <w:sz w:val="40"/>
                <w:szCs w:val="40"/>
              </w:rPr>
              <w:t xml:space="preserve">? </w:t>
            </w:r>
          </w:p>
          <w:p w14:paraId="4D87E715" w14:textId="3FAC49E5" w:rsidR="00A731C3" w:rsidRPr="00AC73A8" w:rsidRDefault="002278D3" w:rsidP="00AC73A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73A8">
              <w:rPr>
                <w:rFonts w:ascii="Calibri" w:hAnsi="Calibri" w:cs="Calibri"/>
                <w:b/>
                <w:sz w:val="24"/>
                <w:szCs w:val="24"/>
              </w:rPr>
              <w:t xml:space="preserve">MV, MK a </w:t>
            </w:r>
            <w:proofErr w:type="spellStart"/>
            <w:r w:rsidRPr="00AC73A8">
              <w:rPr>
                <w:rFonts w:ascii="Calibri" w:hAnsi="Calibri" w:cs="Calibri"/>
                <w:b/>
                <w:sz w:val="24"/>
                <w:szCs w:val="24"/>
              </w:rPr>
              <w:t>MZd</w:t>
            </w:r>
            <w:proofErr w:type="spellEnd"/>
            <w:r w:rsidRPr="00AC73A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B5E7D" w:rsidRPr="00AC73A8">
              <w:rPr>
                <w:rFonts w:ascii="Calibri" w:hAnsi="Calibri" w:cs="Calibri"/>
                <w:b/>
                <w:sz w:val="24"/>
                <w:szCs w:val="24"/>
              </w:rPr>
              <w:t>neznají</w:t>
            </w:r>
            <w:r w:rsidRPr="00AC73A8">
              <w:rPr>
                <w:rFonts w:ascii="Calibri" w:hAnsi="Calibri" w:cs="Calibri"/>
                <w:b/>
                <w:sz w:val="24"/>
                <w:szCs w:val="24"/>
              </w:rPr>
              <w:t xml:space="preserve"> poč</w:t>
            </w:r>
            <w:r w:rsidR="006B5E7D" w:rsidRPr="00AC73A8">
              <w:rPr>
                <w:rFonts w:ascii="Calibri" w:hAnsi="Calibri" w:cs="Calibri"/>
                <w:b/>
                <w:sz w:val="24"/>
                <w:szCs w:val="24"/>
              </w:rPr>
              <w:t>et měkkých cílů</w:t>
            </w:r>
            <w:r w:rsidR="00CB74F3" w:rsidRPr="00AC73A8">
              <w:rPr>
                <w:rFonts w:ascii="Calibri" w:hAnsi="Calibri" w:cs="Calibri"/>
                <w:b/>
                <w:sz w:val="24"/>
                <w:szCs w:val="24"/>
              </w:rPr>
              <w:t>, u nichž došlo ke zvýšení jejich ochrany</w:t>
            </w:r>
          </w:p>
        </w:tc>
      </w:tr>
      <w:tr w:rsidR="00AC73A8" w:rsidRPr="00907CCB" w14:paraId="0B1E3CA4" w14:textId="77777777" w:rsidTr="00AC73A8">
        <w:trPr>
          <w:trHeight w:val="305"/>
        </w:trPr>
        <w:tc>
          <w:tcPr>
            <w:tcW w:w="10067" w:type="dxa"/>
            <w:gridSpan w:val="3"/>
          </w:tcPr>
          <w:p w14:paraId="218F2229" w14:textId="77777777" w:rsidR="00AC73A8" w:rsidRPr="00420956" w:rsidRDefault="00AC73A8" w:rsidP="00BE508A">
            <w:pPr>
              <w:jc w:val="center"/>
              <w:rPr>
                <w:rFonts w:ascii="Calibri" w:hAnsi="Calibri" w:cs="Calibri"/>
                <w:b/>
                <w:sz w:val="28"/>
                <w:szCs w:val="32"/>
              </w:rPr>
            </w:pPr>
          </w:p>
        </w:tc>
      </w:tr>
      <w:tr w:rsidR="00A731C3" w:rsidRPr="00907CCB" w14:paraId="557BD194" w14:textId="77777777" w:rsidTr="00AC73A8">
        <w:trPr>
          <w:trHeight w:val="305"/>
        </w:trPr>
        <w:tc>
          <w:tcPr>
            <w:tcW w:w="10067" w:type="dxa"/>
            <w:gridSpan w:val="3"/>
          </w:tcPr>
          <w:p w14:paraId="1FFA0418" w14:textId="4AF79A19" w:rsidR="00A731C3" w:rsidRPr="00420956" w:rsidRDefault="0039364D" w:rsidP="00BE508A">
            <w:pPr>
              <w:jc w:val="center"/>
              <w:rPr>
                <w:rFonts w:ascii="Calibri" w:hAnsi="Calibri" w:cs="Calibri"/>
                <w:b/>
                <w:sz w:val="28"/>
                <w:szCs w:val="32"/>
              </w:rPr>
            </w:pPr>
            <w:r w:rsidRPr="00420956">
              <w:rPr>
                <w:rFonts w:ascii="Calibri" w:hAnsi="Calibri" w:cs="Calibri"/>
                <w:b/>
                <w:sz w:val="28"/>
                <w:szCs w:val="32"/>
              </w:rPr>
              <w:t>Podíl čerpání</w:t>
            </w:r>
            <w:r w:rsidR="00A731C3" w:rsidRPr="00420956">
              <w:rPr>
                <w:rFonts w:ascii="Calibri" w:hAnsi="Calibri" w:cs="Calibri"/>
                <w:b/>
                <w:sz w:val="28"/>
                <w:szCs w:val="32"/>
              </w:rPr>
              <w:t xml:space="preserve"> </w:t>
            </w:r>
            <w:r w:rsidR="0043287F" w:rsidRPr="00420956">
              <w:rPr>
                <w:rFonts w:ascii="Calibri" w:hAnsi="Calibri" w:cs="Calibri"/>
                <w:b/>
                <w:sz w:val="28"/>
                <w:szCs w:val="32"/>
              </w:rPr>
              <w:t xml:space="preserve">peněžních prostředků státu na neinvestiční </w:t>
            </w:r>
            <w:r w:rsidR="00420956">
              <w:rPr>
                <w:rFonts w:ascii="Calibri" w:hAnsi="Calibri" w:cs="Calibri"/>
                <w:b/>
                <w:sz w:val="28"/>
                <w:szCs w:val="32"/>
              </w:rPr>
              <w:br/>
            </w:r>
            <w:r w:rsidR="0043287F" w:rsidRPr="00420956">
              <w:rPr>
                <w:rFonts w:ascii="Calibri" w:hAnsi="Calibri" w:cs="Calibri"/>
                <w:b/>
                <w:sz w:val="28"/>
                <w:szCs w:val="32"/>
              </w:rPr>
              <w:t xml:space="preserve">programy </w:t>
            </w:r>
            <w:r w:rsidR="0033223F" w:rsidRPr="00420956">
              <w:rPr>
                <w:rFonts w:ascii="Calibri" w:hAnsi="Calibri" w:cs="Calibri"/>
                <w:b/>
                <w:sz w:val="28"/>
                <w:szCs w:val="32"/>
              </w:rPr>
              <w:t>ochrany měkkých cílů</w:t>
            </w:r>
          </w:p>
        </w:tc>
      </w:tr>
    </w:tbl>
    <w:p w14:paraId="492A23A0" w14:textId="67C135AB" w:rsidR="005264A9" w:rsidRPr="00420956" w:rsidRDefault="005A669F" w:rsidP="00420956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E8FF4FE" wp14:editId="100231D7">
            <wp:simplePos x="0" y="0"/>
            <wp:positionH relativeFrom="margin">
              <wp:align>center</wp:align>
            </wp:positionH>
            <wp:positionV relativeFrom="paragraph">
              <wp:posOffset>2021938</wp:posOffset>
            </wp:positionV>
            <wp:extent cx="5610225" cy="219710"/>
            <wp:effectExtent l="0" t="0" r="0" b="8890"/>
            <wp:wrapNone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4A9">
        <w:rPr>
          <w:noProof/>
        </w:rPr>
        <w:drawing>
          <wp:inline distT="0" distB="0" distL="0" distR="0" wp14:anchorId="23B6B0CE" wp14:editId="56447A86">
            <wp:extent cx="1917700" cy="2336800"/>
            <wp:effectExtent l="0" t="0" r="6350" b="635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5264A9">
        <w:rPr>
          <w:noProof/>
        </w:rPr>
        <w:drawing>
          <wp:inline distT="0" distB="0" distL="0" distR="0" wp14:anchorId="32A9A47B" wp14:editId="0E6F8A61">
            <wp:extent cx="1828800" cy="2208628"/>
            <wp:effectExtent l="0" t="0" r="0" b="127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5264A9">
        <w:rPr>
          <w:noProof/>
        </w:rPr>
        <w:drawing>
          <wp:inline distT="0" distB="0" distL="0" distR="0" wp14:anchorId="3117CDC3" wp14:editId="1C1D3F19">
            <wp:extent cx="1917700" cy="2216150"/>
            <wp:effectExtent l="0" t="0" r="6350" b="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065A8EE" w14:textId="77777777" w:rsidR="00420956" w:rsidRDefault="00420956" w:rsidP="005A669F">
      <w:pPr>
        <w:ind w:left="-425"/>
        <w:jc w:val="center"/>
        <w:rPr>
          <w:rFonts w:ascii="Calibri" w:eastAsia="Calibri" w:hAnsi="Calibri" w:cs="Calibri"/>
          <w:b/>
          <w:sz w:val="28"/>
          <w:szCs w:val="32"/>
        </w:rPr>
      </w:pPr>
    </w:p>
    <w:p w14:paraId="1CC04627" w14:textId="77DB3AA4" w:rsidR="006265D4" w:rsidRPr="00420956" w:rsidRDefault="006265D4" w:rsidP="005A669F">
      <w:pPr>
        <w:ind w:left="-425"/>
        <w:jc w:val="center"/>
        <w:rPr>
          <w:rFonts w:ascii="Calibri" w:eastAsia="Calibri" w:hAnsi="Calibri" w:cs="Calibri"/>
          <w:b/>
          <w:sz w:val="28"/>
          <w:szCs w:val="32"/>
        </w:rPr>
      </w:pPr>
      <w:r w:rsidRPr="00420956">
        <w:rPr>
          <w:rFonts w:ascii="Calibri" w:eastAsia="Calibri" w:hAnsi="Calibri" w:cs="Calibri"/>
          <w:b/>
          <w:sz w:val="28"/>
          <w:szCs w:val="32"/>
        </w:rPr>
        <w:t xml:space="preserve">Vývoj </w:t>
      </w:r>
      <w:r w:rsidR="008F03BA" w:rsidRPr="00420956">
        <w:rPr>
          <w:rFonts w:ascii="Calibri" w:eastAsia="Calibri" w:hAnsi="Calibri" w:cs="Calibri"/>
          <w:b/>
          <w:sz w:val="28"/>
          <w:szCs w:val="32"/>
        </w:rPr>
        <w:t xml:space="preserve">vybraných </w:t>
      </w:r>
      <w:r w:rsidRPr="00420956">
        <w:rPr>
          <w:rFonts w:ascii="Calibri" w:eastAsia="Calibri" w:hAnsi="Calibri" w:cs="Calibri"/>
          <w:b/>
          <w:sz w:val="28"/>
          <w:szCs w:val="32"/>
        </w:rPr>
        <w:t xml:space="preserve">aktivit MV v oblasti ochrany měkkých cílů </w:t>
      </w:r>
      <w:r w:rsidR="00AC73A8" w:rsidRPr="00420956">
        <w:rPr>
          <w:rFonts w:ascii="Calibri" w:eastAsia="Calibri" w:hAnsi="Calibri" w:cs="Calibri"/>
          <w:b/>
          <w:sz w:val="28"/>
          <w:szCs w:val="32"/>
        </w:rPr>
        <w:br/>
      </w:r>
      <w:r w:rsidRPr="00420956">
        <w:rPr>
          <w:rFonts w:ascii="Calibri" w:eastAsia="Calibri" w:hAnsi="Calibri" w:cs="Calibri"/>
          <w:b/>
          <w:sz w:val="28"/>
          <w:szCs w:val="32"/>
        </w:rPr>
        <w:t>v letech 2010</w:t>
      </w:r>
      <w:r w:rsidR="00AC73A8" w:rsidRPr="00420956">
        <w:rPr>
          <w:rFonts w:ascii="Calibri" w:eastAsia="Calibri" w:hAnsi="Calibri" w:cs="Calibri"/>
          <w:b/>
          <w:sz w:val="28"/>
          <w:szCs w:val="32"/>
        </w:rPr>
        <w:t>–</w:t>
      </w:r>
      <w:r w:rsidRPr="00420956">
        <w:rPr>
          <w:rFonts w:ascii="Calibri" w:eastAsia="Calibri" w:hAnsi="Calibri" w:cs="Calibri"/>
          <w:b/>
          <w:sz w:val="28"/>
          <w:szCs w:val="32"/>
        </w:rPr>
        <w:t>2022</w:t>
      </w:r>
    </w:p>
    <w:tbl>
      <w:tblPr>
        <w:tblW w:w="10098" w:type="dxa"/>
        <w:jc w:val="center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546"/>
        <w:gridCol w:w="847"/>
        <w:gridCol w:w="887"/>
        <w:gridCol w:w="814"/>
        <w:gridCol w:w="704"/>
      </w:tblGrid>
      <w:tr w:rsidR="006C07E6" w:rsidRPr="00747E6A" w14:paraId="1B3DDA71" w14:textId="77777777" w:rsidTr="00126103">
        <w:trPr>
          <w:trHeight w:val="3356"/>
          <w:jc w:val="center"/>
        </w:trPr>
        <w:tc>
          <w:tcPr>
            <w:tcW w:w="700" w:type="dxa"/>
            <w:shd w:val="clear" w:color="auto" w:fill="auto"/>
            <w:textDirection w:val="btLr"/>
            <w:vAlign w:val="center"/>
            <w:hideMark/>
          </w:tcPr>
          <w:p w14:paraId="5CBB6851" w14:textId="5B3175BE" w:rsidR="006C07E6" w:rsidRPr="00747E6A" w:rsidRDefault="006C07E6" w:rsidP="005C25C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bookmarkStart w:id="1" w:name="_Hlk101511356"/>
            <w:r w:rsidRPr="00747E6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Schválení </w:t>
            </w:r>
            <w:r w:rsidRPr="00AA1A0C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cs-CZ"/>
              </w:rPr>
              <w:t>Strategie boje proti terorismu 2010</w:t>
            </w:r>
            <w:r w:rsidR="00AC73A8" w:rsidRPr="00AA1A0C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cs-CZ"/>
              </w:rPr>
              <w:t>–</w:t>
            </w:r>
            <w:r w:rsidRPr="00AA1A0C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700" w:type="dxa"/>
            <w:shd w:val="clear" w:color="auto" w:fill="auto"/>
            <w:noWrap/>
            <w:textDirection w:val="btLr"/>
            <w:vAlign w:val="center"/>
            <w:hideMark/>
          </w:tcPr>
          <w:p w14:paraId="1C9DD9F3" w14:textId="6C6DBAB3" w:rsidR="006C07E6" w:rsidRPr="00747E6A" w:rsidRDefault="00386619" w:rsidP="005C25C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47E6A">
              <w:rPr>
                <w:rFonts w:ascii="Calibri" w:eastAsia="Times New Roman" w:hAnsi="Calibri" w:cs="Times New Roman"/>
                <w:b/>
                <w:noProof/>
                <w:color w:val="00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A049BB" wp14:editId="5C397E05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-1143635</wp:posOffset>
                      </wp:positionV>
                      <wp:extent cx="2724150" cy="311150"/>
                      <wp:effectExtent l="19050" t="0" r="19050" b="12700"/>
                      <wp:wrapNone/>
                      <wp:docPr id="19" name="Šipka: dvojitá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0" cy="311150"/>
                              </a:xfrm>
                              <a:prstGeom prst="chevron">
                                <a:avLst/>
                              </a:prstGeom>
                              <a:solidFill>
                                <a:srgbClr val="BD2A33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D416C9" w14:textId="77777777" w:rsidR="000F6FFD" w:rsidRPr="00386619" w:rsidRDefault="000F6FFD" w:rsidP="00386619">
                                  <w:pPr>
                                    <w:shd w:val="clear" w:color="auto" w:fill="BD2A33"/>
                                    <w:ind w:left="1069" w:firstLine="349"/>
                                    <w:contextualSpacing/>
                                    <w:rPr>
                                      <w:rFonts w:eastAsia="Times New Roman" w:cstheme="minorHAnsi"/>
                                      <w:lang w:eastAsia="cs-CZ"/>
                                    </w:rPr>
                                  </w:pPr>
                                  <w:r w:rsidRPr="00386619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0000"/>
                                      <w:lang w:eastAsia="cs-CZ"/>
                                    </w:rPr>
                                    <w:t>6 let</w:t>
                                  </w:r>
                                </w:p>
                                <w:p w14:paraId="6E239856" w14:textId="77A4D6DF" w:rsidR="000F6FFD" w:rsidRPr="00386619" w:rsidRDefault="000F6FFD" w:rsidP="00386619">
                                  <w:pPr>
                                    <w:shd w:val="clear" w:color="auto" w:fill="BD2A33"/>
                                    <w:jc w:val="center"/>
                                    <w:rPr>
                                      <w:b/>
                                      <w:color w:val="BD2A33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A049BB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Šipka: dvojitá 19" o:spid="_x0000_s1026" type="#_x0000_t55" style="position:absolute;left:0;text-align:left;margin-left:-5.2pt;margin-top:-90.05pt;width:214.5pt;height:2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" adj="20366" fillcolor="#bd2a33" strokecolor="white [3212]" strokeweight="1pt">
                      <v:textbox>
                        <w:txbxContent>
                          <w:p w14:paraId="09D416C9" w14:textId="77777777" w:rsidR="000F6FFD" w:rsidRPr="00386619" w:rsidRDefault="000F6FFD" w:rsidP="00386619">
                            <w:pPr>
                              <w:shd w:val="clear" w:color="auto" w:fill="BD2A33"/>
                              <w:ind w:left="1069" w:firstLine="349"/>
                              <w:contextualSpacing/>
                              <w:rPr>
                                <w:rFonts w:eastAsia="Times New Roman" w:cstheme="minorHAnsi"/>
                                <w:lang w:eastAsia="cs-CZ"/>
                              </w:rPr>
                            </w:pPr>
                            <w:r w:rsidRPr="00386619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lang w:eastAsia="cs-CZ"/>
                              </w:rPr>
                              <w:t>6 let</w:t>
                            </w:r>
                          </w:p>
                          <w:p w14:paraId="6E239856" w14:textId="77A4D6DF" w:rsidR="000F6FFD" w:rsidRPr="00386619" w:rsidRDefault="000F6FFD" w:rsidP="00386619">
                            <w:pPr>
                              <w:shd w:val="clear" w:color="auto" w:fill="BD2A33"/>
                              <w:jc w:val="center"/>
                              <w:rPr>
                                <w:b/>
                                <w:color w:val="BD2A33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0" w:type="dxa"/>
            <w:shd w:val="clear" w:color="auto" w:fill="auto"/>
            <w:noWrap/>
            <w:textDirection w:val="btLr"/>
            <w:vAlign w:val="center"/>
            <w:hideMark/>
          </w:tcPr>
          <w:p w14:paraId="6EBEEFAE" w14:textId="77777777" w:rsidR="006C07E6" w:rsidRPr="00747E6A" w:rsidRDefault="006C07E6" w:rsidP="005C25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shd w:val="clear" w:color="auto" w:fill="auto"/>
            <w:noWrap/>
            <w:textDirection w:val="btLr"/>
            <w:vAlign w:val="center"/>
            <w:hideMark/>
          </w:tcPr>
          <w:p w14:paraId="2DFDCD17" w14:textId="77777777" w:rsidR="006C07E6" w:rsidRPr="00747E6A" w:rsidRDefault="006C07E6" w:rsidP="005C25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shd w:val="clear" w:color="auto" w:fill="auto"/>
            <w:noWrap/>
            <w:textDirection w:val="btLr"/>
            <w:vAlign w:val="center"/>
            <w:hideMark/>
          </w:tcPr>
          <w:p w14:paraId="7CB1ADF7" w14:textId="77777777" w:rsidR="006C07E6" w:rsidRPr="00747E6A" w:rsidRDefault="006C07E6" w:rsidP="005C25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shd w:val="clear" w:color="auto" w:fill="auto"/>
            <w:noWrap/>
            <w:textDirection w:val="btLr"/>
            <w:vAlign w:val="center"/>
            <w:hideMark/>
          </w:tcPr>
          <w:p w14:paraId="476BC8ED" w14:textId="77777777" w:rsidR="006C07E6" w:rsidRPr="00747E6A" w:rsidRDefault="006C07E6" w:rsidP="005C25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shd w:val="clear" w:color="auto" w:fill="auto"/>
            <w:noWrap/>
            <w:textDirection w:val="btLr"/>
            <w:vAlign w:val="center"/>
            <w:hideMark/>
          </w:tcPr>
          <w:p w14:paraId="0D081108" w14:textId="77777777" w:rsidR="006C07E6" w:rsidRPr="00747E6A" w:rsidRDefault="006C07E6" w:rsidP="005C25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shd w:val="clear" w:color="auto" w:fill="auto"/>
            <w:textDirection w:val="btLr"/>
            <w:vAlign w:val="center"/>
            <w:hideMark/>
          </w:tcPr>
          <w:p w14:paraId="098206B9" w14:textId="0B1111E8" w:rsidR="006C07E6" w:rsidRPr="00747E6A" w:rsidRDefault="006C07E6" w:rsidP="005C25C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47E6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Schválení </w:t>
            </w:r>
            <w:r w:rsidRPr="00AA1A0C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cs-CZ"/>
              </w:rPr>
              <w:t>Koncepce ochrany měkkých cílů 2017</w:t>
            </w:r>
            <w:r w:rsidR="00AC73A8" w:rsidRPr="00AA1A0C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cs-CZ"/>
              </w:rPr>
              <w:t>–</w:t>
            </w:r>
            <w:r w:rsidRPr="00AA1A0C">
              <w:rPr>
                <w:rFonts w:ascii="Calibri" w:eastAsia="Times New Roman" w:hAnsi="Calibri" w:cs="Times New Roman"/>
                <w:b/>
                <w:i/>
                <w:color w:val="000000"/>
                <w:sz w:val="20"/>
                <w:szCs w:val="20"/>
                <w:lang w:eastAsia="cs-CZ"/>
              </w:rPr>
              <w:t>2020</w:t>
            </w:r>
            <w:r w:rsidR="003D312E" w:rsidRPr="00747E6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00" w:type="dxa"/>
            <w:shd w:val="clear" w:color="auto" w:fill="auto"/>
            <w:noWrap/>
            <w:textDirection w:val="btLr"/>
            <w:vAlign w:val="center"/>
            <w:hideMark/>
          </w:tcPr>
          <w:p w14:paraId="5C489E21" w14:textId="77777777" w:rsidR="006C07E6" w:rsidRPr="00747E6A" w:rsidRDefault="006C07E6" w:rsidP="005C25C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6" w:type="dxa"/>
            <w:shd w:val="clear" w:color="auto" w:fill="auto"/>
            <w:textDirection w:val="btLr"/>
            <w:vAlign w:val="center"/>
            <w:hideMark/>
          </w:tcPr>
          <w:p w14:paraId="68E7374B" w14:textId="0655EED3" w:rsidR="006C07E6" w:rsidRPr="00CE63F6" w:rsidRDefault="00390878" w:rsidP="005C25C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Zahájení realizace</w:t>
            </w:r>
            <w:r w:rsidR="00844D8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6C07E6" w:rsidRPr="00747E6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neinvestičních programů</w:t>
            </w:r>
          </w:p>
        </w:tc>
        <w:tc>
          <w:tcPr>
            <w:tcW w:w="847" w:type="dxa"/>
            <w:shd w:val="clear" w:color="auto" w:fill="auto"/>
            <w:textDirection w:val="btLr"/>
            <w:vAlign w:val="center"/>
            <w:hideMark/>
          </w:tcPr>
          <w:p w14:paraId="09413A40" w14:textId="6FB668B8" w:rsidR="006C07E6" w:rsidRPr="00747E6A" w:rsidRDefault="00A05F5C" w:rsidP="005C25C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 xml:space="preserve">Konec </w:t>
            </w:r>
            <w:r w:rsidR="006C07E6" w:rsidRPr="00126103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platnosti Koncepce</w:t>
            </w:r>
            <w:r w:rsidR="00DE79D7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 OMC</w:t>
            </w:r>
            <w:r w:rsidR="00126103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 xml:space="preserve">, </w:t>
            </w:r>
            <w:r w:rsidR="00126103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 xml:space="preserve">absence </w:t>
            </w:r>
            <w:r w:rsidR="00126103" w:rsidRPr="00126103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n</w:t>
            </w:r>
            <w:r w:rsidR="00AC73A8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a</w:t>
            </w:r>
            <w:r w:rsidR="00126103" w:rsidRPr="00126103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 xml:space="preserve">vazující </w:t>
            </w:r>
            <w:r w:rsidR="00126103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 xml:space="preserve">koncepce </w:t>
            </w:r>
            <w:r w:rsidR="00126103" w:rsidRPr="00126103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na roky 2021</w:t>
            </w:r>
            <w:r w:rsidR="00AC73A8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–</w:t>
            </w:r>
            <w:r w:rsidR="00126103" w:rsidRPr="00126103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2023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  <w:hideMark/>
          </w:tcPr>
          <w:p w14:paraId="26646259" w14:textId="3FF2B8C3" w:rsidR="006C07E6" w:rsidRPr="00747E6A" w:rsidRDefault="00390878" w:rsidP="005C25C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Ukončení</w:t>
            </w:r>
            <w:r w:rsidR="00A05F5C" w:rsidRPr="00747E6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6C07E6" w:rsidRPr="00747E6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realizace neinvestičních programů</w:t>
            </w:r>
            <w:r w:rsidR="00FD083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 a </w:t>
            </w:r>
            <w:r w:rsidR="00FD083C" w:rsidRPr="00126103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 xml:space="preserve">předpoklad </w:t>
            </w:r>
            <w:r w:rsidR="00945196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zahájení</w:t>
            </w:r>
            <w:r w:rsidR="00844D80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 xml:space="preserve"> </w:t>
            </w:r>
            <w:r w:rsidR="00FD083C" w:rsidRPr="00126103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investičních programů</w:t>
            </w:r>
          </w:p>
        </w:tc>
        <w:tc>
          <w:tcPr>
            <w:tcW w:w="814" w:type="dxa"/>
            <w:shd w:val="clear" w:color="auto" w:fill="auto"/>
            <w:textDirection w:val="btLr"/>
            <w:vAlign w:val="center"/>
            <w:hideMark/>
          </w:tcPr>
          <w:p w14:paraId="741DB38A" w14:textId="5FE4E53B" w:rsidR="006C07E6" w:rsidRPr="00FD083C" w:rsidRDefault="00FD083C" w:rsidP="005C25CE">
            <w:pPr>
              <w:jc w:val="center"/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</w:pPr>
            <w:r w:rsidRPr="00FD083C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 xml:space="preserve">V době ukončení kontroly NKÚ </w:t>
            </w:r>
            <w:r w:rsidR="00AC73A8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br/>
            </w:r>
            <w:r w:rsidRPr="00FD083C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nebyla Koncepce</w:t>
            </w:r>
            <w:r w:rsidR="00DE79D7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 OMC</w:t>
            </w:r>
            <w:r w:rsidRPr="00FD083C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 xml:space="preserve"> ani neinvestiční programy</w:t>
            </w:r>
            <w:r w:rsidR="00126103" w:rsidRPr="00FD083C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 xml:space="preserve"> vyhodnocen</w:t>
            </w:r>
            <w:r w:rsidR="004A5328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y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  <w:hideMark/>
          </w:tcPr>
          <w:p w14:paraId="327DB2B7" w14:textId="2646CF0B" w:rsidR="006C07E6" w:rsidRPr="00747E6A" w:rsidRDefault="006C07E6" w:rsidP="005C25C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47E6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Realizace investiční</w:t>
            </w:r>
            <w:r w:rsidR="00FD083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ch</w:t>
            </w:r>
            <w:r w:rsidRPr="00747E6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 programů</w:t>
            </w:r>
            <w:r w:rsidR="00FD083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D4741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(</w:t>
            </w:r>
            <w:r w:rsidR="00FD083C" w:rsidRPr="00FD083C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?</w:t>
            </w:r>
            <w:r w:rsidR="008D4741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)</w:t>
            </w:r>
          </w:p>
        </w:tc>
      </w:tr>
      <w:tr w:rsidR="006C07E6" w:rsidRPr="00747E6A" w14:paraId="1ABDEB5C" w14:textId="77777777" w:rsidTr="00126103">
        <w:trPr>
          <w:trHeight w:val="417"/>
          <w:jc w:val="center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EF1F13A" w14:textId="549402C9" w:rsidR="006C07E6" w:rsidRPr="00747E6A" w:rsidRDefault="006C07E6" w:rsidP="005C25C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47E6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2010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2BFFF30" w14:textId="77777777" w:rsidR="006C07E6" w:rsidRPr="00747E6A" w:rsidRDefault="006C07E6" w:rsidP="005C25CE">
            <w:pPr>
              <w:jc w:val="center"/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</w:pPr>
            <w:r w:rsidRPr="00747E6A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AAD81FE" w14:textId="77777777" w:rsidR="006C07E6" w:rsidRPr="00747E6A" w:rsidRDefault="006C07E6" w:rsidP="005C25CE">
            <w:pPr>
              <w:jc w:val="center"/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</w:pPr>
            <w:r w:rsidRPr="00747E6A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D60D7E6" w14:textId="77777777" w:rsidR="006C07E6" w:rsidRPr="00747E6A" w:rsidRDefault="006C07E6" w:rsidP="005C25CE">
            <w:pPr>
              <w:jc w:val="center"/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</w:pPr>
            <w:r w:rsidRPr="00747E6A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747583D" w14:textId="77777777" w:rsidR="006C07E6" w:rsidRPr="00747E6A" w:rsidRDefault="006C07E6" w:rsidP="005C25CE">
            <w:pPr>
              <w:jc w:val="center"/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</w:pPr>
            <w:r w:rsidRPr="00747E6A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710F326" w14:textId="77777777" w:rsidR="006C07E6" w:rsidRPr="00747E6A" w:rsidRDefault="006C07E6" w:rsidP="005C25CE">
            <w:pPr>
              <w:jc w:val="center"/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</w:pPr>
            <w:r w:rsidRPr="00747E6A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04CF496" w14:textId="77777777" w:rsidR="006C07E6" w:rsidRPr="00747E6A" w:rsidRDefault="006C07E6" w:rsidP="005C25CE">
            <w:pPr>
              <w:jc w:val="center"/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</w:pPr>
            <w:r w:rsidRPr="00747E6A">
              <w:rPr>
                <w:rFonts w:ascii="Calibri" w:eastAsia="Times New Roman" w:hAnsi="Calibri" w:cs="Times New Roman"/>
                <w:b/>
                <w:color w:val="BD2A33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34FFB08" w14:textId="77777777" w:rsidR="006C07E6" w:rsidRPr="00747E6A" w:rsidRDefault="006C07E6" w:rsidP="005C25C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47E6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E5E21E5" w14:textId="77777777" w:rsidR="006C07E6" w:rsidRPr="00747E6A" w:rsidRDefault="006C07E6" w:rsidP="005C25C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47E6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6C472CAD" w14:textId="77777777" w:rsidR="006C07E6" w:rsidRPr="00747E6A" w:rsidRDefault="006C07E6" w:rsidP="005C25C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47E6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14:paraId="0189DB91" w14:textId="77777777" w:rsidR="006C07E6" w:rsidRPr="00747E6A" w:rsidRDefault="006C07E6" w:rsidP="005C25C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47E6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887" w:type="dxa"/>
            <w:shd w:val="clear" w:color="auto" w:fill="auto"/>
            <w:noWrap/>
            <w:vAlign w:val="bottom"/>
            <w:hideMark/>
          </w:tcPr>
          <w:p w14:paraId="20B900C0" w14:textId="77777777" w:rsidR="006C07E6" w:rsidRPr="00747E6A" w:rsidRDefault="006C07E6" w:rsidP="005C25C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47E6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14:paraId="745E8CA1" w14:textId="77777777" w:rsidR="006C07E6" w:rsidRPr="00747E6A" w:rsidRDefault="006C07E6" w:rsidP="005C25C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47E6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A4601BF" w14:textId="77777777" w:rsidR="006C07E6" w:rsidRPr="00747E6A" w:rsidRDefault="006C07E6" w:rsidP="005C25C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747E6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2023 +</w:t>
            </w:r>
          </w:p>
        </w:tc>
      </w:tr>
      <w:bookmarkEnd w:id="1"/>
    </w:tbl>
    <w:p w14:paraId="193DC50A" w14:textId="77777777" w:rsidR="00F472A9" w:rsidRDefault="00F472A9" w:rsidP="00742E41">
      <w:pPr>
        <w:keepNext/>
        <w:keepLines/>
        <w:spacing w:after="240"/>
        <w:ind w:left="431" w:hanging="431"/>
        <w:jc w:val="center"/>
        <w:outlineLvl w:val="0"/>
        <w:rPr>
          <w:rFonts w:cstheme="minorHAnsi"/>
          <w:b/>
          <w:sz w:val="28"/>
        </w:rPr>
      </w:pPr>
    </w:p>
    <w:p w14:paraId="743D3B00" w14:textId="77777777" w:rsidR="00F472A9" w:rsidRDefault="00F472A9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14:paraId="1830AD36" w14:textId="71BCD4D1" w:rsidR="006265D4" w:rsidRPr="006265D4" w:rsidRDefault="006265D4" w:rsidP="00420956">
      <w:pPr>
        <w:keepNext/>
        <w:keepLines/>
        <w:spacing w:after="240"/>
        <w:jc w:val="center"/>
        <w:outlineLvl w:val="0"/>
        <w:rPr>
          <w:rFonts w:cstheme="minorHAnsi"/>
          <w:b/>
          <w:sz w:val="28"/>
        </w:rPr>
      </w:pPr>
      <w:r w:rsidRPr="006265D4">
        <w:rPr>
          <w:rFonts w:cstheme="minorHAnsi"/>
          <w:b/>
          <w:sz w:val="28"/>
        </w:rPr>
        <w:lastRenderedPageBreak/>
        <w:t>I. Shrnutí a vyhodnocení</w:t>
      </w:r>
    </w:p>
    <w:p w14:paraId="21FAD6F4" w14:textId="39BE4702" w:rsidR="00C733E5" w:rsidRDefault="00C733E5" w:rsidP="00420956">
      <w:pPr>
        <w:pStyle w:val="Text"/>
        <w:spacing w:after="120"/>
        <w:rPr>
          <w:bCs/>
        </w:rPr>
      </w:pPr>
      <w:r w:rsidRPr="00311A0C">
        <w:rPr>
          <w:bCs/>
        </w:rPr>
        <w:t xml:space="preserve">NKÚ provedl kontrolu peněžních prostředků státu poskytovaných </w:t>
      </w:r>
      <w:r w:rsidR="00135792">
        <w:rPr>
          <w:bCs/>
        </w:rPr>
        <w:t xml:space="preserve">z kapitol státního rozpočtu </w:t>
      </w:r>
      <w:r w:rsidR="00EA1524" w:rsidRPr="00EA1524">
        <w:rPr>
          <w:bCs/>
        </w:rPr>
        <w:t xml:space="preserve">MV, MK a </w:t>
      </w:r>
      <w:proofErr w:type="spellStart"/>
      <w:r w:rsidR="00EA1524" w:rsidRPr="00EA1524">
        <w:rPr>
          <w:bCs/>
        </w:rPr>
        <w:t>MZd</w:t>
      </w:r>
      <w:proofErr w:type="spellEnd"/>
      <w:r w:rsidR="00EA1524" w:rsidRPr="00311A0C">
        <w:rPr>
          <w:bCs/>
        </w:rPr>
        <w:t xml:space="preserve"> </w:t>
      </w:r>
      <w:r w:rsidRPr="00311A0C">
        <w:rPr>
          <w:bCs/>
        </w:rPr>
        <w:t>na systém ochrany měkkých cílů</w:t>
      </w:r>
      <w:r w:rsidR="00870C2A">
        <w:rPr>
          <w:bCs/>
        </w:rPr>
        <w:t xml:space="preserve"> (dále také „OMC“)</w:t>
      </w:r>
      <w:r w:rsidRPr="00311A0C">
        <w:rPr>
          <w:bCs/>
        </w:rPr>
        <w:t>.</w:t>
      </w:r>
      <w:r w:rsidR="00870C2A">
        <w:rPr>
          <w:bCs/>
        </w:rPr>
        <w:t xml:space="preserve"> Jako měkké cíle</w:t>
      </w:r>
      <w:r w:rsidR="00CF5E0D">
        <w:rPr>
          <w:bCs/>
        </w:rPr>
        <w:t xml:space="preserve"> (dále také „MC“)</w:t>
      </w:r>
      <w:r w:rsidR="00870C2A">
        <w:rPr>
          <w:bCs/>
        </w:rPr>
        <w:t xml:space="preserve"> se </w:t>
      </w:r>
      <w:r w:rsidR="00CF5E0D">
        <w:rPr>
          <w:bCs/>
        </w:rPr>
        <w:t xml:space="preserve">obecně </w:t>
      </w:r>
      <w:r w:rsidR="00870C2A">
        <w:rPr>
          <w:bCs/>
        </w:rPr>
        <w:t xml:space="preserve">označují </w:t>
      </w:r>
      <w:r w:rsidR="009177A5">
        <w:rPr>
          <w:bCs/>
        </w:rPr>
        <w:t>objekty, prostory nebo akce charakterizované častou přítomností většího</w:t>
      </w:r>
      <w:r w:rsidR="001A1B32">
        <w:rPr>
          <w:bCs/>
        </w:rPr>
        <w:t xml:space="preserve"> počtu</w:t>
      </w:r>
      <w:r w:rsidR="009177A5" w:rsidRPr="00870C2A">
        <w:rPr>
          <w:bCs/>
        </w:rPr>
        <w:t xml:space="preserve"> </w:t>
      </w:r>
      <w:r w:rsidR="00870C2A" w:rsidRPr="00870C2A">
        <w:rPr>
          <w:bCs/>
        </w:rPr>
        <w:t xml:space="preserve">osob a </w:t>
      </w:r>
      <w:r w:rsidR="001A1B32">
        <w:rPr>
          <w:bCs/>
        </w:rPr>
        <w:t xml:space="preserve">současně absencí či </w:t>
      </w:r>
      <w:r w:rsidR="00870C2A" w:rsidRPr="00870C2A">
        <w:rPr>
          <w:bCs/>
        </w:rPr>
        <w:t>nízkou mírou zabezpečení proti násilnému útoku</w:t>
      </w:r>
      <w:r w:rsidR="00367D6C">
        <w:rPr>
          <w:bCs/>
        </w:rPr>
        <w:t>.</w:t>
      </w:r>
      <w:r w:rsidR="00AE29FD">
        <w:rPr>
          <w:bCs/>
        </w:rPr>
        <w:t xml:space="preserve"> </w:t>
      </w:r>
      <w:r w:rsidRPr="00311A0C">
        <w:rPr>
          <w:bCs/>
        </w:rPr>
        <w:t xml:space="preserve">Cílem kontroly bylo prověřit, zda peněžní prostředky státu na </w:t>
      </w:r>
      <w:r w:rsidR="00870C2A">
        <w:rPr>
          <w:bCs/>
        </w:rPr>
        <w:t xml:space="preserve">systém OMC </w:t>
      </w:r>
      <w:r w:rsidRPr="00311A0C">
        <w:rPr>
          <w:bCs/>
        </w:rPr>
        <w:t>byly vynaloženy a</w:t>
      </w:r>
      <w:r w:rsidR="00B60964">
        <w:rPr>
          <w:bCs/>
        </w:rPr>
        <w:t> </w:t>
      </w:r>
      <w:r w:rsidRPr="00311A0C">
        <w:rPr>
          <w:bCs/>
        </w:rPr>
        <w:t xml:space="preserve">čerpány účelně, hospodárně a v souladu s právními předpisy. Kontrola byla provedena u tří </w:t>
      </w:r>
      <w:r w:rsidR="00930738">
        <w:rPr>
          <w:bCs/>
        </w:rPr>
        <w:t>poskytovatelů dotací</w:t>
      </w:r>
      <w:r w:rsidRPr="00311A0C">
        <w:rPr>
          <w:bCs/>
        </w:rPr>
        <w:t xml:space="preserve"> a tří příjemců.</w:t>
      </w:r>
    </w:p>
    <w:p w14:paraId="022E3F93" w14:textId="6B81050E" w:rsidR="00311A0C" w:rsidRPr="00CC568A" w:rsidRDefault="00311A0C" w:rsidP="00420956">
      <w:pPr>
        <w:pStyle w:val="Text"/>
        <w:spacing w:after="120"/>
        <w:rPr>
          <w:lang w:eastAsia="cs-CZ"/>
        </w:rPr>
      </w:pPr>
      <w:r w:rsidRPr="00CC568A">
        <w:rPr>
          <w:lang w:eastAsia="cs-CZ"/>
        </w:rPr>
        <w:t>Česká republika</w:t>
      </w:r>
      <w:r w:rsidR="00EA1524">
        <w:rPr>
          <w:lang w:eastAsia="cs-CZ"/>
        </w:rPr>
        <w:t xml:space="preserve"> (dále také </w:t>
      </w:r>
      <w:r w:rsidR="00C46023">
        <w:rPr>
          <w:lang w:eastAsia="cs-CZ"/>
        </w:rPr>
        <w:t>„</w:t>
      </w:r>
      <w:r w:rsidR="00EA1524">
        <w:rPr>
          <w:lang w:eastAsia="cs-CZ"/>
        </w:rPr>
        <w:t>ČR</w:t>
      </w:r>
      <w:r w:rsidR="00C46023">
        <w:rPr>
          <w:lang w:eastAsia="cs-CZ"/>
        </w:rPr>
        <w:t>“</w:t>
      </w:r>
      <w:r w:rsidR="00EA1524">
        <w:rPr>
          <w:lang w:eastAsia="cs-CZ"/>
        </w:rPr>
        <w:t>)</w:t>
      </w:r>
      <w:r w:rsidRPr="00CC568A">
        <w:rPr>
          <w:lang w:eastAsia="cs-CZ"/>
        </w:rPr>
        <w:t xml:space="preserve"> čelila v</w:t>
      </w:r>
      <w:r w:rsidR="005643BB">
        <w:rPr>
          <w:lang w:eastAsia="cs-CZ"/>
        </w:rPr>
        <w:t xml:space="preserve"> nedávné </w:t>
      </w:r>
      <w:r w:rsidRPr="00CC568A">
        <w:rPr>
          <w:lang w:eastAsia="cs-CZ"/>
        </w:rPr>
        <w:t>minulosti několika závažným útokům na měkké</w:t>
      </w:r>
      <w:r w:rsidR="00A05F5C">
        <w:rPr>
          <w:lang w:eastAsia="cs-CZ"/>
        </w:rPr>
        <w:t xml:space="preserve"> cíle</w:t>
      </w:r>
      <w:r w:rsidR="009177A5">
        <w:rPr>
          <w:lang w:eastAsia="cs-CZ"/>
        </w:rPr>
        <w:t>.</w:t>
      </w:r>
      <w:r w:rsidRPr="00CC568A">
        <w:rPr>
          <w:lang w:eastAsia="cs-CZ"/>
        </w:rPr>
        <w:t xml:space="preserve"> MV řeší problematiku </w:t>
      </w:r>
      <w:r w:rsidR="00CF5E0D">
        <w:rPr>
          <w:lang w:eastAsia="cs-CZ"/>
        </w:rPr>
        <w:t>MC</w:t>
      </w:r>
      <w:r w:rsidRPr="00CC568A">
        <w:rPr>
          <w:lang w:eastAsia="cs-CZ"/>
        </w:rPr>
        <w:t xml:space="preserve"> od roku 2010, v roce 2017 </w:t>
      </w:r>
      <w:r w:rsidR="005643BB">
        <w:rPr>
          <w:lang w:eastAsia="cs-CZ"/>
        </w:rPr>
        <w:t>byla schválena</w:t>
      </w:r>
      <w:r w:rsidR="00742E41" w:rsidRPr="00742E41">
        <w:rPr>
          <w:rFonts w:ascii="Calibri" w:eastAsia="Calibri" w:hAnsi="Calibri" w:cs="Times New Roman"/>
          <w:iCs/>
          <w:sz w:val="20"/>
          <w:szCs w:val="20"/>
        </w:rPr>
        <w:t xml:space="preserve"> </w:t>
      </w:r>
      <w:r w:rsidR="00742E41" w:rsidRPr="00742E41">
        <w:rPr>
          <w:i/>
          <w:iCs/>
          <w:lang w:eastAsia="cs-CZ"/>
        </w:rPr>
        <w:t>Koncepce ochrany měkkých cílů pro roky 2017</w:t>
      </w:r>
      <w:bookmarkStart w:id="2" w:name="_Hlk101954836"/>
      <w:r w:rsidR="00742E41" w:rsidRPr="00742E41">
        <w:rPr>
          <w:i/>
          <w:iCs/>
          <w:lang w:eastAsia="cs-CZ"/>
        </w:rPr>
        <w:t>–</w:t>
      </w:r>
      <w:bookmarkEnd w:id="2"/>
      <w:r w:rsidR="00742E41" w:rsidRPr="00742E41">
        <w:rPr>
          <w:i/>
          <w:iCs/>
          <w:lang w:eastAsia="cs-CZ"/>
        </w:rPr>
        <w:t>2020</w:t>
      </w:r>
      <w:r w:rsidR="005643BB">
        <w:rPr>
          <w:lang w:eastAsia="cs-CZ"/>
        </w:rPr>
        <w:t xml:space="preserve"> </w:t>
      </w:r>
      <w:r w:rsidR="00742E41">
        <w:rPr>
          <w:lang w:eastAsia="cs-CZ"/>
        </w:rPr>
        <w:t>(dále také „</w:t>
      </w:r>
      <w:r w:rsidR="005643BB">
        <w:rPr>
          <w:lang w:eastAsia="cs-CZ"/>
        </w:rPr>
        <w:t>Koncepce OMC</w:t>
      </w:r>
      <w:r w:rsidR="00742E41">
        <w:rPr>
          <w:lang w:eastAsia="cs-CZ"/>
        </w:rPr>
        <w:t xml:space="preserve">“) </w:t>
      </w:r>
      <w:r w:rsidRPr="00CC568A">
        <w:rPr>
          <w:lang w:eastAsia="cs-CZ"/>
        </w:rPr>
        <w:t xml:space="preserve">a od roku 2019 poskytují vybraná ministerstva peněžní prostředky státu na zvýšení </w:t>
      </w:r>
      <w:r w:rsidR="00CF5E0D">
        <w:rPr>
          <w:lang w:eastAsia="cs-CZ"/>
        </w:rPr>
        <w:t>OMC</w:t>
      </w:r>
      <w:r w:rsidRPr="00CC568A">
        <w:rPr>
          <w:lang w:eastAsia="cs-CZ"/>
        </w:rPr>
        <w:t xml:space="preserve"> (neinvestiční programy</w:t>
      </w:r>
      <w:r w:rsidR="00564B22">
        <w:rPr>
          <w:vertAlign w:val="superscript"/>
          <w:lang w:eastAsia="cs-CZ"/>
        </w:rPr>
        <w:t>1</w:t>
      </w:r>
      <w:r w:rsidRPr="00CC568A">
        <w:rPr>
          <w:lang w:eastAsia="cs-CZ"/>
        </w:rPr>
        <w:t xml:space="preserve">). MV, MK a </w:t>
      </w:r>
      <w:proofErr w:type="spellStart"/>
      <w:r w:rsidRPr="00CC568A">
        <w:rPr>
          <w:lang w:eastAsia="cs-CZ"/>
        </w:rPr>
        <w:t>MZd</w:t>
      </w:r>
      <w:proofErr w:type="spellEnd"/>
      <w:r w:rsidRPr="00CC568A">
        <w:rPr>
          <w:lang w:eastAsia="cs-CZ"/>
        </w:rPr>
        <w:t xml:space="preserve"> vynaložily v období 2019</w:t>
      </w:r>
      <w:r w:rsidR="005A098E" w:rsidRPr="00742E41">
        <w:rPr>
          <w:i/>
          <w:iCs/>
          <w:lang w:eastAsia="cs-CZ"/>
        </w:rPr>
        <w:t>–</w:t>
      </w:r>
      <w:r w:rsidRPr="00CC568A">
        <w:rPr>
          <w:lang w:eastAsia="cs-CZ"/>
        </w:rPr>
        <w:t xml:space="preserve">2021 </w:t>
      </w:r>
      <w:r>
        <w:rPr>
          <w:lang w:eastAsia="cs-CZ"/>
        </w:rPr>
        <w:t xml:space="preserve">na tyto programy </w:t>
      </w:r>
      <w:r w:rsidRPr="00CC568A">
        <w:rPr>
          <w:lang w:eastAsia="cs-CZ"/>
        </w:rPr>
        <w:t xml:space="preserve">z plánovaných 347 mil. Kč </w:t>
      </w:r>
      <w:r w:rsidR="005D6BBF">
        <w:rPr>
          <w:lang w:eastAsia="cs-CZ"/>
        </w:rPr>
        <w:t xml:space="preserve">částku </w:t>
      </w:r>
      <w:r w:rsidRPr="00CC568A">
        <w:rPr>
          <w:lang w:eastAsia="cs-CZ"/>
        </w:rPr>
        <w:t>19</w:t>
      </w:r>
      <w:r w:rsidR="00B14774">
        <w:rPr>
          <w:lang w:eastAsia="cs-CZ"/>
        </w:rPr>
        <w:t>4</w:t>
      </w:r>
      <w:r w:rsidRPr="00CC568A">
        <w:rPr>
          <w:lang w:eastAsia="cs-CZ"/>
        </w:rPr>
        <w:t xml:space="preserve"> mil. Kč (tj. 56 %).</w:t>
      </w:r>
      <w:r w:rsidR="00C46023">
        <w:rPr>
          <w:lang w:eastAsia="cs-CZ"/>
        </w:rPr>
        <w:t xml:space="preserve"> </w:t>
      </w:r>
      <w:r w:rsidRPr="00CC568A">
        <w:rPr>
          <w:lang w:eastAsia="cs-CZ"/>
        </w:rPr>
        <w:t xml:space="preserve">V rámci </w:t>
      </w:r>
      <w:r>
        <w:rPr>
          <w:lang w:eastAsia="cs-CZ"/>
        </w:rPr>
        <w:t xml:space="preserve">jednotlivých </w:t>
      </w:r>
      <w:r w:rsidR="005E55D8">
        <w:rPr>
          <w:lang w:eastAsia="cs-CZ"/>
        </w:rPr>
        <w:t xml:space="preserve">podpořených </w:t>
      </w:r>
      <w:r w:rsidRPr="00CC568A">
        <w:rPr>
          <w:lang w:eastAsia="cs-CZ"/>
        </w:rPr>
        <w:t>projektů měl</w:t>
      </w:r>
      <w:r>
        <w:rPr>
          <w:lang w:eastAsia="cs-CZ"/>
        </w:rPr>
        <w:t>a</w:t>
      </w:r>
      <w:r w:rsidRPr="00CC568A">
        <w:rPr>
          <w:lang w:eastAsia="cs-CZ"/>
        </w:rPr>
        <w:t xml:space="preserve"> být </w:t>
      </w:r>
      <w:r>
        <w:rPr>
          <w:lang w:eastAsia="cs-CZ"/>
        </w:rPr>
        <w:t xml:space="preserve">na základě analýzy ohroženosti </w:t>
      </w:r>
      <w:r w:rsidR="00CF5E0D">
        <w:rPr>
          <w:lang w:eastAsia="cs-CZ"/>
        </w:rPr>
        <w:t>MC</w:t>
      </w:r>
      <w:r w:rsidRPr="00CC568A">
        <w:rPr>
          <w:lang w:eastAsia="cs-CZ"/>
        </w:rPr>
        <w:t xml:space="preserve"> vypracován</w:t>
      </w:r>
      <w:r>
        <w:rPr>
          <w:lang w:eastAsia="cs-CZ"/>
        </w:rPr>
        <w:t xml:space="preserve">a </w:t>
      </w:r>
      <w:r w:rsidRPr="00CC568A">
        <w:rPr>
          <w:lang w:eastAsia="cs-CZ"/>
        </w:rPr>
        <w:t xml:space="preserve">bezpečnostní </w:t>
      </w:r>
      <w:r>
        <w:rPr>
          <w:lang w:eastAsia="cs-CZ"/>
        </w:rPr>
        <w:t>dokumentace</w:t>
      </w:r>
      <w:r w:rsidRPr="00CC568A">
        <w:rPr>
          <w:lang w:eastAsia="cs-CZ"/>
        </w:rPr>
        <w:t>, realizovány vzdělávací a výcvikové akce a nakoupen drobný</w:t>
      </w:r>
      <w:r w:rsidR="00B14774">
        <w:rPr>
          <w:lang w:eastAsia="cs-CZ"/>
        </w:rPr>
        <w:t xml:space="preserve"> hmotný</w:t>
      </w:r>
      <w:r w:rsidRPr="00CC568A">
        <w:rPr>
          <w:lang w:eastAsia="cs-CZ"/>
        </w:rPr>
        <w:t xml:space="preserve"> majetek. </w:t>
      </w:r>
      <w:r w:rsidR="007D1944">
        <w:rPr>
          <w:lang w:eastAsia="cs-CZ"/>
        </w:rPr>
        <w:t>Dle</w:t>
      </w:r>
      <w:r w:rsidRPr="00CC568A">
        <w:rPr>
          <w:lang w:eastAsia="cs-CZ"/>
        </w:rPr>
        <w:t xml:space="preserve"> </w:t>
      </w:r>
      <w:r w:rsidR="00033208" w:rsidRPr="00CC568A">
        <w:rPr>
          <w:lang w:eastAsia="cs-CZ"/>
        </w:rPr>
        <w:t>bezpečnostní</w:t>
      </w:r>
      <w:r w:rsidR="007D1944" w:rsidRPr="00CC568A">
        <w:rPr>
          <w:lang w:eastAsia="cs-CZ"/>
        </w:rPr>
        <w:t xml:space="preserve"> </w:t>
      </w:r>
      <w:r>
        <w:rPr>
          <w:lang w:eastAsia="cs-CZ"/>
        </w:rPr>
        <w:t>dokument</w:t>
      </w:r>
      <w:r w:rsidR="00C46023">
        <w:rPr>
          <w:lang w:eastAsia="cs-CZ"/>
        </w:rPr>
        <w:t>ace</w:t>
      </w:r>
      <w:r w:rsidRPr="00CC568A">
        <w:rPr>
          <w:lang w:eastAsia="cs-CZ"/>
        </w:rPr>
        <w:t xml:space="preserve"> měla být</w:t>
      </w:r>
      <w:r w:rsidR="00AE2F45">
        <w:rPr>
          <w:lang w:eastAsia="cs-CZ"/>
        </w:rPr>
        <w:t xml:space="preserve"> po vyhodnocení neinvestičních programů</w:t>
      </w:r>
      <w:r w:rsidRPr="00CC568A">
        <w:rPr>
          <w:lang w:eastAsia="cs-CZ"/>
        </w:rPr>
        <w:t xml:space="preserve"> identifikována </w:t>
      </w:r>
      <w:r>
        <w:rPr>
          <w:lang w:eastAsia="cs-CZ"/>
        </w:rPr>
        <w:t xml:space="preserve">investiční </w:t>
      </w:r>
      <w:r w:rsidRPr="00CC568A">
        <w:rPr>
          <w:lang w:eastAsia="cs-CZ"/>
        </w:rPr>
        <w:t xml:space="preserve">potřeba ke zvýšení </w:t>
      </w:r>
      <w:r w:rsidR="00CF5E0D">
        <w:rPr>
          <w:lang w:eastAsia="cs-CZ"/>
        </w:rPr>
        <w:t>OMC</w:t>
      </w:r>
      <w:r w:rsidRPr="00CC568A">
        <w:rPr>
          <w:lang w:eastAsia="cs-CZ"/>
        </w:rPr>
        <w:t xml:space="preserve"> tak, aby </w:t>
      </w:r>
      <w:r w:rsidR="006402F6">
        <w:rPr>
          <w:lang w:eastAsia="cs-CZ"/>
        </w:rPr>
        <w:t xml:space="preserve">byl </w:t>
      </w:r>
      <w:r w:rsidR="00A17793">
        <w:rPr>
          <w:lang w:eastAsia="cs-CZ"/>
        </w:rPr>
        <w:t xml:space="preserve">poté </w:t>
      </w:r>
      <w:r w:rsidR="005643BB">
        <w:rPr>
          <w:lang w:eastAsia="cs-CZ"/>
        </w:rPr>
        <w:t xml:space="preserve">s </w:t>
      </w:r>
      <w:r>
        <w:rPr>
          <w:lang w:eastAsia="cs-CZ"/>
        </w:rPr>
        <w:t xml:space="preserve">pomocí </w:t>
      </w:r>
      <w:r w:rsidRPr="00CC568A">
        <w:rPr>
          <w:lang w:eastAsia="cs-CZ"/>
        </w:rPr>
        <w:t>investiční</w:t>
      </w:r>
      <w:r>
        <w:rPr>
          <w:lang w:eastAsia="cs-CZ"/>
        </w:rPr>
        <w:t>ch</w:t>
      </w:r>
      <w:r w:rsidRPr="00CC568A">
        <w:rPr>
          <w:lang w:eastAsia="cs-CZ"/>
        </w:rPr>
        <w:t xml:space="preserve"> program</w:t>
      </w:r>
      <w:r>
        <w:rPr>
          <w:lang w:eastAsia="cs-CZ"/>
        </w:rPr>
        <w:t>ů</w:t>
      </w:r>
      <w:r w:rsidRPr="00CC568A">
        <w:rPr>
          <w:lang w:eastAsia="cs-CZ"/>
        </w:rPr>
        <w:t xml:space="preserve"> </w:t>
      </w:r>
      <w:r>
        <w:rPr>
          <w:lang w:eastAsia="cs-CZ"/>
        </w:rPr>
        <w:t>vytvořen</w:t>
      </w:r>
      <w:r w:rsidRPr="00CC568A">
        <w:rPr>
          <w:lang w:eastAsia="cs-CZ"/>
        </w:rPr>
        <w:t xml:space="preserve"> </w:t>
      </w:r>
      <w:r w:rsidR="00D14B03">
        <w:rPr>
          <w:lang w:eastAsia="cs-CZ"/>
        </w:rPr>
        <w:t xml:space="preserve">národní </w:t>
      </w:r>
      <w:r w:rsidRPr="00CC568A">
        <w:rPr>
          <w:lang w:eastAsia="cs-CZ"/>
        </w:rPr>
        <w:t xml:space="preserve">komplexní systém </w:t>
      </w:r>
      <w:r w:rsidR="00747E6A">
        <w:rPr>
          <w:lang w:eastAsia="cs-CZ"/>
        </w:rPr>
        <w:t>O</w:t>
      </w:r>
      <w:r w:rsidR="00CF5E0D">
        <w:rPr>
          <w:lang w:eastAsia="cs-CZ"/>
        </w:rPr>
        <w:t>MC</w:t>
      </w:r>
      <w:r w:rsidRPr="00CC568A">
        <w:rPr>
          <w:lang w:eastAsia="cs-CZ"/>
        </w:rPr>
        <w:t>, nikoliv pouze podpo</w:t>
      </w:r>
      <w:r>
        <w:rPr>
          <w:lang w:eastAsia="cs-CZ"/>
        </w:rPr>
        <w:t>řen</w:t>
      </w:r>
      <w:r w:rsidR="00B14774">
        <w:rPr>
          <w:lang w:eastAsia="cs-CZ"/>
        </w:rPr>
        <w:t>a</w:t>
      </w:r>
      <w:r w:rsidRPr="00CC568A">
        <w:rPr>
          <w:lang w:eastAsia="cs-CZ"/>
        </w:rPr>
        <w:t xml:space="preserve"> </w:t>
      </w:r>
      <w:r w:rsidR="002C4286">
        <w:rPr>
          <w:lang w:eastAsia="cs-CZ"/>
        </w:rPr>
        <w:t>dílčí bezpečnostní opatření, kter</w:t>
      </w:r>
      <w:r w:rsidR="00AE29FD">
        <w:rPr>
          <w:lang w:eastAsia="cs-CZ"/>
        </w:rPr>
        <w:t>á</w:t>
      </w:r>
      <w:r w:rsidR="002C4286">
        <w:rPr>
          <w:lang w:eastAsia="cs-CZ"/>
        </w:rPr>
        <w:t xml:space="preserve"> nejsou navzájem provázaná.</w:t>
      </w:r>
      <w:r w:rsidRPr="00CC568A">
        <w:rPr>
          <w:lang w:eastAsia="cs-CZ"/>
        </w:rPr>
        <w:t xml:space="preserve"> </w:t>
      </w:r>
    </w:p>
    <w:p w14:paraId="24E84E14" w14:textId="57CFB975" w:rsidR="00853F7F" w:rsidRDefault="00311A0C" w:rsidP="00420956">
      <w:pPr>
        <w:pStyle w:val="Text"/>
        <w:spacing w:after="120"/>
        <w:rPr>
          <w:b/>
          <w:bCs/>
          <w:lang w:eastAsia="cs-CZ"/>
        </w:rPr>
      </w:pPr>
      <w:r w:rsidRPr="00CA12B6">
        <w:rPr>
          <w:b/>
          <w:bCs/>
          <w:lang w:eastAsia="cs-CZ"/>
        </w:rPr>
        <w:t xml:space="preserve">NKÚ </w:t>
      </w:r>
      <w:r>
        <w:rPr>
          <w:b/>
          <w:bCs/>
          <w:lang w:eastAsia="cs-CZ"/>
        </w:rPr>
        <w:t>zjistil</w:t>
      </w:r>
      <w:r w:rsidRPr="00CA12B6">
        <w:rPr>
          <w:b/>
          <w:bCs/>
          <w:lang w:eastAsia="cs-CZ"/>
        </w:rPr>
        <w:t xml:space="preserve"> významné nedostatky snižující účelnost </w:t>
      </w:r>
      <w:r>
        <w:rPr>
          <w:b/>
          <w:bCs/>
          <w:lang w:eastAsia="cs-CZ"/>
        </w:rPr>
        <w:t xml:space="preserve">a hospodárnost </w:t>
      </w:r>
      <w:r w:rsidRPr="00CA12B6">
        <w:rPr>
          <w:b/>
          <w:bCs/>
          <w:lang w:eastAsia="cs-CZ"/>
        </w:rPr>
        <w:t>vynaložených peněžních prostředků státu</w:t>
      </w:r>
      <w:r w:rsidR="00033208">
        <w:rPr>
          <w:b/>
          <w:bCs/>
          <w:lang w:eastAsia="cs-CZ"/>
        </w:rPr>
        <w:t xml:space="preserve"> a </w:t>
      </w:r>
      <w:r w:rsidR="00853F7F" w:rsidRPr="00033208">
        <w:rPr>
          <w:b/>
          <w:bCs/>
          <w:lang w:eastAsia="cs-CZ"/>
        </w:rPr>
        <w:t xml:space="preserve">porušení </w:t>
      </w:r>
      <w:r w:rsidR="00BD4E84" w:rsidRPr="00033208">
        <w:rPr>
          <w:b/>
          <w:bCs/>
          <w:lang w:eastAsia="cs-CZ"/>
        </w:rPr>
        <w:t xml:space="preserve">zákona </w:t>
      </w:r>
      <w:r w:rsidR="00033208" w:rsidRPr="00033208">
        <w:rPr>
          <w:b/>
          <w:bCs/>
          <w:lang w:eastAsia="cs-CZ"/>
        </w:rPr>
        <w:t>č. 218</w:t>
      </w:r>
      <w:r w:rsidR="00033208" w:rsidRPr="00EF544F">
        <w:rPr>
          <w:b/>
          <w:bCs/>
          <w:lang w:eastAsia="cs-CZ"/>
        </w:rPr>
        <w:t>/2000 Sb.</w:t>
      </w:r>
      <w:r w:rsidR="00033208">
        <w:rPr>
          <w:rStyle w:val="Znakapoznpodarou"/>
          <w:b/>
          <w:bCs/>
          <w:lang w:eastAsia="cs-CZ"/>
        </w:rPr>
        <w:footnoteReference w:id="3"/>
      </w:r>
      <w:r w:rsidR="00033208">
        <w:rPr>
          <w:b/>
          <w:bCs/>
          <w:lang w:eastAsia="cs-CZ"/>
        </w:rPr>
        <w:t xml:space="preserve"> a zákona č. 320/2001 Sb.</w:t>
      </w:r>
      <w:r w:rsidR="00033208">
        <w:rPr>
          <w:rStyle w:val="Znakapoznpodarou"/>
          <w:b/>
          <w:bCs/>
          <w:lang w:eastAsia="cs-CZ"/>
        </w:rPr>
        <w:footnoteReference w:id="4"/>
      </w:r>
    </w:p>
    <w:p w14:paraId="71E9D94D" w14:textId="431820CB" w:rsidR="00EB46B0" w:rsidRDefault="00870BB3" w:rsidP="00B60964">
      <w:pPr>
        <w:pStyle w:val="Text"/>
        <w:rPr>
          <w:rFonts w:ascii="Calibri" w:hAnsi="Calibri"/>
          <w:b/>
          <w:bCs/>
        </w:rPr>
      </w:pPr>
      <w:bookmarkStart w:id="3" w:name="_Hlk101009900"/>
      <w:r>
        <w:rPr>
          <w:b/>
          <w:bCs/>
        </w:rPr>
        <w:t>V</w:t>
      </w:r>
      <w:r w:rsidR="00EB46B0">
        <w:rPr>
          <w:b/>
          <w:bCs/>
        </w:rPr>
        <w:t xml:space="preserve">ýznamné nedostatky snižující účelnost peněžních prostředků </w:t>
      </w:r>
      <w:r w:rsidR="00582EFB">
        <w:rPr>
          <w:b/>
          <w:bCs/>
        </w:rPr>
        <w:t>státu</w:t>
      </w:r>
      <w:r w:rsidR="00EB46B0">
        <w:rPr>
          <w:b/>
          <w:bCs/>
        </w:rPr>
        <w:t xml:space="preserve"> </w:t>
      </w:r>
      <w:r>
        <w:rPr>
          <w:b/>
          <w:bCs/>
        </w:rPr>
        <w:t xml:space="preserve">zjistil NKÚ </w:t>
      </w:r>
      <w:r w:rsidR="00EB46B0">
        <w:rPr>
          <w:b/>
          <w:bCs/>
        </w:rPr>
        <w:t>u</w:t>
      </w:r>
      <w:r w:rsidR="00B60964">
        <w:rPr>
          <w:b/>
          <w:bCs/>
        </w:rPr>
        <w:t> </w:t>
      </w:r>
      <w:r w:rsidR="00EB46B0">
        <w:rPr>
          <w:b/>
          <w:bCs/>
        </w:rPr>
        <w:t xml:space="preserve">poskytovatelů </w:t>
      </w:r>
      <w:r w:rsidR="000C5887">
        <w:rPr>
          <w:b/>
          <w:bCs/>
        </w:rPr>
        <w:t>dotací – MV</w:t>
      </w:r>
      <w:r w:rsidR="00EB46B0">
        <w:rPr>
          <w:b/>
          <w:bCs/>
        </w:rPr>
        <w:t xml:space="preserve">, MK a </w:t>
      </w:r>
      <w:proofErr w:type="spellStart"/>
      <w:r w:rsidR="00EB46B0">
        <w:rPr>
          <w:b/>
          <w:bCs/>
        </w:rPr>
        <w:t>MZd</w:t>
      </w:r>
      <w:proofErr w:type="spellEnd"/>
      <w:r w:rsidR="00EB46B0">
        <w:rPr>
          <w:b/>
          <w:bCs/>
        </w:rPr>
        <w:t xml:space="preserve"> zejména: </w:t>
      </w:r>
    </w:p>
    <w:p w14:paraId="334264CC" w14:textId="6474BD92" w:rsidR="00EB46B0" w:rsidRDefault="00950C31" w:rsidP="00B60964">
      <w:pPr>
        <w:pStyle w:val="Text"/>
        <w:numPr>
          <w:ilvl w:val="0"/>
          <w:numId w:val="33"/>
        </w:numPr>
        <w:spacing w:before="0"/>
        <w:ind w:left="284" w:hanging="284"/>
        <w:rPr>
          <w:b/>
          <w:bCs/>
        </w:rPr>
      </w:pPr>
      <w:r>
        <w:rPr>
          <w:b/>
          <w:bCs/>
        </w:rPr>
        <w:t>ne</w:t>
      </w:r>
      <w:r w:rsidR="00EB46B0">
        <w:rPr>
          <w:b/>
          <w:bCs/>
        </w:rPr>
        <w:t xml:space="preserve">stanovily cíle </w:t>
      </w:r>
      <w:r>
        <w:rPr>
          <w:b/>
          <w:bCs/>
        </w:rPr>
        <w:t xml:space="preserve">neinvestičních programů </w:t>
      </w:r>
      <w:r w:rsidR="000C5887">
        <w:rPr>
          <w:b/>
          <w:bCs/>
        </w:rPr>
        <w:t>měřitelně</w:t>
      </w:r>
      <w:r w:rsidR="00EB46B0">
        <w:rPr>
          <w:b/>
          <w:bCs/>
        </w:rPr>
        <w:t>, nebudou tak moci vyhodnotit přínos poskytnuté podpory</w:t>
      </w:r>
      <w:r w:rsidR="000C5887">
        <w:rPr>
          <w:b/>
          <w:bCs/>
        </w:rPr>
        <w:t xml:space="preserve"> ani zamýšlený dopad, kterým je zvýšení </w:t>
      </w:r>
      <w:r>
        <w:rPr>
          <w:b/>
          <w:bCs/>
        </w:rPr>
        <w:t>OMC;</w:t>
      </w:r>
    </w:p>
    <w:p w14:paraId="2E4D3A3D" w14:textId="44E4F6AD" w:rsidR="00950C31" w:rsidRDefault="00950C31" w:rsidP="00B60964">
      <w:pPr>
        <w:pStyle w:val="Text"/>
        <w:numPr>
          <w:ilvl w:val="0"/>
          <w:numId w:val="33"/>
        </w:numPr>
        <w:spacing w:before="0"/>
        <w:ind w:left="284" w:hanging="284"/>
        <w:rPr>
          <w:b/>
          <w:bCs/>
        </w:rPr>
      </w:pPr>
      <w:r>
        <w:rPr>
          <w:b/>
          <w:bCs/>
        </w:rPr>
        <w:t xml:space="preserve">nerealizovaly neinvestiční programy dle potřeb; </w:t>
      </w:r>
    </w:p>
    <w:p w14:paraId="5294C915" w14:textId="51750B63" w:rsidR="00582EFB" w:rsidRPr="00365C78" w:rsidRDefault="000C5887" w:rsidP="00B60964">
      <w:pPr>
        <w:pStyle w:val="Text"/>
        <w:numPr>
          <w:ilvl w:val="0"/>
          <w:numId w:val="33"/>
        </w:numPr>
        <w:spacing w:before="0"/>
        <w:ind w:left="284" w:hanging="284"/>
        <w:rPr>
          <w:b/>
          <w:bCs/>
        </w:rPr>
      </w:pPr>
      <w:r w:rsidRPr="00365C78">
        <w:rPr>
          <w:b/>
          <w:bCs/>
          <w:iCs/>
        </w:rPr>
        <w:t xml:space="preserve">nevyžadovaly od příjemců </w:t>
      </w:r>
      <w:r w:rsidR="00950C31">
        <w:rPr>
          <w:b/>
          <w:bCs/>
        </w:rPr>
        <w:t xml:space="preserve">neinvestičních programů </w:t>
      </w:r>
      <w:r w:rsidRPr="00365C78">
        <w:rPr>
          <w:b/>
          <w:bCs/>
          <w:iCs/>
        </w:rPr>
        <w:t>výstupy projektů (bezpečnostní dokumentaci) a informace o jejich využití</w:t>
      </w:r>
      <w:r w:rsidR="00582EFB">
        <w:rPr>
          <w:rFonts w:ascii="Calibri" w:hAnsi="Calibri" w:cs="Calibri"/>
          <w:b/>
        </w:rPr>
        <w:t xml:space="preserve">, což </w:t>
      </w:r>
      <w:r w:rsidR="00582EFB">
        <w:rPr>
          <w:b/>
          <w:bCs/>
        </w:rPr>
        <w:t xml:space="preserve">mj. </w:t>
      </w:r>
      <w:r w:rsidR="00582EFB">
        <w:rPr>
          <w:rFonts w:ascii="Calibri" w:hAnsi="Calibri" w:cs="Calibri"/>
          <w:b/>
        </w:rPr>
        <w:t xml:space="preserve">způsobilo, že </w:t>
      </w:r>
      <w:r w:rsidR="00582EFB" w:rsidRPr="00365C78">
        <w:rPr>
          <w:rFonts w:ascii="Calibri" w:hAnsi="Calibri" w:cs="Calibri"/>
          <w:b/>
        </w:rPr>
        <w:t>neznají počet měkkých cílů</w:t>
      </w:r>
      <w:r w:rsidR="00582EFB" w:rsidRPr="00365C78">
        <w:rPr>
          <w:b/>
          <w:bCs/>
        </w:rPr>
        <w:t>, u nichž došlo ke zvýšení jejich ochrany;</w:t>
      </w:r>
    </w:p>
    <w:p w14:paraId="12D39279" w14:textId="1242A9DD" w:rsidR="00EB46B0" w:rsidRDefault="00950C31" w:rsidP="00B60964">
      <w:pPr>
        <w:pStyle w:val="Text"/>
        <w:numPr>
          <w:ilvl w:val="0"/>
          <w:numId w:val="33"/>
        </w:numPr>
        <w:spacing w:before="0" w:after="120"/>
        <w:ind w:left="284" w:hanging="284"/>
        <w:rPr>
          <w:b/>
          <w:bCs/>
        </w:rPr>
      </w:pPr>
      <w:r>
        <w:rPr>
          <w:b/>
          <w:bCs/>
        </w:rPr>
        <w:t xml:space="preserve">nezahájily </w:t>
      </w:r>
      <w:r w:rsidR="00EB46B0">
        <w:rPr>
          <w:b/>
          <w:bCs/>
        </w:rPr>
        <w:t xml:space="preserve">do doby ukončení kontroly </w:t>
      </w:r>
      <w:r w:rsidR="000C5887">
        <w:rPr>
          <w:b/>
          <w:bCs/>
        </w:rPr>
        <w:t xml:space="preserve">NKÚ </w:t>
      </w:r>
      <w:r w:rsidR="00EB46B0">
        <w:rPr>
          <w:b/>
          <w:bCs/>
        </w:rPr>
        <w:t>plánované investiční programy. NKÚ přitom zjistil, že příjemci mají na základě bezpečnostní dokumentace zjištěny nezbytné potřeby v investiční oblasti (např. pořízení oplocení, kamer nebo zabezpečovacích systémů).</w:t>
      </w:r>
    </w:p>
    <w:p w14:paraId="59A6D684" w14:textId="386260AD" w:rsidR="00EB46B0" w:rsidRDefault="00EB46B0" w:rsidP="00420956">
      <w:pPr>
        <w:pStyle w:val="Text"/>
        <w:spacing w:after="120"/>
        <w:rPr>
          <w:b/>
          <w:bCs/>
        </w:rPr>
      </w:pPr>
      <w:r>
        <w:rPr>
          <w:b/>
          <w:bCs/>
        </w:rPr>
        <w:t>Snížení hospodárnosti</w:t>
      </w:r>
      <w:r w:rsidR="00582EFB">
        <w:rPr>
          <w:b/>
          <w:bCs/>
        </w:rPr>
        <w:t xml:space="preserve"> peněžních prostředků státu </w:t>
      </w:r>
      <w:r>
        <w:rPr>
          <w:b/>
          <w:bCs/>
        </w:rPr>
        <w:t xml:space="preserve">zjistil NKÚ u MK a </w:t>
      </w:r>
      <w:proofErr w:type="spellStart"/>
      <w:r>
        <w:rPr>
          <w:b/>
          <w:bCs/>
        </w:rPr>
        <w:t>MZd</w:t>
      </w:r>
      <w:proofErr w:type="spellEnd"/>
      <w:r>
        <w:rPr>
          <w:b/>
          <w:bCs/>
        </w:rPr>
        <w:t xml:space="preserve"> v roce 2019, neboť tato ministerstva nestanovila na</w:t>
      </w:r>
      <w:r w:rsidR="00582EFB">
        <w:rPr>
          <w:b/>
          <w:bCs/>
        </w:rPr>
        <w:t xml:space="preserve">př. </w:t>
      </w:r>
      <w:r>
        <w:rPr>
          <w:b/>
          <w:bCs/>
        </w:rPr>
        <w:t xml:space="preserve">základě průzkumu trhu maximální finanční limity podporovaných oblastí projektů neinvestičních programů. Po jejich nastavení v následujících letech se výše </w:t>
      </w:r>
      <w:r w:rsidR="00582EFB">
        <w:rPr>
          <w:b/>
          <w:bCs/>
        </w:rPr>
        <w:t xml:space="preserve">čerpaných </w:t>
      </w:r>
      <w:r>
        <w:rPr>
          <w:b/>
          <w:bCs/>
        </w:rPr>
        <w:t>peněžních prostředků státu u obdobných projektů výrazně snížila.</w:t>
      </w:r>
    </w:p>
    <w:p w14:paraId="70806662" w14:textId="636A0BDA" w:rsidR="00EB46B0" w:rsidRPr="00420956" w:rsidRDefault="00EB46B0" w:rsidP="00420956">
      <w:pPr>
        <w:spacing w:before="120" w:after="120"/>
        <w:jc w:val="both"/>
        <w:rPr>
          <w:rFonts w:ascii="Calibri" w:hAnsi="Calibri" w:cs="Calibri"/>
          <w:lang w:eastAsia="cs-CZ"/>
        </w:rPr>
      </w:pPr>
      <w:r>
        <w:rPr>
          <w:b/>
          <w:bCs/>
        </w:rPr>
        <w:t xml:space="preserve">Problematiku OMC na strategické úrovni řeší MV, které zpracovalo Koncepci OMC na období 2017 až 2020. Cíl Koncepce OMC definovalo MV tak, že není a nebude možné vyhodnotit </w:t>
      </w:r>
      <w:r>
        <w:rPr>
          <w:b/>
          <w:bCs/>
        </w:rPr>
        <w:lastRenderedPageBreak/>
        <w:t xml:space="preserve">jeho naplnění. MV do doby ukončení kontroly NKÚ nevyhodnotilo </w:t>
      </w:r>
      <w:r w:rsidR="00365C78">
        <w:rPr>
          <w:b/>
          <w:bCs/>
        </w:rPr>
        <w:t xml:space="preserve">Koncepci OMC </w:t>
      </w:r>
      <w:r>
        <w:rPr>
          <w:b/>
          <w:bCs/>
        </w:rPr>
        <w:t>a</w:t>
      </w:r>
      <w:r w:rsidR="00420956">
        <w:rPr>
          <w:b/>
          <w:bCs/>
        </w:rPr>
        <w:t> </w:t>
      </w:r>
      <w:r>
        <w:rPr>
          <w:b/>
          <w:bCs/>
        </w:rPr>
        <w:t>nezpracovalo plánovanou navazující koncepci pro období 2021 až 2023</w:t>
      </w:r>
      <w:r w:rsidR="00D026D4">
        <w:rPr>
          <w:b/>
          <w:bCs/>
        </w:rPr>
        <w:t>,</w:t>
      </w:r>
      <w:r>
        <w:rPr>
          <w:b/>
          <w:bCs/>
        </w:rPr>
        <w:t xml:space="preserve"> ani nevyhodnotilo plnění cílů neinvestičních programů</w:t>
      </w:r>
      <w:r w:rsidR="00A60771">
        <w:rPr>
          <w:b/>
          <w:bCs/>
          <w:vertAlign w:val="superscript"/>
        </w:rPr>
        <w:t>1</w:t>
      </w:r>
      <w:r w:rsidR="00365C78">
        <w:rPr>
          <w:b/>
          <w:bCs/>
        </w:rPr>
        <w:t xml:space="preserve">, </w:t>
      </w:r>
      <w:r>
        <w:rPr>
          <w:b/>
          <w:bCs/>
        </w:rPr>
        <w:t>což je jedním z předpokladů pro zahájení investičních programů</w:t>
      </w:r>
      <w:r w:rsidR="00A60771">
        <w:rPr>
          <w:rStyle w:val="Znakapoznpodarou"/>
          <w:b/>
          <w:bCs/>
        </w:rPr>
        <w:footnoteReference w:id="5"/>
      </w:r>
      <w:r>
        <w:rPr>
          <w:b/>
          <w:bCs/>
        </w:rPr>
        <w:t xml:space="preserve">. Z důvodu výše uvedených nedostatků a </w:t>
      </w:r>
      <w:r w:rsidR="00365C78">
        <w:rPr>
          <w:b/>
          <w:bCs/>
        </w:rPr>
        <w:t xml:space="preserve">nezahájení realizace </w:t>
      </w:r>
      <w:r>
        <w:rPr>
          <w:b/>
          <w:bCs/>
        </w:rPr>
        <w:t xml:space="preserve">navazujících investičních programů tak nedošlo k vytvoření </w:t>
      </w:r>
      <w:r w:rsidR="00567108">
        <w:rPr>
          <w:b/>
          <w:bCs/>
        </w:rPr>
        <w:t xml:space="preserve">národního </w:t>
      </w:r>
      <w:r>
        <w:rPr>
          <w:b/>
          <w:bCs/>
        </w:rPr>
        <w:t>komplexního systému O</w:t>
      </w:r>
      <w:r w:rsidRPr="00420956">
        <w:rPr>
          <w:rFonts w:ascii="Calibri" w:hAnsi="Calibri" w:cs="Calibri"/>
          <w:b/>
          <w:bCs/>
        </w:rPr>
        <w:t>MC.</w:t>
      </w:r>
      <w:r w:rsidRPr="00420956">
        <w:rPr>
          <w:rFonts w:ascii="Calibri" w:hAnsi="Calibri" w:cs="Calibri"/>
          <w:lang w:eastAsia="cs-CZ"/>
        </w:rPr>
        <w:t xml:space="preserve"> </w:t>
      </w:r>
    </w:p>
    <w:bookmarkEnd w:id="3"/>
    <w:p w14:paraId="3F3148DA" w14:textId="4B5D0826" w:rsidR="008307C9" w:rsidRPr="008307C9" w:rsidRDefault="00EF544F" w:rsidP="00420956">
      <w:pPr>
        <w:pStyle w:val="BVIfnrCharChar"/>
        <w:tabs>
          <w:tab w:val="left" w:pos="567"/>
        </w:tabs>
        <w:spacing w:before="120" w:after="120" w:line="240" w:lineRule="auto"/>
        <w:jc w:val="both"/>
        <w:rPr>
          <w:rFonts w:asciiTheme="minorHAnsi" w:hAnsiTheme="minorHAnsi" w:cstheme="minorHAnsi"/>
          <w:b/>
          <w:bCs/>
          <w:vertAlign w:val="baseline"/>
          <w:lang w:eastAsia="cs-CZ"/>
        </w:rPr>
      </w:pPr>
      <w:r w:rsidRPr="00EF544F">
        <w:rPr>
          <w:rFonts w:asciiTheme="minorHAnsi" w:hAnsiTheme="minorHAnsi" w:cstheme="minorHAnsi"/>
          <w:b/>
          <w:bCs/>
          <w:vertAlign w:val="baseline"/>
          <w:lang w:eastAsia="cs-CZ"/>
        </w:rPr>
        <w:t xml:space="preserve">MV, MK a </w:t>
      </w:r>
      <w:proofErr w:type="spellStart"/>
      <w:r w:rsidRPr="00EF544F">
        <w:rPr>
          <w:rFonts w:asciiTheme="minorHAnsi" w:hAnsiTheme="minorHAnsi" w:cstheme="minorHAnsi"/>
          <w:b/>
          <w:bCs/>
          <w:vertAlign w:val="baseline"/>
          <w:lang w:eastAsia="cs-CZ"/>
        </w:rPr>
        <w:t>MZd</w:t>
      </w:r>
      <w:proofErr w:type="spellEnd"/>
      <w:r w:rsidRPr="00EF544F">
        <w:rPr>
          <w:rFonts w:asciiTheme="minorHAnsi" w:hAnsiTheme="minorHAnsi" w:cstheme="minorHAnsi"/>
          <w:b/>
          <w:bCs/>
          <w:vertAlign w:val="baseline"/>
          <w:lang w:eastAsia="cs-CZ"/>
        </w:rPr>
        <w:t xml:space="preserve"> nepostupoval</w:t>
      </w:r>
      <w:r w:rsidR="00E52215">
        <w:rPr>
          <w:rFonts w:asciiTheme="minorHAnsi" w:hAnsiTheme="minorHAnsi" w:cstheme="minorHAnsi"/>
          <w:b/>
          <w:bCs/>
          <w:vertAlign w:val="baseline"/>
          <w:lang w:eastAsia="cs-CZ"/>
        </w:rPr>
        <w:t>y</w:t>
      </w:r>
      <w:r w:rsidRPr="00EF544F">
        <w:rPr>
          <w:rFonts w:asciiTheme="minorHAnsi" w:hAnsiTheme="minorHAnsi" w:cstheme="minorHAnsi"/>
          <w:b/>
          <w:bCs/>
          <w:vertAlign w:val="baseline"/>
          <w:lang w:eastAsia="cs-CZ"/>
        </w:rPr>
        <w:t xml:space="preserve"> dle § 39 odst. 3 zákona č. 218/2000 Sb., neboť soustavně nesledoval</w:t>
      </w:r>
      <w:r w:rsidR="00E52215">
        <w:rPr>
          <w:rFonts w:asciiTheme="minorHAnsi" w:hAnsiTheme="minorHAnsi" w:cstheme="minorHAnsi"/>
          <w:b/>
          <w:bCs/>
          <w:vertAlign w:val="baseline"/>
          <w:lang w:eastAsia="cs-CZ"/>
        </w:rPr>
        <w:t>y</w:t>
      </w:r>
      <w:r w:rsidRPr="00EF544F">
        <w:rPr>
          <w:rFonts w:asciiTheme="minorHAnsi" w:hAnsiTheme="minorHAnsi" w:cstheme="minorHAnsi"/>
          <w:b/>
          <w:bCs/>
          <w:vertAlign w:val="baseline"/>
          <w:lang w:eastAsia="cs-CZ"/>
        </w:rPr>
        <w:t xml:space="preserve"> a nevyhodnocoval</w:t>
      </w:r>
      <w:r w:rsidR="00E52215">
        <w:rPr>
          <w:rFonts w:asciiTheme="minorHAnsi" w:hAnsiTheme="minorHAnsi" w:cstheme="minorHAnsi"/>
          <w:b/>
          <w:bCs/>
          <w:vertAlign w:val="baseline"/>
          <w:lang w:eastAsia="cs-CZ"/>
        </w:rPr>
        <w:t>y</w:t>
      </w:r>
      <w:r w:rsidRPr="00EF544F">
        <w:rPr>
          <w:rFonts w:asciiTheme="minorHAnsi" w:hAnsiTheme="minorHAnsi" w:cstheme="minorHAnsi"/>
          <w:b/>
          <w:bCs/>
          <w:vertAlign w:val="baseline"/>
          <w:lang w:eastAsia="cs-CZ"/>
        </w:rPr>
        <w:t xml:space="preserve"> hospodárnost a účelnost vynakládaných</w:t>
      </w:r>
      <w:r w:rsidR="00641D30">
        <w:rPr>
          <w:rFonts w:asciiTheme="minorHAnsi" w:hAnsiTheme="minorHAnsi" w:cstheme="minorHAnsi"/>
          <w:b/>
          <w:bCs/>
          <w:vertAlign w:val="baseline"/>
          <w:lang w:eastAsia="cs-CZ"/>
        </w:rPr>
        <w:t xml:space="preserve"> </w:t>
      </w:r>
      <w:r w:rsidRPr="00EF544F">
        <w:rPr>
          <w:rFonts w:asciiTheme="minorHAnsi" w:hAnsiTheme="minorHAnsi" w:cstheme="minorHAnsi"/>
          <w:b/>
          <w:bCs/>
          <w:vertAlign w:val="baseline"/>
          <w:lang w:eastAsia="cs-CZ"/>
        </w:rPr>
        <w:t>prostředků</w:t>
      </w:r>
      <w:r w:rsidR="0039364D">
        <w:rPr>
          <w:rFonts w:asciiTheme="minorHAnsi" w:hAnsiTheme="minorHAnsi" w:cstheme="minorHAnsi"/>
          <w:b/>
          <w:bCs/>
          <w:vertAlign w:val="baseline"/>
          <w:lang w:eastAsia="cs-CZ"/>
        </w:rPr>
        <w:t xml:space="preserve"> projektů</w:t>
      </w:r>
      <w:r w:rsidRPr="00EF544F">
        <w:rPr>
          <w:rFonts w:asciiTheme="minorHAnsi" w:hAnsiTheme="minorHAnsi" w:cstheme="minorHAnsi"/>
          <w:b/>
          <w:bCs/>
          <w:vertAlign w:val="baseline"/>
          <w:lang w:eastAsia="cs-CZ"/>
        </w:rPr>
        <w:t xml:space="preserve">. </w:t>
      </w:r>
      <w:r>
        <w:rPr>
          <w:rFonts w:asciiTheme="minorHAnsi" w:hAnsiTheme="minorHAnsi" w:cstheme="minorHAnsi"/>
          <w:b/>
          <w:bCs/>
          <w:vertAlign w:val="baseline"/>
          <w:lang w:eastAsia="cs-CZ"/>
        </w:rPr>
        <w:t xml:space="preserve">MK a </w:t>
      </w:r>
      <w:proofErr w:type="spellStart"/>
      <w:r>
        <w:rPr>
          <w:rFonts w:asciiTheme="minorHAnsi" w:hAnsiTheme="minorHAnsi" w:cstheme="minorHAnsi"/>
          <w:b/>
          <w:bCs/>
          <w:vertAlign w:val="baseline"/>
          <w:lang w:eastAsia="cs-CZ"/>
        </w:rPr>
        <w:t>MZd</w:t>
      </w:r>
      <w:proofErr w:type="spellEnd"/>
      <w:r>
        <w:rPr>
          <w:rFonts w:asciiTheme="minorHAnsi" w:hAnsiTheme="minorHAnsi" w:cstheme="minorHAnsi"/>
          <w:b/>
          <w:bCs/>
          <w:vertAlign w:val="baseline"/>
          <w:lang w:eastAsia="cs-CZ"/>
        </w:rPr>
        <w:t xml:space="preserve"> nepostupoval</w:t>
      </w:r>
      <w:r w:rsidR="00E52215">
        <w:rPr>
          <w:rFonts w:asciiTheme="minorHAnsi" w:hAnsiTheme="minorHAnsi" w:cstheme="minorHAnsi"/>
          <w:b/>
          <w:bCs/>
          <w:vertAlign w:val="baseline"/>
          <w:lang w:eastAsia="cs-CZ"/>
        </w:rPr>
        <w:t>y</w:t>
      </w:r>
      <w:r>
        <w:rPr>
          <w:rFonts w:asciiTheme="minorHAnsi" w:hAnsiTheme="minorHAnsi" w:cstheme="minorHAnsi"/>
          <w:b/>
          <w:bCs/>
          <w:vertAlign w:val="baseline"/>
          <w:lang w:eastAsia="cs-CZ"/>
        </w:rPr>
        <w:t xml:space="preserve"> v oblasti </w:t>
      </w:r>
      <w:r w:rsidR="008307C9">
        <w:rPr>
          <w:rFonts w:asciiTheme="minorHAnsi" w:hAnsiTheme="minorHAnsi" w:cstheme="minorHAnsi"/>
          <w:b/>
          <w:bCs/>
          <w:vertAlign w:val="baseline"/>
          <w:lang w:eastAsia="cs-CZ"/>
        </w:rPr>
        <w:t xml:space="preserve">provádění </w:t>
      </w:r>
      <w:r w:rsidR="00B14E3C">
        <w:rPr>
          <w:rFonts w:asciiTheme="minorHAnsi" w:hAnsiTheme="minorHAnsi" w:cstheme="minorHAnsi"/>
          <w:b/>
          <w:bCs/>
          <w:vertAlign w:val="baseline"/>
          <w:lang w:eastAsia="cs-CZ"/>
        </w:rPr>
        <w:t xml:space="preserve">veřejnosprávní </w:t>
      </w:r>
      <w:r>
        <w:rPr>
          <w:rFonts w:asciiTheme="minorHAnsi" w:hAnsiTheme="minorHAnsi" w:cstheme="minorHAnsi"/>
          <w:b/>
          <w:bCs/>
          <w:vertAlign w:val="baseline"/>
          <w:lang w:eastAsia="cs-CZ"/>
        </w:rPr>
        <w:t xml:space="preserve">kontroly dle zákona </w:t>
      </w:r>
      <w:r w:rsidR="00742E41">
        <w:rPr>
          <w:rFonts w:asciiTheme="minorHAnsi" w:hAnsiTheme="minorHAnsi" w:cstheme="minorHAnsi"/>
          <w:b/>
          <w:bCs/>
          <w:vertAlign w:val="baseline"/>
          <w:lang w:eastAsia="cs-CZ"/>
        </w:rPr>
        <w:t xml:space="preserve">č. 320/2001 Sb. </w:t>
      </w:r>
      <w:r w:rsidR="008307C9">
        <w:rPr>
          <w:rFonts w:cstheme="minorHAnsi"/>
          <w:b/>
          <w:bCs/>
          <w:vertAlign w:val="baseline"/>
          <w:lang w:eastAsia="cs-CZ"/>
        </w:rPr>
        <w:t xml:space="preserve">U </w:t>
      </w:r>
      <w:r w:rsidR="00B14774" w:rsidRPr="00B14774">
        <w:rPr>
          <w:rFonts w:asciiTheme="minorHAnsi" w:hAnsiTheme="minorHAnsi" w:cstheme="minorHAnsi"/>
          <w:b/>
          <w:bCs/>
          <w:vertAlign w:val="baseline"/>
          <w:lang w:eastAsia="cs-CZ"/>
        </w:rPr>
        <w:t>Fakultní nemocnice Bulovka a Národní knihovn</w:t>
      </w:r>
      <w:r w:rsidR="00367D6C">
        <w:rPr>
          <w:rFonts w:asciiTheme="minorHAnsi" w:hAnsiTheme="minorHAnsi" w:cstheme="minorHAnsi"/>
          <w:b/>
          <w:bCs/>
          <w:vertAlign w:val="baseline"/>
          <w:lang w:eastAsia="cs-CZ"/>
        </w:rPr>
        <w:t>y</w:t>
      </w:r>
      <w:r w:rsidR="00B14774" w:rsidRPr="00B14774">
        <w:rPr>
          <w:rFonts w:asciiTheme="minorHAnsi" w:hAnsiTheme="minorHAnsi" w:cstheme="minorHAnsi"/>
          <w:b/>
          <w:bCs/>
          <w:vertAlign w:val="baseline"/>
          <w:lang w:eastAsia="cs-CZ"/>
        </w:rPr>
        <w:t xml:space="preserve"> ČR</w:t>
      </w:r>
      <w:r w:rsidR="00B14774" w:rsidDel="00B14774">
        <w:rPr>
          <w:rFonts w:cstheme="minorHAnsi"/>
          <w:b/>
          <w:bCs/>
          <w:vertAlign w:val="baseline"/>
          <w:lang w:eastAsia="cs-CZ"/>
        </w:rPr>
        <w:t xml:space="preserve"> </w:t>
      </w:r>
      <w:r w:rsidR="008307C9">
        <w:rPr>
          <w:rFonts w:cstheme="minorHAnsi"/>
          <w:b/>
          <w:bCs/>
          <w:vertAlign w:val="baseline"/>
          <w:lang w:eastAsia="cs-CZ"/>
        </w:rPr>
        <w:t xml:space="preserve">zjistil NKÚ </w:t>
      </w:r>
      <w:r w:rsidR="008307C9" w:rsidRPr="001279F0">
        <w:rPr>
          <w:rFonts w:cstheme="minorHAnsi"/>
          <w:b/>
          <w:bCs/>
          <w:vertAlign w:val="baseline"/>
          <w:lang w:eastAsia="cs-CZ"/>
        </w:rPr>
        <w:t>skutečnosti nasvědčující porušení rozpočtové kázně ve vztahu k peněžním prostředkům</w:t>
      </w:r>
      <w:r w:rsidR="008307C9">
        <w:rPr>
          <w:rFonts w:cstheme="minorHAnsi"/>
          <w:b/>
          <w:bCs/>
          <w:vertAlign w:val="baseline"/>
          <w:lang w:eastAsia="cs-CZ"/>
        </w:rPr>
        <w:t xml:space="preserve"> </w:t>
      </w:r>
      <w:r w:rsidR="000269D3">
        <w:rPr>
          <w:rFonts w:cstheme="minorHAnsi"/>
          <w:b/>
          <w:bCs/>
          <w:vertAlign w:val="baseline"/>
          <w:lang w:eastAsia="cs-CZ"/>
        </w:rPr>
        <w:t>poskytnutým ze státního rozpočtu</w:t>
      </w:r>
      <w:r w:rsidR="000269D3" w:rsidRPr="001279F0">
        <w:rPr>
          <w:rFonts w:cstheme="minorHAnsi"/>
          <w:b/>
          <w:bCs/>
          <w:vertAlign w:val="baseline"/>
          <w:lang w:eastAsia="cs-CZ"/>
        </w:rPr>
        <w:t xml:space="preserve"> </w:t>
      </w:r>
      <w:r w:rsidR="008307C9" w:rsidRPr="001279F0">
        <w:rPr>
          <w:rFonts w:cstheme="minorHAnsi"/>
          <w:b/>
          <w:bCs/>
          <w:vertAlign w:val="baseline"/>
          <w:lang w:eastAsia="cs-CZ"/>
        </w:rPr>
        <w:t>ve smyslu ustanovení § 44 odst. 1 písm. b) zákona č. 218/2000 Sb.</w:t>
      </w:r>
    </w:p>
    <w:p w14:paraId="6455144F" w14:textId="3B0C87C3" w:rsidR="004130D4" w:rsidRPr="004130D4" w:rsidRDefault="004130D4" w:rsidP="00420956">
      <w:pPr>
        <w:spacing w:before="120" w:after="120"/>
        <w:jc w:val="both"/>
        <w:rPr>
          <w:rFonts w:cstheme="minorHAnsi"/>
          <w:b/>
          <w:bCs/>
          <w:lang w:eastAsia="cs-CZ"/>
        </w:rPr>
      </w:pPr>
      <w:r w:rsidRPr="004130D4">
        <w:rPr>
          <w:rFonts w:cstheme="minorHAnsi"/>
        </w:rPr>
        <w:t>Celkové hodnocení se opírá o následující hlavní zjištění z kontroly:</w:t>
      </w:r>
    </w:p>
    <w:p w14:paraId="3E7A347C" w14:textId="5A18F198" w:rsidR="008676D1" w:rsidRPr="00874A12" w:rsidRDefault="00A17793" w:rsidP="00420956">
      <w:pPr>
        <w:pStyle w:val="Odstavecseseznamem"/>
        <w:numPr>
          <w:ilvl w:val="0"/>
          <w:numId w:val="31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Calibri" w:hAnsi="Calibri" w:cs="Calibri"/>
        </w:rPr>
      </w:pPr>
      <w:r w:rsidRPr="00485A08">
        <w:rPr>
          <w:rFonts w:ascii="Calibri" w:hAnsi="Calibri" w:cs="Calibri"/>
          <w:lang w:eastAsia="cs-CZ"/>
        </w:rPr>
        <w:t xml:space="preserve">MV stanovilo v Koncepci OMC cíl bez měřitelných indikátorů, </w:t>
      </w:r>
      <w:r w:rsidR="000269D3">
        <w:rPr>
          <w:rFonts w:ascii="Calibri" w:hAnsi="Calibri" w:cs="Calibri"/>
          <w:lang w:eastAsia="cs-CZ"/>
        </w:rPr>
        <w:t xml:space="preserve">nebude tak </w:t>
      </w:r>
      <w:r w:rsidR="00A60771">
        <w:rPr>
          <w:rFonts w:ascii="Calibri" w:hAnsi="Calibri" w:cs="Calibri"/>
          <w:lang w:eastAsia="cs-CZ"/>
        </w:rPr>
        <w:t xml:space="preserve">moci </w:t>
      </w:r>
      <w:r w:rsidR="000269D3">
        <w:rPr>
          <w:rFonts w:ascii="Calibri" w:hAnsi="Calibri" w:cs="Calibri"/>
          <w:lang w:eastAsia="cs-CZ"/>
        </w:rPr>
        <w:t>vyhodnotit</w:t>
      </w:r>
      <w:r w:rsidRPr="00485A08">
        <w:rPr>
          <w:rFonts w:ascii="Calibri" w:hAnsi="Calibri" w:cs="Calibri"/>
          <w:lang w:eastAsia="cs-CZ"/>
        </w:rPr>
        <w:t xml:space="preserve"> účelnost peněžních prostředků státu vynaložených na </w:t>
      </w:r>
      <w:r w:rsidR="006B0C59">
        <w:rPr>
          <w:rFonts w:ascii="Calibri" w:hAnsi="Calibri" w:cs="Calibri"/>
          <w:lang w:eastAsia="cs-CZ"/>
        </w:rPr>
        <w:t>jeho</w:t>
      </w:r>
      <w:r w:rsidRPr="00485A08">
        <w:rPr>
          <w:rFonts w:ascii="Calibri" w:hAnsi="Calibri" w:cs="Calibri"/>
          <w:lang w:eastAsia="cs-CZ"/>
        </w:rPr>
        <w:t xml:space="preserve"> plnění.</w:t>
      </w:r>
      <w:r w:rsidR="008676D1" w:rsidRPr="00485A08">
        <w:rPr>
          <w:rFonts w:ascii="Calibri" w:hAnsi="Calibri" w:cs="Calibri"/>
          <w:lang w:eastAsia="cs-CZ"/>
        </w:rPr>
        <w:t xml:space="preserve"> </w:t>
      </w:r>
      <w:r w:rsidR="004130D4" w:rsidRPr="00485A08">
        <w:rPr>
          <w:rFonts w:ascii="Calibri" w:hAnsi="Calibri" w:cs="Calibri"/>
          <w:lang w:eastAsia="cs-CZ"/>
        </w:rPr>
        <w:t xml:space="preserve">MV se problematikou </w:t>
      </w:r>
      <w:r w:rsidR="008676D1" w:rsidRPr="00485A08">
        <w:rPr>
          <w:rFonts w:ascii="Calibri" w:hAnsi="Calibri" w:cs="Calibri"/>
          <w:lang w:eastAsia="cs-CZ"/>
        </w:rPr>
        <w:t>OMC</w:t>
      </w:r>
      <w:r w:rsidR="004130D4" w:rsidRPr="00485A08">
        <w:rPr>
          <w:rFonts w:ascii="Calibri" w:hAnsi="Calibri" w:cs="Calibri"/>
          <w:lang w:eastAsia="cs-CZ"/>
        </w:rPr>
        <w:t xml:space="preserve"> </w:t>
      </w:r>
      <w:r w:rsidR="008676D1" w:rsidRPr="00485A08">
        <w:rPr>
          <w:rFonts w:ascii="Calibri" w:hAnsi="Calibri" w:cs="Calibri"/>
          <w:lang w:eastAsia="cs-CZ"/>
        </w:rPr>
        <w:t xml:space="preserve">zabývá od roku </w:t>
      </w:r>
      <w:r w:rsidR="004130D4" w:rsidRPr="00485A08">
        <w:rPr>
          <w:rFonts w:ascii="Calibri" w:hAnsi="Calibri" w:cs="Calibri"/>
          <w:lang w:eastAsia="cs-CZ"/>
        </w:rPr>
        <w:t>2010</w:t>
      </w:r>
      <w:r w:rsidR="008676D1" w:rsidRPr="00485A08">
        <w:rPr>
          <w:rFonts w:ascii="Calibri" w:hAnsi="Calibri" w:cs="Calibri"/>
          <w:lang w:eastAsia="cs-CZ"/>
        </w:rPr>
        <w:t xml:space="preserve">. </w:t>
      </w:r>
      <w:r w:rsidR="008676D1" w:rsidRPr="00485A08">
        <w:rPr>
          <w:rFonts w:ascii="Calibri" w:eastAsia="Calibri" w:hAnsi="Calibri" w:cs="Times New Roman"/>
        </w:rPr>
        <w:t xml:space="preserve">Ochrana </w:t>
      </w:r>
      <w:r w:rsidR="008676D1" w:rsidRPr="00485A08">
        <w:rPr>
          <w:rFonts w:ascii="Calibri" w:eastAsia="Calibri" w:hAnsi="Calibri" w:cs="Calibri"/>
          <w:lang w:eastAsia="cs-CZ"/>
        </w:rPr>
        <w:t xml:space="preserve">měkkých cílů však byla do konce roku 2016 </w:t>
      </w:r>
      <w:r w:rsidR="008676D1" w:rsidRPr="00485A08">
        <w:rPr>
          <w:rFonts w:ascii="Calibri" w:eastAsia="Calibri" w:hAnsi="Calibri" w:cs="Calibri"/>
          <w:iCs/>
          <w:lang w:eastAsia="cs-CZ"/>
        </w:rPr>
        <w:t>pojata MV</w:t>
      </w:r>
      <w:r w:rsidR="008676D1" w:rsidRPr="00485A08">
        <w:rPr>
          <w:rFonts w:ascii="Calibri" w:eastAsia="Calibri" w:hAnsi="Calibri" w:cs="Calibri"/>
          <w:lang w:eastAsia="cs-CZ"/>
        </w:rPr>
        <w:t xml:space="preserve"> </w:t>
      </w:r>
      <w:r w:rsidR="00F341CC">
        <w:rPr>
          <w:rFonts w:ascii="Calibri" w:eastAsia="Calibri" w:hAnsi="Calibri" w:cs="Calibri"/>
          <w:lang w:eastAsia="cs-CZ"/>
        </w:rPr>
        <w:t xml:space="preserve">ve zpracovaných dokumentech pouze </w:t>
      </w:r>
      <w:r w:rsidR="008676D1" w:rsidRPr="00485A08">
        <w:rPr>
          <w:rFonts w:ascii="Calibri" w:eastAsia="Calibri" w:hAnsi="Calibri" w:cs="Calibri"/>
          <w:iCs/>
          <w:lang w:eastAsia="cs-CZ"/>
        </w:rPr>
        <w:t>obecně bez konkrétních cílů a opatření.</w:t>
      </w:r>
      <w:r w:rsidR="008676D1" w:rsidRPr="00485A08">
        <w:rPr>
          <w:rFonts w:ascii="Calibri" w:hAnsi="Calibri" w:cs="Calibri"/>
        </w:rPr>
        <w:t xml:space="preserve"> </w:t>
      </w:r>
      <w:r w:rsidR="008676D1" w:rsidRPr="00485A08">
        <w:rPr>
          <w:rFonts w:ascii="Calibri" w:hAnsi="Calibri" w:cs="Calibri"/>
          <w:lang w:eastAsia="cs-CZ"/>
        </w:rPr>
        <w:t>Koncepci OMC schválila vláda na návrh MV v dubnu roku 2017</w:t>
      </w:r>
      <w:r w:rsidR="00580C83">
        <w:rPr>
          <w:rFonts w:ascii="Calibri" w:hAnsi="Calibri" w:cs="Calibri"/>
          <w:lang w:eastAsia="cs-CZ"/>
        </w:rPr>
        <w:t>.</w:t>
      </w:r>
      <w:r w:rsidR="008676D1" w:rsidRPr="00485A08">
        <w:rPr>
          <w:rFonts w:ascii="Calibri" w:hAnsi="Calibri" w:cs="Calibri"/>
          <w:lang w:eastAsia="cs-CZ"/>
        </w:rPr>
        <w:t xml:space="preserve"> MV </w:t>
      </w:r>
      <w:r w:rsidR="00F341CC">
        <w:rPr>
          <w:rFonts w:ascii="Calibri" w:hAnsi="Calibri" w:cs="Calibri"/>
          <w:lang w:eastAsia="cs-CZ"/>
        </w:rPr>
        <w:t>v ní však konkrétně</w:t>
      </w:r>
      <w:r w:rsidR="00F341CC" w:rsidRPr="00485A08">
        <w:rPr>
          <w:rFonts w:ascii="Calibri" w:hAnsi="Calibri" w:cs="Calibri"/>
          <w:lang w:eastAsia="cs-CZ"/>
        </w:rPr>
        <w:t xml:space="preserve"> </w:t>
      </w:r>
      <w:r w:rsidR="008676D1" w:rsidRPr="00485A08">
        <w:rPr>
          <w:rFonts w:ascii="Calibri" w:hAnsi="Calibri" w:cs="Calibri"/>
          <w:lang w:eastAsia="cs-CZ"/>
        </w:rPr>
        <w:t xml:space="preserve">nedefinovalo </w:t>
      </w:r>
      <w:r w:rsidR="000F4668" w:rsidRPr="00485A08">
        <w:rPr>
          <w:rFonts w:ascii="Calibri" w:hAnsi="Calibri" w:cs="Calibri"/>
          <w:lang w:eastAsia="cs-CZ"/>
        </w:rPr>
        <w:t xml:space="preserve">např. </w:t>
      </w:r>
      <w:r w:rsidR="008676D1" w:rsidRPr="00485A08">
        <w:rPr>
          <w:rFonts w:ascii="Calibri" w:hAnsi="Calibri" w:cs="Calibri"/>
          <w:lang w:eastAsia="cs-CZ"/>
        </w:rPr>
        <w:t xml:space="preserve">cíl </w:t>
      </w:r>
      <w:r w:rsidR="008676D1" w:rsidRPr="009C7D5E">
        <w:rPr>
          <w:rFonts w:ascii="Calibri" w:hAnsi="Calibri" w:cs="Calibri"/>
          <w:lang w:eastAsia="cs-CZ"/>
        </w:rPr>
        <w:t>„pružně</w:t>
      </w:r>
      <w:r w:rsidR="00E8550D">
        <w:rPr>
          <w:rFonts w:ascii="Calibri" w:hAnsi="Calibri" w:cs="Calibri"/>
          <w:lang w:eastAsia="cs-CZ"/>
        </w:rPr>
        <w:t>,</w:t>
      </w:r>
      <w:r w:rsidR="008676D1" w:rsidRPr="009C7D5E">
        <w:rPr>
          <w:rFonts w:ascii="Calibri" w:hAnsi="Calibri" w:cs="Calibri"/>
          <w:lang w:eastAsia="cs-CZ"/>
        </w:rPr>
        <w:t xml:space="preserve"> komplexně a rychle reagovat na hrozby útoků“</w:t>
      </w:r>
      <w:r w:rsidR="008676D1" w:rsidRPr="0049207C">
        <w:rPr>
          <w:rFonts w:ascii="Calibri" w:hAnsi="Calibri" w:cs="Calibri"/>
          <w:lang w:eastAsia="cs-CZ"/>
        </w:rPr>
        <w:t xml:space="preserve"> </w:t>
      </w:r>
      <w:r w:rsidR="008676D1" w:rsidRPr="00485A08">
        <w:rPr>
          <w:rFonts w:ascii="Calibri" w:hAnsi="Calibri" w:cs="Calibri"/>
          <w:lang w:eastAsia="cs-CZ"/>
        </w:rPr>
        <w:t>a</w:t>
      </w:r>
      <w:r w:rsidR="00B60964">
        <w:rPr>
          <w:rFonts w:ascii="Calibri" w:hAnsi="Calibri" w:cs="Calibri"/>
          <w:lang w:eastAsia="cs-CZ"/>
        </w:rPr>
        <w:t> </w:t>
      </w:r>
      <w:r w:rsidR="008676D1" w:rsidRPr="00485A08">
        <w:rPr>
          <w:rFonts w:ascii="Calibri" w:hAnsi="Calibri" w:cs="Calibri"/>
          <w:lang w:eastAsia="cs-CZ"/>
        </w:rPr>
        <w:t xml:space="preserve">nestanovilo </w:t>
      </w:r>
      <w:r w:rsidR="000F4668" w:rsidRPr="00485A08">
        <w:rPr>
          <w:rFonts w:ascii="Calibri" w:hAnsi="Calibri" w:cs="Calibri"/>
          <w:lang w:eastAsia="cs-CZ"/>
        </w:rPr>
        <w:t xml:space="preserve">jednoznačně </w:t>
      </w:r>
      <w:r w:rsidR="008676D1" w:rsidRPr="00485A08">
        <w:rPr>
          <w:rFonts w:ascii="Calibri" w:hAnsi="Calibri" w:cs="Calibri"/>
          <w:lang w:eastAsia="cs-CZ"/>
        </w:rPr>
        <w:t xml:space="preserve">měřitelnost </w:t>
      </w:r>
      <w:r w:rsidR="008676D1" w:rsidRPr="009C7D5E">
        <w:rPr>
          <w:rFonts w:ascii="Calibri" w:hAnsi="Calibri" w:cs="Calibri"/>
          <w:lang w:eastAsia="cs-CZ"/>
        </w:rPr>
        <w:t>„podstatné části měkkých cílů“</w:t>
      </w:r>
      <w:r w:rsidR="008676D1" w:rsidRPr="00485A08">
        <w:rPr>
          <w:rFonts w:ascii="Calibri" w:hAnsi="Calibri" w:cs="Calibri"/>
          <w:lang w:eastAsia="cs-CZ"/>
        </w:rPr>
        <w:t xml:space="preserve">, u nichž mělo dojít ke zvýšení </w:t>
      </w:r>
      <w:r w:rsidR="00580C83">
        <w:rPr>
          <w:rFonts w:ascii="Calibri" w:hAnsi="Calibri" w:cs="Calibri"/>
          <w:lang w:eastAsia="cs-CZ"/>
        </w:rPr>
        <w:t xml:space="preserve">jejich </w:t>
      </w:r>
      <w:r w:rsidR="00C74088">
        <w:rPr>
          <w:rFonts w:ascii="Calibri" w:hAnsi="Calibri" w:cs="Calibri"/>
          <w:lang w:eastAsia="cs-CZ"/>
        </w:rPr>
        <w:t>ochrany</w:t>
      </w:r>
      <w:r w:rsidR="008676D1" w:rsidRPr="00485A08">
        <w:rPr>
          <w:rFonts w:ascii="Calibri" w:hAnsi="Calibri" w:cs="Calibri"/>
          <w:lang w:eastAsia="cs-CZ"/>
        </w:rPr>
        <w:t>.</w:t>
      </w:r>
      <w:r w:rsidR="000F4668" w:rsidRPr="00485A08">
        <w:rPr>
          <w:rFonts w:ascii="Calibri" w:hAnsi="Calibri" w:cs="Calibri"/>
        </w:rPr>
        <w:t xml:space="preserve"> </w:t>
      </w:r>
      <w:r w:rsidR="000F4668" w:rsidRPr="00485A08">
        <w:rPr>
          <w:rFonts w:eastAsia="Calibri" w:cstheme="minorHAnsi"/>
        </w:rPr>
        <w:t xml:space="preserve">MV předpokládá vyhodnocení </w:t>
      </w:r>
      <w:r w:rsidR="000F4668" w:rsidRPr="00485A08">
        <w:rPr>
          <w:rFonts w:ascii="Calibri" w:hAnsi="Calibri" w:cs="Calibri"/>
          <w:lang w:eastAsia="cs-CZ"/>
        </w:rPr>
        <w:t>Koncepce OMC</w:t>
      </w:r>
      <w:r w:rsidR="000F4668" w:rsidRPr="00485A08">
        <w:rPr>
          <w:rFonts w:eastAsia="Calibri" w:cstheme="minorHAnsi"/>
        </w:rPr>
        <w:t xml:space="preserve"> provést až v roce 2022, </w:t>
      </w:r>
      <w:r w:rsidR="00D736DB">
        <w:rPr>
          <w:rFonts w:eastAsia="Calibri" w:cstheme="minorHAnsi"/>
        </w:rPr>
        <w:t>tj. </w:t>
      </w:r>
      <w:r w:rsidR="000F4668" w:rsidRPr="00485A08">
        <w:rPr>
          <w:rFonts w:eastAsia="Calibri" w:cstheme="minorHAnsi"/>
        </w:rPr>
        <w:t xml:space="preserve">v době, kdy </w:t>
      </w:r>
      <w:r w:rsidR="00567108">
        <w:rPr>
          <w:rFonts w:eastAsia="Calibri" w:cstheme="minorHAnsi"/>
        </w:rPr>
        <w:t>d</w:t>
      </w:r>
      <w:r w:rsidR="00567108">
        <w:rPr>
          <w:rFonts w:ascii="Calibri" w:hAnsi="Calibri" w:cs="Calibri"/>
        </w:rPr>
        <w:t xml:space="preserve">le předkládací zprávy k usnesení vlády č. 527/2017 </w:t>
      </w:r>
      <w:r w:rsidR="000F4668" w:rsidRPr="00485A08">
        <w:rPr>
          <w:rFonts w:eastAsia="Calibri" w:cstheme="minorHAnsi"/>
        </w:rPr>
        <w:t>měla být již plněna navazující koncepce OMC na roky 2021</w:t>
      </w:r>
      <w:r w:rsidR="005A098E" w:rsidRPr="00742E41">
        <w:rPr>
          <w:i/>
          <w:iCs/>
          <w:lang w:eastAsia="cs-CZ"/>
        </w:rPr>
        <w:t>–</w:t>
      </w:r>
      <w:r w:rsidR="000F4668" w:rsidRPr="00485A08">
        <w:rPr>
          <w:rFonts w:eastAsia="Calibri" w:cstheme="minorHAnsi"/>
        </w:rPr>
        <w:t xml:space="preserve">2023 a kdy měly probíhat investiční programy </w:t>
      </w:r>
      <w:r w:rsidR="000F4668" w:rsidRPr="009C7D5E">
        <w:rPr>
          <w:rFonts w:ascii="Calibri" w:hAnsi="Calibri" w:cs="Calibri"/>
          <w:b/>
          <w:bCs/>
          <w:iCs/>
          <w:lang w:eastAsia="cs-CZ"/>
        </w:rPr>
        <w:t>(</w:t>
      </w:r>
      <w:r w:rsidR="00D736DB">
        <w:rPr>
          <w:rFonts w:ascii="Calibri" w:hAnsi="Calibri" w:cs="Calibri"/>
          <w:b/>
          <w:bCs/>
          <w:iCs/>
          <w:lang w:eastAsia="cs-CZ"/>
        </w:rPr>
        <w:t xml:space="preserve">viz </w:t>
      </w:r>
      <w:r w:rsidR="000F4668" w:rsidRPr="009C7D5E">
        <w:rPr>
          <w:rFonts w:ascii="Calibri" w:hAnsi="Calibri" w:cs="Calibri"/>
          <w:b/>
          <w:bCs/>
          <w:iCs/>
          <w:lang w:eastAsia="cs-CZ"/>
        </w:rPr>
        <w:t>část IV., bod 1)</w:t>
      </w:r>
      <w:r w:rsidR="00D736DB" w:rsidRPr="009C7D5E">
        <w:rPr>
          <w:rFonts w:eastAsia="Calibri" w:cstheme="minorHAnsi"/>
          <w:b/>
        </w:rPr>
        <w:t>.</w:t>
      </w:r>
    </w:p>
    <w:p w14:paraId="2433D0FB" w14:textId="30DCA46B" w:rsidR="004130D4" w:rsidRPr="00FB11D9" w:rsidRDefault="00874A12" w:rsidP="00420956">
      <w:pPr>
        <w:pStyle w:val="Odstavecseseznamem"/>
        <w:numPr>
          <w:ilvl w:val="0"/>
          <w:numId w:val="31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Calibri" w:hAnsi="Calibri" w:cs="Calibri"/>
        </w:rPr>
      </w:pPr>
      <w:r w:rsidRPr="00874A12">
        <w:rPr>
          <w:rFonts w:eastAsia="Calibri" w:cstheme="minorHAnsi"/>
        </w:rPr>
        <w:t xml:space="preserve">MV, MK a </w:t>
      </w:r>
      <w:proofErr w:type="spellStart"/>
      <w:r w:rsidRPr="00874A12">
        <w:rPr>
          <w:rFonts w:eastAsia="Calibri" w:cstheme="minorHAnsi"/>
        </w:rPr>
        <w:t>MZd</w:t>
      </w:r>
      <w:proofErr w:type="spellEnd"/>
      <w:r w:rsidRPr="00874A12">
        <w:rPr>
          <w:rFonts w:eastAsia="Calibri" w:cstheme="minorHAnsi"/>
        </w:rPr>
        <w:t xml:space="preserve"> nepostupovaly při realizaci neinvestičních programů účelně. </w:t>
      </w:r>
      <w:r>
        <w:rPr>
          <w:rFonts w:eastAsia="Calibri" w:cstheme="minorHAnsi"/>
        </w:rPr>
        <w:t>MV nenastavilo a nerealizovalo neinvestiční programy dle skutečných potřeb, u</w:t>
      </w:r>
      <w:r w:rsidRPr="00485A08">
        <w:rPr>
          <w:rFonts w:ascii="Calibri" w:hAnsi="Calibri" w:cs="Calibri"/>
          <w:lang w:eastAsia="cs-CZ"/>
        </w:rPr>
        <w:t xml:space="preserve"> </w:t>
      </w:r>
      <w:proofErr w:type="spellStart"/>
      <w:r w:rsidRPr="00485A08">
        <w:rPr>
          <w:rFonts w:ascii="Calibri" w:hAnsi="Calibri" w:cs="Calibri"/>
          <w:lang w:eastAsia="cs-CZ"/>
        </w:rPr>
        <w:t>MZd</w:t>
      </w:r>
      <w:proofErr w:type="spellEnd"/>
      <w:r w:rsidRPr="00485A08">
        <w:rPr>
          <w:rFonts w:ascii="Calibri" w:hAnsi="Calibri" w:cs="Calibri"/>
          <w:lang w:eastAsia="cs-CZ"/>
        </w:rPr>
        <w:t xml:space="preserve"> a MK došlo rozšířením potenciálních příjemců </w:t>
      </w:r>
      <w:r w:rsidRPr="00485A08">
        <w:rPr>
          <w:rFonts w:eastAsia="Calibri" w:cstheme="minorHAnsi"/>
        </w:rPr>
        <w:t xml:space="preserve">k opuštění </w:t>
      </w:r>
      <w:r>
        <w:rPr>
          <w:rFonts w:eastAsia="Calibri" w:cstheme="minorHAnsi"/>
        </w:rPr>
        <w:t>záměru</w:t>
      </w:r>
      <w:r w:rsidRPr="00485A08">
        <w:rPr>
          <w:rFonts w:eastAsia="Calibri" w:cstheme="minorHAnsi"/>
        </w:rPr>
        <w:t xml:space="preserve"> zvýš</w:t>
      </w:r>
      <w:r w:rsidR="00D736DB">
        <w:rPr>
          <w:rFonts w:eastAsia="Calibri" w:cstheme="minorHAnsi"/>
        </w:rPr>
        <w:t>it</w:t>
      </w:r>
      <w:r w:rsidRPr="00485A08">
        <w:rPr>
          <w:rFonts w:eastAsia="Calibri" w:cstheme="minorHAnsi"/>
        </w:rPr>
        <w:t xml:space="preserve"> ochran</w:t>
      </w:r>
      <w:r w:rsidR="00D736DB">
        <w:rPr>
          <w:rFonts w:eastAsia="Calibri" w:cstheme="minorHAnsi"/>
        </w:rPr>
        <w:t>u</w:t>
      </w:r>
      <w:r>
        <w:rPr>
          <w:rFonts w:eastAsia="Calibri" w:cstheme="minorHAnsi"/>
        </w:rPr>
        <w:t xml:space="preserve"> vybraných</w:t>
      </w:r>
      <w:r w:rsidRPr="00485A08">
        <w:rPr>
          <w:rFonts w:eastAsia="Calibri" w:cstheme="minorHAnsi"/>
        </w:rPr>
        <w:t xml:space="preserve"> prioritních </w:t>
      </w:r>
      <w:r>
        <w:rPr>
          <w:rFonts w:eastAsia="Calibri" w:cstheme="minorHAnsi"/>
        </w:rPr>
        <w:t>měkkých cílů</w:t>
      </w:r>
      <w:r w:rsidRPr="00485A08">
        <w:rPr>
          <w:rFonts w:eastAsia="Calibri" w:cstheme="minorHAnsi"/>
        </w:rPr>
        <w:t xml:space="preserve"> (46 nemocnic u </w:t>
      </w:r>
      <w:proofErr w:type="spellStart"/>
      <w:r w:rsidRPr="00485A08">
        <w:rPr>
          <w:rFonts w:eastAsia="Calibri" w:cstheme="minorHAnsi"/>
        </w:rPr>
        <w:t>MZd</w:t>
      </w:r>
      <w:proofErr w:type="spellEnd"/>
      <w:r w:rsidRPr="00485A08">
        <w:rPr>
          <w:rFonts w:eastAsia="Calibri" w:cstheme="minorHAnsi"/>
        </w:rPr>
        <w:t xml:space="preserve"> a 57 kulturních zařízení u MK</w:t>
      </w:r>
      <w:r w:rsidR="00361054">
        <w:rPr>
          <w:rFonts w:eastAsia="Calibri" w:cstheme="minorHAnsi"/>
        </w:rPr>
        <w:t>).</w:t>
      </w:r>
      <w:r w:rsidR="00D267DE">
        <w:rPr>
          <w:rFonts w:eastAsia="Calibri" w:cstheme="minorHAnsi"/>
        </w:rPr>
        <w:t xml:space="preserve"> I </w:t>
      </w:r>
      <w:r w:rsidR="00567108">
        <w:rPr>
          <w:rFonts w:eastAsia="Calibri" w:cstheme="minorHAnsi"/>
        </w:rPr>
        <w:t xml:space="preserve">proto </w:t>
      </w:r>
      <w:r w:rsidR="00760B11">
        <w:rPr>
          <w:rFonts w:eastAsia="Calibri" w:cstheme="minorHAnsi"/>
        </w:rPr>
        <w:t>zůstalo z celkov</w:t>
      </w:r>
      <w:r w:rsidR="00361054">
        <w:rPr>
          <w:rFonts w:eastAsia="Calibri" w:cstheme="minorHAnsi"/>
        </w:rPr>
        <w:t>ých</w:t>
      </w:r>
      <w:r w:rsidR="00760B11">
        <w:rPr>
          <w:rFonts w:eastAsia="Calibri" w:cstheme="minorHAnsi"/>
        </w:rPr>
        <w:t xml:space="preserve"> alokovaných prostředků na neinvestiční programy nevyužito 153 mil. Kč</w:t>
      </w:r>
      <w:r w:rsidR="00361054">
        <w:rPr>
          <w:rFonts w:eastAsia="Calibri" w:cstheme="minorHAnsi"/>
        </w:rPr>
        <w:t xml:space="preserve"> </w:t>
      </w:r>
      <w:r w:rsidRPr="009C7D5E">
        <w:rPr>
          <w:rFonts w:ascii="Calibri" w:hAnsi="Calibri" w:cs="Calibri"/>
          <w:b/>
          <w:bCs/>
          <w:iCs/>
          <w:lang w:eastAsia="cs-CZ"/>
        </w:rPr>
        <w:t>(</w:t>
      </w:r>
      <w:r w:rsidR="00D736DB">
        <w:rPr>
          <w:rFonts w:ascii="Calibri" w:hAnsi="Calibri" w:cs="Calibri"/>
          <w:b/>
          <w:bCs/>
          <w:iCs/>
          <w:lang w:eastAsia="cs-CZ"/>
        </w:rPr>
        <w:t xml:space="preserve">viz </w:t>
      </w:r>
      <w:r w:rsidRPr="009C7D5E">
        <w:rPr>
          <w:rFonts w:ascii="Calibri" w:hAnsi="Calibri" w:cs="Calibri"/>
          <w:b/>
          <w:bCs/>
          <w:iCs/>
          <w:lang w:eastAsia="cs-CZ"/>
        </w:rPr>
        <w:t>část IV., bod 2)</w:t>
      </w:r>
      <w:r w:rsidRPr="009C7D5E">
        <w:rPr>
          <w:rFonts w:ascii="Calibri" w:hAnsi="Calibri" w:cs="Calibri"/>
          <w:b/>
          <w:lang w:eastAsia="cs-CZ"/>
        </w:rPr>
        <w:t>.</w:t>
      </w:r>
      <w:r w:rsidR="00FB11D9">
        <w:rPr>
          <w:rFonts w:ascii="Calibri" w:hAnsi="Calibri" w:cs="Calibri"/>
          <w:lang w:eastAsia="cs-CZ"/>
        </w:rPr>
        <w:t xml:space="preserve"> </w:t>
      </w:r>
      <w:r w:rsidR="00CA6272" w:rsidRPr="00FB11D9">
        <w:rPr>
          <w:rFonts w:eastAsia="Calibri" w:cstheme="minorHAnsi"/>
        </w:rPr>
        <w:t xml:space="preserve">MV, MK a </w:t>
      </w:r>
      <w:proofErr w:type="spellStart"/>
      <w:r w:rsidR="00CA6272" w:rsidRPr="00FB11D9">
        <w:rPr>
          <w:rFonts w:eastAsia="Calibri" w:cstheme="minorHAnsi"/>
        </w:rPr>
        <w:t>MZd</w:t>
      </w:r>
      <w:proofErr w:type="spellEnd"/>
      <w:r w:rsidR="00CA6272" w:rsidRPr="00FB11D9">
        <w:rPr>
          <w:rFonts w:eastAsia="Calibri" w:cstheme="minorHAnsi"/>
        </w:rPr>
        <w:t xml:space="preserve"> nestanovil</w:t>
      </w:r>
      <w:r w:rsidR="00773D96" w:rsidRPr="00FB11D9">
        <w:rPr>
          <w:rFonts w:eastAsia="Calibri" w:cstheme="minorHAnsi"/>
        </w:rPr>
        <w:t>y</w:t>
      </w:r>
      <w:r w:rsidR="00CA6272" w:rsidRPr="00FB11D9">
        <w:rPr>
          <w:rFonts w:eastAsia="Calibri" w:cstheme="minorHAnsi"/>
        </w:rPr>
        <w:t xml:space="preserve"> </w:t>
      </w:r>
      <w:r w:rsidR="00361054">
        <w:rPr>
          <w:rFonts w:eastAsia="Calibri" w:cstheme="minorHAnsi"/>
        </w:rPr>
        <w:t xml:space="preserve">v </w:t>
      </w:r>
      <w:r w:rsidR="00CA6272" w:rsidRPr="00FB11D9">
        <w:rPr>
          <w:rFonts w:eastAsia="Calibri" w:cstheme="minorHAnsi"/>
        </w:rPr>
        <w:t>neinvestičních program</w:t>
      </w:r>
      <w:r w:rsidR="00361054">
        <w:rPr>
          <w:rFonts w:eastAsia="Calibri" w:cstheme="minorHAnsi"/>
        </w:rPr>
        <w:t>ech</w:t>
      </w:r>
      <w:r w:rsidR="00CA6272" w:rsidRPr="00FB11D9">
        <w:rPr>
          <w:rFonts w:eastAsia="Calibri" w:cstheme="minorHAnsi"/>
        </w:rPr>
        <w:t xml:space="preserve"> měřiteln</w:t>
      </w:r>
      <w:r w:rsidR="00D736DB">
        <w:rPr>
          <w:rFonts w:eastAsia="Calibri" w:cstheme="minorHAnsi"/>
        </w:rPr>
        <w:t xml:space="preserve">é </w:t>
      </w:r>
      <w:r w:rsidR="00D736DB" w:rsidRPr="00FB11D9">
        <w:rPr>
          <w:rFonts w:eastAsia="Calibri" w:cstheme="minorHAnsi"/>
        </w:rPr>
        <w:t>cíle</w:t>
      </w:r>
      <w:r w:rsidR="00CA6272" w:rsidRPr="00FB11D9">
        <w:rPr>
          <w:rFonts w:eastAsia="Calibri" w:cstheme="minorHAnsi"/>
        </w:rPr>
        <w:t>, určil</w:t>
      </w:r>
      <w:r w:rsidR="00773D96" w:rsidRPr="00FB11D9">
        <w:rPr>
          <w:rFonts w:eastAsia="Calibri" w:cstheme="minorHAnsi"/>
        </w:rPr>
        <w:t>y</w:t>
      </w:r>
      <w:r w:rsidR="004130D4" w:rsidRPr="00FB11D9">
        <w:rPr>
          <w:rFonts w:eastAsia="Calibri" w:cstheme="minorHAnsi"/>
        </w:rPr>
        <w:t xml:space="preserve"> pouze obecný cíl poskytnuté podpory bez konkrétního počtu měkkých cílů, který měl být podpořen.</w:t>
      </w:r>
      <w:r w:rsidR="00A6366E" w:rsidRPr="00FB11D9">
        <w:rPr>
          <w:rFonts w:eastAsia="Calibri" w:cstheme="minorHAnsi"/>
        </w:rPr>
        <w:t xml:space="preserve"> N</w:t>
      </w:r>
      <w:r w:rsidR="004130D4" w:rsidRPr="00FB11D9">
        <w:rPr>
          <w:rFonts w:ascii="Calibri" w:hAnsi="Calibri" w:cs="Calibri"/>
          <w:lang w:eastAsia="cs-CZ"/>
        </w:rPr>
        <w:t>evymezil</w:t>
      </w:r>
      <w:r w:rsidR="00773D96" w:rsidRPr="00FB11D9">
        <w:rPr>
          <w:rFonts w:ascii="Calibri" w:hAnsi="Calibri" w:cs="Calibri"/>
          <w:lang w:eastAsia="cs-CZ"/>
        </w:rPr>
        <w:t>y</w:t>
      </w:r>
      <w:r w:rsidR="004130D4" w:rsidRPr="00FB11D9">
        <w:rPr>
          <w:rFonts w:ascii="Calibri" w:hAnsi="Calibri" w:cs="Calibri"/>
          <w:lang w:eastAsia="cs-CZ"/>
        </w:rPr>
        <w:t xml:space="preserve"> </w:t>
      </w:r>
      <w:r w:rsidR="00580C83" w:rsidRPr="00FB11D9">
        <w:rPr>
          <w:rFonts w:ascii="Calibri" w:hAnsi="Calibri" w:cs="Calibri"/>
          <w:lang w:eastAsia="cs-CZ"/>
        </w:rPr>
        <w:t xml:space="preserve">také </w:t>
      </w:r>
      <w:r w:rsidR="00A6366E" w:rsidRPr="00FB11D9">
        <w:rPr>
          <w:rFonts w:ascii="Calibri" w:hAnsi="Calibri" w:cs="Calibri"/>
          <w:lang w:eastAsia="cs-CZ"/>
        </w:rPr>
        <w:t>v souvislosti s poskytovanými peněžními</w:t>
      </w:r>
      <w:r w:rsidR="00580C83" w:rsidRPr="00FB11D9">
        <w:rPr>
          <w:rFonts w:ascii="Calibri" w:hAnsi="Calibri" w:cs="Calibri"/>
          <w:lang w:eastAsia="cs-CZ"/>
        </w:rPr>
        <w:t xml:space="preserve"> </w:t>
      </w:r>
      <w:r w:rsidR="00A6366E" w:rsidRPr="00FB11D9">
        <w:rPr>
          <w:rFonts w:ascii="Calibri" w:hAnsi="Calibri" w:cs="Calibri"/>
          <w:lang w:eastAsia="cs-CZ"/>
        </w:rPr>
        <w:t xml:space="preserve">prostředky státu </w:t>
      </w:r>
      <w:r w:rsidR="004130D4" w:rsidRPr="00FB11D9">
        <w:rPr>
          <w:rFonts w:ascii="Calibri" w:hAnsi="Calibri" w:cs="Calibri"/>
          <w:lang w:eastAsia="cs-CZ"/>
        </w:rPr>
        <w:t>měřitelné</w:t>
      </w:r>
      <w:r w:rsidR="00B51BF9" w:rsidRPr="00FB11D9">
        <w:rPr>
          <w:rFonts w:ascii="Calibri" w:hAnsi="Calibri" w:cs="Calibri"/>
          <w:lang w:eastAsia="cs-CZ"/>
        </w:rPr>
        <w:t xml:space="preserve"> </w:t>
      </w:r>
      <w:r w:rsidR="004130D4" w:rsidRPr="00FB11D9">
        <w:rPr>
          <w:rFonts w:ascii="Calibri" w:hAnsi="Calibri" w:cs="Calibri"/>
          <w:lang w:eastAsia="cs-CZ"/>
        </w:rPr>
        <w:t>indikátory pro vyhodnocení naplnění cíl</w:t>
      </w:r>
      <w:r w:rsidR="00A6366E" w:rsidRPr="00FB11D9">
        <w:rPr>
          <w:rFonts w:ascii="Calibri" w:hAnsi="Calibri" w:cs="Calibri"/>
          <w:lang w:eastAsia="cs-CZ"/>
        </w:rPr>
        <w:t>ů</w:t>
      </w:r>
      <w:r w:rsidR="004130D4" w:rsidRPr="00FB11D9">
        <w:rPr>
          <w:rFonts w:ascii="Calibri" w:hAnsi="Calibri" w:cs="Calibri"/>
          <w:lang w:eastAsia="cs-CZ"/>
        </w:rPr>
        <w:t xml:space="preserve"> </w:t>
      </w:r>
      <w:r w:rsidR="00580C83" w:rsidRPr="00FB11D9">
        <w:rPr>
          <w:rFonts w:ascii="Calibri" w:hAnsi="Calibri" w:cs="Calibri"/>
          <w:lang w:eastAsia="cs-CZ"/>
        </w:rPr>
        <w:t xml:space="preserve">neinvestičních </w:t>
      </w:r>
      <w:r w:rsidR="004130D4" w:rsidRPr="00FB11D9">
        <w:rPr>
          <w:rFonts w:ascii="Calibri" w:hAnsi="Calibri" w:cs="Calibri"/>
          <w:lang w:eastAsia="cs-CZ"/>
        </w:rPr>
        <w:t xml:space="preserve">programů </w:t>
      </w:r>
      <w:r w:rsidR="004130D4" w:rsidRPr="009C7D5E">
        <w:rPr>
          <w:rFonts w:ascii="Calibri" w:hAnsi="Calibri" w:cs="Calibri"/>
          <w:b/>
          <w:bCs/>
          <w:iCs/>
          <w:lang w:eastAsia="cs-CZ"/>
        </w:rPr>
        <w:t>(</w:t>
      </w:r>
      <w:r w:rsidR="00D736DB">
        <w:rPr>
          <w:rFonts w:ascii="Calibri" w:hAnsi="Calibri" w:cs="Calibri"/>
          <w:b/>
          <w:bCs/>
          <w:iCs/>
          <w:lang w:eastAsia="cs-CZ"/>
        </w:rPr>
        <w:t xml:space="preserve">viz </w:t>
      </w:r>
      <w:r w:rsidR="004130D4" w:rsidRPr="009C7D5E">
        <w:rPr>
          <w:rFonts w:ascii="Calibri" w:hAnsi="Calibri" w:cs="Calibri"/>
          <w:b/>
          <w:bCs/>
          <w:iCs/>
          <w:lang w:eastAsia="cs-CZ"/>
        </w:rPr>
        <w:t>část IV., bod 3)</w:t>
      </w:r>
      <w:r w:rsidR="00D736DB" w:rsidRPr="009C7D5E">
        <w:rPr>
          <w:rFonts w:ascii="Calibri" w:hAnsi="Calibri" w:cs="Calibri"/>
          <w:b/>
          <w:lang w:eastAsia="cs-CZ"/>
        </w:rPr>
        <w:t>.</w:t>
      </w:r>
    </w:p>
    <w:p w14:paraId="11AF5603" w14:textId="09F93149" w:rsidR="00205D75" w:rsidRPr="00950FD2" w:rsidRDefault="00950FD2" w:rsidP="00420956">
      <w:pPr>
        <w:pStyle w:val="Odstavecseseznamem"/>
        <w:numPr>
          <w:ilvl w:val="0"/>
          <w:numId w:val="31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eastAsia="Calibri" w:cstheme="minorHAnsi"/>
        </w:rPr>
      </w:pPr>
      <w:r w:rsidRPr="00950FD2">
        <w:rPr>
          <w:rFonts w:eastAsia="Calibri" w:cstheme="minorHAnsi"/>
        </w:rPr>
        <w:t>MV a MK jednoznačně nenastavily pravidla pro transparentní výběr projektů</w:t>
      </w:r>
      <w:r>
        <w:rPr>
          <w:rFonts w:eastAsia="Calibri" w:cstheme="minorHAnsi"/>
        </w:rPr>
        <w:t>, c</w:t>
      </w:r>
      <w:r w:rsidR="004130D4" w:rsidRPr="00950FD2">
        <w:rPr>
          <w:rFonts w:ascii="Calibri" w:eastAsia="Calibri" w:hAnsi="Calibri" w:cs="Calibri"/>
        </w:rPr>
        <w:t xml:space="preserve">hyběly </w:t>
      </w:r>
      <w:r w:rsidR="00125324" w:rsidRPr="00950FD2">
        <w:rPr>
          <w:rFonts w:ascii="Calibri" w:eastAsia="Calibri" w:hAnsi="Calibri" w:cs="Calibri"/>
        </w:rPr>
        <w:t xml:space="preserve">např. </w:t>
      </w:r>
      <w:r w:rsidR="004130D4" w:rsidRPr="00950FD2">
        <w:rPr>
          <w:rFonts w:ascii="Calibri" w:eastAsia="Calibri" w:hAnsi="Calibri" w:cs="Calibri"/>
        </w:rPr>
        <w:t xml:space="preserve">slovní komentáře oponentů nebo </w:t>
      </w:r>
      <w:r w:rsidR="00D448E5">
        <w:t>stanovení způsobu bodování u hodnocených ukazatelů</w:t>
      </w:r>
      <w:r w:rsidRPr="00D736DB">
        <w:rPr>
          <w:rFonts w:ascii="Calibri" w:eastAsia="Calibri" w:hAnsi="Calibri" w:cs="Calibri"/>
        </w:rPr>
        <w:t xml:space="preserve"> </w:t>
      </w:r>
      <w:r w:rsidRPr="009C7D5E">
        <w:rPr>
          <w:rFonts w:ascii="Calibri" w:eastAsia="Calibri" w:hAnsi="Calibri" w:cs="Calibri"/>
          <w:b/>
          <w:bCs/>
          <w:iCs/>
        </w:rPr>
        <w:t>(</w:t>
      </w:r>
      <w:r w:rsidR="00D736DB">
        <w:rPr>
          <w:rFonts w:ascii="Calibri" w:eastAsia="Calibri" w:hAnsi="Calibri" w:cs="Calibri"/>
          <w:b/>
          <w:bCs/>
          <w:iCs/>
        </w:rPr>
        <w:t xml:space="preserve">viz </w:t>
      </w:r>
      <w:r w:rsidRPr="009C7D5E">
        <w:rPr>
          <w:rFonts w:ascii="Calibri" w:eastAsia="Calibri" w:hAnsi="Calibri" w:cs="Calibri"/>
          <w:b/>
          <w:bCs/>
          <w:iCs/>
        </w:rPr>
        <w:t>část IV., bod 4)</w:t>
      </w:r>
      <w:r w:rsidRPr="009C7D5E"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</w:rPr>
        <w:t xml:space="preserve"> </w:t>
      </w:r>
      <w:r w:rsidR="00125324" w:rsidRPr="00950FD2">
        <w:rPr>
          <w:rFonts w:ascii="Calibri" w:eastAsia="Calibri" w:hAnsi="Calibri" w:cs="Calibri"/>
        </w:rPr>
        <w:t xml:space="preserve">MK a </w:t>
      </w:r>
      <w:proofErr w:type="spellStart"/>
      <w:r w:rsidR="00125324" w:rsidRPr="00950FD2">
        <w:rPr>
          <w:rFonts w:ascii="Calibri" w:eastAsia="Calibri" w:hAnsi="Calibri" w:cs="Calibri"/>
        </w:rPr>
        <w:t>MZd</w:t>
      </w:r>
      <w:proofErr w:type="spellEnd"/>
      <w:r w:rsidR="00125324" w:rsidRPr="00950FD2">
        <w:rPr>
          <w:rFonts w:ascii="Calibri" w:eastAsia="Calibri" w:hAnsi="Calibri" w:cs="Calibri"/>
        </w:rPr>
        <w:t xml:space="preserve"> nestanovil</w:t>
      </w:r>
      <w:r w:rsidR="00773D96" w:rsidRPr="00950FD2">
        <w:rPr>
          <w:rFonts w:ascii="Calibri" w:eastAsia="Calibri" w:hAnsi="Calibri" w:cs="Calibri"/>
        </w:rPr>
        <w:t>y</w:t>
      </w:r>
      <w:r w:rsidR="00125324" w:rsidRPr="00950FD2">
        <w:rPr>
          <w:rFonts w:ascii="Calibri" w:eastAsia="Calibri" w:hAnsi="Calibri" w:cs="Calibri"/>
        </w:rPr>
        <w:t xml:space="preserve"> podmínky </w:t>
      </w:r>
      <w:r w:rsidR="00D736DB">
        <w:rPr>
          <w:rFonts w:ascii="Calibri" w:eastAsia="Calibri" w:hAnsi="Calibri" w:cs="Calibri"/>
        </w:rPr>
        <w:t>r</w:t>
      </w:r>
      <w:r w:rsidR="00125324" w:rsidRPr="00950FD2">
        <w:rPr>
          <w:rFonts w:ascii="Calibri" w:eastAsia="Calibri" w:hAnsi="Calibri" w:cs="Calibri"/>
        </w:rPr>
        <w:t>ozhodnutí o poskytnutí dotace</w:t>
      </w:r>
      <w:r w:rsidR="009D5BD5" w:rsidRPr="00950FD2">
        <w:rPr>
          <w:rFonts w:ascii="Calibri" w:eastAsia="Calibri" w:hAnsi="Calibri" w:cs="Calibri"/>
        </w:rPr>
        <w:t xml:space="preserve"> (dále také „ROPD“)</w:t>
      </w:r>
      <w:r w:rsidR="00125324" w:rsidRPr="00950FD2">
        <w:rPr>
          <w:rFonts w:ascii="Calibri" w:eastAsia="Calibri" w:hAnsi="Calibri" w:cs="Calibri"/>
        </w:rPr>
        <w:t xml:space="preserve"> tak, aby mohly vyhodnotit, zda příjemci postupovali při realizaci projekt</w:t>
      </w:r>
      <w:r w:rsidR="00361054">
        <w:rPr>
          <w:rFonts w:ascii="Calibri" w:eastAsia="Calibri" w:hAnsi="Calibri" w:cs="Calibri"/>
        </w:rPr>
        <w:t>ů</w:t>
      </w:r>
      <w:r w:rsidR="00125324" w:rsidRPr="00950FD2">
        <w:rPr>
          <w:rFonts w:ascii="Calibri" w:eastAsia="Calibri" w:hAnsi="Calibri" w:cs="Calibri"/>
        </w:rPr>
        <w:t xml:space="preserve"> účelně a hospodárně</w:t>
      </w:r>
      <w:r w:rsidR="00094A67" w:rsidRPr="00950FD2">
        <w:rPr>
          <w:rFonts w:ascii="Calibri" w:eastAsia="Calibri" w:hAnsi="Calibri" w:cs="Calibri"/>
        </w:rPr>
        <w:t xml:space="preserve"> </w:t>
      </w:r>
      <w:r w:rsidR="00094A67" w:rsidRPr="009C7D5E">
        <w:rPr>
          <w:rFonts w:ascii="Calibri" w:eastAsia="Calibri" w:hAnsi="Calibri" w:cs="Calibri"/>
          <w:b/>
          <w:bCs/>
          <w:iCs/>
        </w:rPr>
        <w:t>(</w:t>
      </w:r>
      <w:r w:rsidR="00D736DB">
        <w:rPr>
          <w:rFonts w:ascii="Calibri" w:eastAsia="Calibri" w:hAnsi="Calibri" w:cs="Calibri"/>
          <w:b/>
          <w:bCs/>
          <w:iCs/>
        </w:rPr>
        <w:t xml:space="preserve">viz </w:t>
      </w:r>
      <w:r w:rsidR="00094A67" w:rsidRPr="009C7D5E">
        <w:rPr>
          <w:rFonts w:ascii="Calibri" w:eastAsia="Calibri" w:hAnsi="Calibri" w:cs="Calibri"/>
          <w:b/>
          <w:bCs/>
          <w:iCs/>
        </w:rPr>
        <w:t>část IV., bod 5)</w:t>
      </w:r>
      <w:r w:rsidR="00094A67" w:rsidRPr="009C7D5E">
        <w:rPr>
          <w:rFonts w:ascii="Calibri" w:eastAsia="Calibri" w:hAnsi="Calibri" w:cs="Calibri"/>
          <w:b/>
          <w:i/>
          <w:iCs/>
        </w:rPr>
        <w:t>.</w:t>
      </w:r>
      <w:r w:rsidR="00205D75" w:rsidRPr="00950FD2">
        <w:rPr>
          <w:rFonts w:ascii="Calibri" w:eastAsia="Calibri" w:hAnsi="Calibri" w:cs="Calibri"/>
        </w:rPr>
        <w:t xml:space="preserve"> </w:t>
      </w:r>
      <w:r w:rsidR="00094A67" w:rsidRPr="00950FD2">
        <w:rPr>
          <w:rFonts w:eastAsia="Calibri" w:cstheme="minorHAnsi"/>
        </w:rPr>
        <w:t xml:space="preserve">MK a </w:t>
      </w:r>
      <w:proofErr w:type="spellStart"/>
      <w:r w:rsidR="00094A67" w:rsidRPr="00950FD2">
        <w:rPr>
          <w:rFonts w:eastAsia="Calibri" w:cstheme="minorHAnsi"/>
        </w:rPr>
        <w:t>MZd</w:t>
      </w:r>
      <w:proofErr w:type="spellEnd"/>
      <w:r w:rsidR="00094A67" w:rsidRPr="00950FD2">
        <w:rPr>
          <w:rFonts w:eastAsia="Calibri" w:cstheme="minorHAnsi"/>
        </w:rPr>
        <w:t xml:space="preserve"> ne</w:t>
      </w:r>
      <w:r w:rsidR="00361054">
        <w:rPr>
          <w:rFonts w:eastAsia="Calibri" w:cstheme="minorHAnsi"/>
        </w:rPr>
        <w:t>stanovily</w:t>
      </w:r>
      <w:r w:rsidR="00094A67" w:rsidRPr="00950FD2">
        <w:rPr>
          <w:rFonts w:eastAsia="Calibri" w:cstheme="minorHAnsi"/>
        </w:rPr>
        <w:t xml:space="preserve"> v roce 2019 </w:t>
      </w:r>
      <w:r>
        <w:rPr>
          <w:rFonts w:eastAsia="Calibri" w:cstheme="minorHAnsi"/>
        </w:rPr>
        <w:t xml:space="preserve">např. </w:t>
      </w:r>
      <w:r w:rsidR="00F93285" w:rsidRPr="00950FD2">
        <w:rPr>
          <w:rFonts w:eastAsia="Calibri" w:cstheme="minorHAnsi"/>
        </w:rPr>
        <w:t xml:space="preserve">na základě průzkumu trhu </w:t>
      </w:r>
      <w:r w:rsidR="00361054" w:rsidRPr="00950FD2">
        <w:rPr>
          <w:rFonts w:eastAsia="Calibri" w:cstheme="minorHAnsi"/>
        </w:rPr>
        <w:t xml:space="preserve">maximální finanční limity </w:t>
      </w:r>
      <w:r w:rsidR="009511B0" w:rsidRPr="00950FD2">
        <w:rPr>
          <w:rFonts w:eastAsia="Calibri" w:cstheme="minorHAnsi"/>
        </w:rPr>
        <w:t>a</w:t>
      </w:r>
      <w:r w:rsidR="00094A67" w:rsidRPr="006E5328">
        <w:rPr>
          <w:lang w:eastAsia="cs-CZ"/>
        </w:rPr>
        <w:t xml:space="preserve"> </w:t>
      </w:r>
      <w:r w:rsidR="00580C83">
        <w:rPr>
          <w:lang w:eastAsia="cs-CZ"/>
        </w:rPr>
        <w:t xml:space="preserve">současně </w:t>
      </w:r>
      <w:r w:rsidR="008C2E3E">
        <w:rPr>
          <w:lang w:eastAsia="cs-CZ"/>
        </w:rPr>
        <w:t>věcně</w:t>
      </w:r>
      <w:r w:rsidR="008C2E3E" w:rsidRPr="006E5328">
        <w:rPr>
          <w:lang w:eastAsia="cs-CZ"/>
        </w:rPr>
        <w:t xml:space="preserve"> </w:t>
      </w:r>
      <w:r w:rsidR="00094A67" w:rsidRPr="006E5328">
        <w:rPr>
          <w:lang w:eastAsia="cs-CZ"/>
        </w:rPr>
        <w:t>neposuzoval</w:t>
      </w:r>
      <w:r w:rsidR="009D5BD5">
        <w:rPr>
          <w:lang w:eastAsia="cs-CZ"/>
        </w:rPr>
        <w:t>y</w:t>
      </w:r>
      <w:r w:rsidR="00094A67" w:rsidRPr="006E5328">
        <w:rPr>
          <w:lang w:eastAsia="cs-CZ"/>
        </w:rPr>
        <w:t xml:space="preserve"> přiměřenost </w:t>
      </w:r>
      <w:r>
        <w:rPr>
          <w:lang w:eastAsia="cs-CZ"/>
        </w:rPr>
        <w:t xml:space="preserve">jednotkových </w:t>
      </w:r>
      <w:r w:rsidR="00094A67" w:rsidRPr="006E5328">
        <w:rPr>
          <w:lang w:eastAsia="cs-CZ"/>
        </w:rPr>
        <w:t xml:space="preserve">cen </w:t>
      </w:r>
      <w:r w:rsidR="00094A67">
        <w:rPr>
          <w:lang w:eastAsia="cs-CZ"/>
        </w:rPr>
        <w:t>při hodnocení žádostí.</w:t>
      </w:r>
      <w:r w:rsidR="00580C83">
        <w:rPr>
          <w:lang w:eastAsia="cs-CZ"/>
        </w:rPr>
        <w:t xml:space="preserve"> </w:t>
      </w:r>
      <w:r>
        <w:rPr>
          <w:rFonts w:eastAsia="Calibri" w:cstheme="minorHAnsi"/>
        </w:rPr>
        <w:t>Snížení hospodárnosti</w:t>
      </w:r>
      <w:r w:rsidR="008245C1" w:rsidRPr="00950FD2">
        <w:rPr>
          <w:rFonts w:eastAsia="Calibri" w:cstheme="minorHAnsi"/>
        </w:rPr>
        <w:t xml:space="preserve"> u MK a </w:t>
      </w:r>
      <w:proofErr w:type="spellStart"/>
      <w:r w:rsidR="008245C1" w:rsidRPr="00950FD2">
        <w:rPr>
          <w:rFonts w:eastAsia="Calibri" w:cstheme="minorHAnsi"/>
        </w:rPr>
        <w:t>MZd</w:t>
      </w:r>
      <w:proofErr w:type="spellEnd"/>
      <w:r w:rsidR="00205D75" w:rsidRPr="00950FD2">
        <w:rPr>
          <w:rFonts w:eastAsia="Calibri" w:cstheme="minorHAnsi"/>
        </w:rPr>
        <w:t xml:space="preserve"> dokládá </w:t>
      </w:r>
      <w:r w:rsidR="00BD1EFF" w:rsidRPr="00950FD2">
        <w:rPr>
          <w:rFonts w:eastAsia="Calibri" w:cstheme="minorHAnsi"/>
        </w:rPr>
        <w:t xml:space="preserve">NKÚ </w:t>
      </w:r>
      <w:r w:rsidR="00205D75" w:rsidRPr="00950FD2">
        <w:rPr>
          <w:rFonts w:eastAsia="Calibri" w:cstheme="minorHAnsi"/>
        </w:rPr>
        <w:t xml:space="preserve">i výraznými rozdíly v jednotkových cenách </w:t>
      </w:r>
      <w:r w:rsidR="00205D75" w:rsidRPr="00950FD2">
        <w:rPr>
          <w:rFonts w:eastAsia="Calibri" w:cstheme="minorHAnsi"/>
        </w:rPr>
        <w:lastRenderedPageBreak/>
        <w:t xml:space="preserve">podpořených služeb u </w:t>
      </w:r>
      <w:r w:rsidR="00140D32">
        <w:rPr>
          <w:rFonts w:eastAsia="Calibri" w:cstheme="minorHAnsi"/>
        </w:rPr>
        <w:t>obdobných</w:t>
      </w:r>
      <w:r w:rsidR="00205D75" w:rsidRPr="00950FD2">
        <w:rPr>
          <w:rFonts w:eastAsia="Calibri" w:cstheme="minorHAnsi"/>
        </w:rPr>
        <w:t xml:space="preserve"> projektů v meziročním srovnání let 2019 a 2020 </w:t>
      </w:r>
      <w:r w:rsidR="00205D75" w:rsidRPr="009C7D5E">
        <w:rPr>
          <w:rFonts w:ascii="Calibri" w:eastAsia="Calibri" w:hAnsi="Calibri" w:cs="Calibri"/>
          <w:b/>
          <w:bCs/>
          <w:iCs/>
        </w:rPr>
        <w:t>(</w:t>
      </w:r>
      <w:r w:rsidR="00D736DB">
        <w:rPr>
          <w:rFonts w:ascii="Calibri" w:eastAsia="Calibri" w:hAnsi="Calibri" w:cs="Calibri"/>
          <w:b/>
          <w:bCs/>
          <w:iCs/>
        </w:rPr>
        <w:t xml:space="preserve">viz </w:t>
      </w:r>
      <w:r w:rsidR="00205D75" w:rsidRPr="009C7D5E">
        <w:rPr>
          <w:rFonts w:ascii="Calibri" w:eastAsia="Calibri" w:hAnsi="Calibri" w:cs="Calibri"/>
          <w:b/>
          <w:bCs/>
          <w:iCs/>
        </w:rPr>
        <w:t>část IV., bod 6)</w:t>
      </w:r>
      <w:r w:rsidR="00D736DB">
        <w:rPr>
          <w:rFonts w:ascii="Calibri" w:eastAsia="Calibri" w:hAnsi="Calibri" w:cs="Calibri"/>
          <w:b/>
        </w:rPr>
        <w:t>.</w:t>
      </w:r>
    </w:p>
    <w:p w14:paraId="705D06BD" w14:textId="37E46190" w:rsidR="00205D75" w:rsidRPr="00B51BF9" w:rsidRDefault="00205D75" w:rsidP="00420956">
      <w:pPr>
        <w:pStyle w:val="Odstavecseseznamem"/>
        <w:numPr>
          <w:ilvl w:val="0"/>
          <w:numId w:val="31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Calibri" w:hAnsi="Calibri" w:cs="Calibri"/>
        </w:rPr>
      </w:pPr>
      <w:r w:rsidRPr="00485A08">
        <w:rPr>
          <w:rFonts w:eastAsia="Calibri" w:cstheme="minorHAnsi"/>
        </w:rPr>
        <w:t xml:space="preserve">MK v období od března 2020 do prosince 2021 a </w:t>
      </w:r>
      <w:proofErr w:type="spellStart"/>
      <w:r w:rsidRPr="00485A08">
        <w:rPr>
          <w:rFonts w:eastAsia="Calibri" w:cstheme="minorHAnsi"/>
        </w:rPr>
        <w:t>MZd</w:t>
      </w:r>
      <w:proofErr w:type="spellEnd"/>
      <w:r w:rsidRPr="00485A08">
        <w:rPr>
          <w:rFonts w:eastAsia="Calibri" w:cstheme="minorHAnsi"/>
        </w:rPr>
        <w:t xml:space="preserve"> v celém kontrolovaném období nepostupovaly dle </w:t>
      </w:r>
      <w:r w:rsidR="000F7163">
        <w:rPr>
          <w:rFonts w:eastAsia="Calibri" w:cstheme="minorHAnsi"/>
        </w:rPr>
        <w:t xml:space="preserve">§ 5 odst. 1 písm. a), d) a e) </w:t>
      </w:r>
      <w:r w:rsidRPr="00485A08">
        <w:rPr>
          <w:rFonts w:eastAsia="Calibri" w:cstheme="minorHAnsi"/>
        </w:rPr>
        <w:t>zákona č. 320/2001 Sb.</w:t>
      </w:r>
      <w:r w:rsidR="00BB107D">
        <w:rPr>
          <w:rFonts w:eastAsia="Calibri" w:cstheme="minorHAnsi"/>
        </w:rPr>
        <w:t xml:space="preserve"> </w:t>
      </w:r>
      <w:r w:rsidRPr="00485A08">
        <w:rPr>
          <w:rFonts w:eastAsia="Calibri" w:cstheme="minorHAnsi"/>
        </w:rPr>
        <w:t>tím</w:t>
      </w:r>
      <w:r w:rsidR="00BB107D">
        <w:rPr>
          <w:rFonts w:eastAsia="Calibri" w:cstheme="minorHAnsi"/>
        </w:rPr>
        <w:t>,</w:t>
      </w:r>
      <w:r w:rsidRPr="00485A08">
        <w:rPr>
          <w:rFonts w:eastAsia="Calibri" w:cstheme="minorHAnsi"/>
        </w:rPr>
        <w:t xml:space="preserve"> že neprováděly veřejnosprávní kontroly </w:t>
      </w:r>
      <w:r w:rsidRPr="009C7D5E">
        <w:rPr>
          <w:rFonts w:ascii="Calibri" w:eastAsia="Calibri" w:hAnsi="Calibri" w:cs="Calibri"/>
          <w:b/>
          <w:bCs/>
          <w:iCs/>
        </w:rPr>
        <w:t>(</w:t>
      </w:r>
      <w:r w:rsidR="00426EC2">
        <w:rPr>
          <w:rFonts w:ascii="Calibri" w:eastAsia="Calibri" w:hAnsi="Calibri" w:cs="Calibri"/>
          <w:b/>
          <w:bCs/>
          <w:iCs/>
        </w:rPr>
        <w:t xml:space="preserve">viz </w:t>
      </w:r>
      <w:r w:rsidRPr="009C7D5E">
        <w:rPr>
          <w:rFonts w:ascii="Calibri" w:eastAsia="Calibri" w:hAnsi="Calibri" w:cs="Calibri"/>
          <w:b/>
          <w:bCs/>
          <w:iCs/>
        </w:rPr>
        <w:t>část IV., bod 7)</w:t>
      </w:r>
      <w:r w:rsidR="00426EC2">
        <w:rPr>
          <w:rFonts w:ascii="Calibri" w:eastAsia="Calibri" w:hAnsi="Calibri" w:cs="Calibri"/>
          <w:b/>
        </w:rPr>
        <w:t>.</w:t>
      </w:r>
    </w:p>
    <w:p w14:paraId="56F2934D" w14:textId="4F7F92F3" w:rsidR="00237104" w:rsidRPr="00420956" w:rsidRDefault="00427580" w:rsidP="00420956">
      <w:pPr>
        <w:pStyle w:val="Odstavecseseznamem"/>
        <w:numPr>
          <w:ilvl w:val="0"/>
          <w:numId w:val="31"/>
        </w:numPr>
        <w:tabs>
          <w:tab w:val="clear" w:pos="720"/>
        </w:tabs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Calibri" w:hAnsi="Calibri" w:cs="Calibri"/>
        </w:rPr>
      </w:pPr>
      <w:r w:rsidRPr="00B51BF9">
        <w:rPr>
          <w:rFonts w:cstheme="minorHAnsi"/>
          <w:bCs/>
          <w:iCs/>
        </w:rPr>
        <w:t xml:space="preserve">MV, MK a </w:t>
      </w:r>
      <w:proofErr w:type="spellStart"/>
      <w:r w:rsidRPr="00B51BF9">
        <w:rPr>
          <w:rFonts w:cstheme="minorHAnsi"/>
          <w:bCs/>
          <w:iCs/>
        </w:rPr>
        <w:t>MZd</w:t>
      </w:r>
      <w:proofErr w:type="spellEnd"/>
      <w:r w:rsidRPr="00B51BF9">
        <w:rPr>
          <w:rFonts w:cstheme="minorHAnsi"/>
          <w:bCs/>
          <w:iCs/>
        </w:rPr>
        <w:t xml:space="preserve"> nevyžadoval</w:t>
      </w:r>
      <w:r w:rsidR="009D5BD5" w:rsidRPr="00B51BF9">
        <w:rPr>
          <w:rFonts w:cstheme="minorHAnsi"/>
          <w:bCs/>
          <w:iCs/>
        </w:rPr>
        <w:t>y</w:t>
      </w:r>
      <w:r w:rsidRPr="00B51BF9">
        <w:rPr>
          <w:rFonts w:cstheme="minorHAnsi"/>
          <w:bCs/>
          <w:iCs/>
        </w:rPr>
        <w:t xml:space="preserve"> od příjemců výstupy projektů (bezpečnostní dokumentaci) a informace o jejich využití</w:t>
      </w:r>
      <w:r w:rsidR="00303694" w:rsidRPr="00B51BF9">
        <w:rPr>
          <w:rFonts w:cstheme="minorHAnsi"/>
          <w:bCs/>
          <w:iCs/>
        </w:rPr>
        <w:t xml:space="preserve">. Zároveň neprováděly vyhodnocování závěrečných zpráv projektů, což dokládají </w:t>
      </w:r>
      <w:r w:rsidR="00580C83" w:rsidRPr="00B51BF9">
        <w:rPr>
          <w:rFonts w:cstheme="minorHAnsi"/>
          <w:bCs/>
          <w:iCs/>
        </w:rPr>
        <w:t xml:space="preserve">také </w:t>
      </w:r>
      <w:r w:rsidR="00303694" w:rsidRPr="00B51BF9">
        <w:rPr>
          <w:rFonts w:cstheme="minorHAnsi"/>
          <w:bCs/>
          <w:iCs/>
        </w:rPr>
        <w:t xml:space="preserve">skutečnosti </w:t>
      </w:r>
      <w:r w:rsidR="00E00A87">
        <w:rPr>
          <w:rFonts w:cstheme="minorHAnsi"/>
          <w:bCs/>
          <w:iCs/>
        </w:rPr>
        <w:t xml:space="preserve">nasvědčující porušení rozpočtové kázně </w:t>
      </w:r>
      <w:r w:rsidR="00303694" w:rsidRPr="00B51BF9">
        <w:rPr>
          <w:rFonts w:cstheme="minorHAnsi"/>
          <w:bCs/>
          <w:iCs/>
        </w:rPr>
        <w:t xml:space="preserve">zjištěné NKÚ u příjemců podpory. MV, MK a </w:t>
      </w:r>
      <w:proofErr w:type="spellStart"/>
      <w:r w:rsidR="00303694" w:rsidRPr="00B51BF9">
        <w:rPr>
          <w:rFonts w:cstheme="minorHAnsi"/>
          <w:bCs/>
          <w:iCs/>
        </w:rPr>
        <w:t>MZd</w:t>
      </w:r>
      <w:proofErr w:type="spellEnd"/>
      <w:r w:rsidR="00303694" w:rsidRPr="00B51BF9">
        <w:rPr>
          <w:rFonts w:cstheme="minorHAnsi"/>
          <w:bCs/>
          <w:iCs/>
        </w:rPr>
        <w:t xml:space="preserve"> </w:t>
      </w:r>
      <w:r w:rsidR="00552D02">
        <w:rPr>
          <w:rFonts w:cstheme="minorHAnsi"/>
          <w:bCs/>
          <w:iCs/>
        </w:rPr>
        <w:t xml:space="preserve">nesledovaly a </w:t>
      </w:r>
      <w:r w:rsidR="00303694" w:rsidRPr="00B51BF9">
        <w:rPr>
          <w:rFonts w:cstheme="minorHAnsi"/>
          <w:bCs/>
          <w:iCs/>
        </w:rPr>
        <w:t>nevyhodnocovaly účelnost a</w:t>
      </w:r>
      <w:r w:rsidR="00ED199B">
        <w:rPr>
          <w:rFonts w:cstheme="minorHAnsi"/>
          <w:bCs/>
          <w:iCs/>
        </w:rPr>
        <w:t> </w:t>
      </w:r>
      <w:r w:rsidR="00303694" w:rsidRPr="00B51BF9">
        <w:rPr>
          <w:rFonts w:cstheme="minorHAnsi"/>
          <w:bCs/>
          <w:iCs/>
        </w:rPr>
        <w:t xml:space="preserve">hospodárnost projektů </w:t>
      </w:r>
      <w:r w:rsidR="00552D02">
        <w:rPr>
          <w:rFonts w:cstheme="minorHAnsi"/>
          <w:bCs/>
          <w:iCs/>
        </w:rPr>
        <w:t xml:space="preserve">ve smyslu </w:t>
      </w:r>
      <w:r w:rsidR="00303694" w:rsidRPr="00B51BF9">
        <w:rPr>
          <w:rFonts w:cstheme="minorHAnsi"/>
          <w:bCs/>
          <w:iCs/>
        </w:rPr>
        <w:t>zákona č. 218/2000 Sb.</w:t>
      </w:r>
      <w:r w:rsidR="00DD5BB1" w:rsidRPr="00B51BF9">
        <w:rPr>
          <w:rFonts w:cstheme="minorHAnsi"/>
          <w:bCs/>
          <w:iCs/>
        </w:rPr>
        <w:t xml:space="preserve"> </w:t>
      </w:r>
      <w:r w:rsidRPr="009C7D5E">
        <w:rPr>
          <w:rFonts w:ascii="Calibri" w:eastAsia="Calibri" w:hAnsi="Calibri" w:cs="Calibri"/>
          <w:b/>
          <w:bCs/>
          <w:iCs/>
        </w:rPr>
        <w:t>(</w:t>
      </w:r>
      <w:r w:rsidR="00426EC2">
        <w:rPr>
          <w:rFonts w:ascii="Calibri" w:eastAsia="Calibri" w:hAnsi="Calibri" w:cs="Calibri"/>
          <w:b/>
          <w:bCs/>
          <w:iCs/>
        </w:rPr>
        <w:t xml:space="preserve">viz </w:t>
      </w:r>
      <w:r w:rsidRPr="009C7D5E">
        <w:rPr>
          <w:rFonts w:ascii="Calibri" w:eastAsia="Calibri" w:hAnsi="Calibri" w:cs="Calibri"/>
          <w:b/>
          <w:bCs/>
          <w:iCs/>
        </w:rPr>
        <w:t>část IV., bod 8)</w:t>
      </w:r>
      <w:r w:rsidRPr="00426EC2">
        <w:rPr>
          <w:rFonts w:ascii="Calibri" w:eastAsia="Calibri" w:hAnsi="Calibri" w:cs="Calibri"/>
          <w:b/>
          <w:bCs/>
        </w:rPr>
        <w:t>.</w:t>
      </w:r>
      <w:r w:rsidRPr="00B51BF9">
        <w:rPr>
          <w:rFonts w:cstheme="minorHAnsi"/>
          <w:bCs/>
          <w:iCs/>
        </w:rPr>
        <w:t xml:space="preserve"> </w:t>
      </w:r>
      <w:r w:rsidRPr="00B51BF9">
        <w:rPr>
          <w:rFonts w:eastAsia="Calibri" w:cstheme="minorHAnsi"/>
        </w:rPr>
        <w:t>MV a MK nepožadoval</w:t>
      </w:r>
      <w:r w:rsidR="009D5BD5" w:rsidRPr="00B51BF9">
        <w:rPr>
          <w:rFonts w:eastAsia="Calibri" w:cstheme="minorHAnsi"/>
        </w:rPr>
        <w:t>y</w:t>
      </w:r>
      <w:r w:rsidRPr="00B51BF9">
        <w:rPr>
          <w:rFonts w:eastAsia="Calibri" w:cstheme="minorHAnsi"/>
        </w:rPr>
        <w:t xml:space="preserve"> po příjemcích vyčíslení investičních potřeb </w:t>
      </w:r>
      <w:r w:rsidR="00140D32">
        <w:rPr>
          <w:rFonts w:eastAsia="Calibri" w:cstheme="minorHAnsi"/>
        </w:rPr>
        <w:t>dle</w:t>
      </w:r>
      <w:r w:rsidR="00426EC2">
        <w:rPr>
          <w:rFonts w:eastAsia="Calibri" w:cstheme="minorHAnsi"/>
        </w:rPr>
        <w:t xml:space="preserve"> </w:t>
      </w:r>
      <w:r w:rsidRPr="00B51BF9">
        <w:rPr>
          <w:rFonts w:eastAsia="Calibri" w:cstheme="minorHAnsi"/>
        </w:rPr>
        <w:t xml:space="preserve">výstupů neinvestičních projektů, </w:t>
      </w:r>
      <w:r w:rsidR="00247590" w:rsidRPr="00B51BF9">
        <w:rPr>
          <w:rFonts w:eastAsia="Calibri" w:cstheme="minorHAnsi"/>
        </w:rPr>
        <w:t xml:space="preserve">ačkoliv </w:t>
      </w:r>
      <w:r w:rsidRPr="00B51BF9">
        <w:rPr>
          <w:rFonts w:eastAsia="Calibri" w:cstheme="minorHAnsi"/>
        </w:rPr>
        <w:t>následn</w:t>
      </w:r>
      <w:r w:rsidR="00580C83" w:rsidRPr="00B51BF9">
        <w:rPr>
          <w:rFonts w:eastAsia="Calibri" w:cstheme="minorHAnsi"/>
        </w:rPr>
        <w:t>é investice</w:t>
      </w:r>
      <w:r w:rsidRPr="00B51BF9">
        <w:rPr>
          <w:rFonts w:eastAsia="Calibri" w:cstheme="minorHAnsi"/>
        </w:rPr>
        <w:t xml:space="preserve"> </w:t>
      </w:r>
      <w:r w:rsidR="00580C83" w:rsidRPr="00B51BF9">
        <w:rPr>
          <w:rFonts w:eastAsia="Calibri" w:cstheme="minorHAnsi"/>
        </w:rPr>
        <w:t>jsou</w:t>
      </w:r>
      <w:r w:rsidRPr="00B51BF9">
        <w:rPr>
          <w:rFonts w:eastAsia="Calibri" w:cstheme="minorHAnsi"/>
        </w:rPr>
        <w:t xml:space="preserve"> pro </w:t>
      </w:r>
      <w:r w:rsidR="000C66E9">
        <w:rPr>
          <w:rFonts w:eastAsia="Calibri" w:cstheme="minorHAnsi"/>
        </w:rPr>
        <w:t xml:space="preserve">národní </w:t>
      </w:r>
      <w:r w:rsidR="00F719F4" w:rsidRPr="00B51BF9">
        <w:rPr>
          <w:rFonts w:eastAsia="Calibri" w:cstheme="minorHAnsi"/>
        </w:rPr>
        <w:t xml:space="preserve">komplexní </w:t>
      </w:r>
      <w:r w:rsidR="000C66E9">
        <w:rPr>
          <w:rFonts w:eastAsia="Calibri" w:cstheme="minorHAnsi"/>
        </w:rPr>
        <w:t xml:space="preserve">systém </w:t>
      </w:r>
      <w:r w:rsidR="000E3151" w:rsidRPr="00B51BF9">
        <w:rPr>
          <w:rFonts w:eastAsia="Calibri" w:cstheme="minorHAnsi"/>
        </w:rPr>
        <w:t>OMC</w:t>
      </w:r>
      <w:r w:rsidRPr="00B51BF9">
        <w:rPr>
          <w:rFonts w:eastAsia="Calibri" w:cstheme="minorHAnsi"/>
        </w:rPr>
        <w:t xml:space="preserve"> nezbytn</w:t>
      </w:r>
      <w:r w:rsidR="00580C83" w:rsidRPr="00B51BF9">
        <w:rPr>
          <w:rFonts w:eastAsia="Calibri" w:cstheme="minorHAnsi"/>
        </w:rPr>
        <w:t>é</w:t>
      </w:r>
      <w:r w:rsidRPr="00B51BF9">
        <w:rPr>
          <w:rFonts w:eastAsia="Calibri" w:cstheme="minorHAnsi"/>
        </w:rPr>
        <w:t xml:space="preserve"> </w:t>
      </w:r>
      <w:r w:rsidR="000E3151" w:rsidRPr="009C7D5E">
        <w:rPr>
          <w:rFonts w:ascii="Calibri" w:eastAsia="Calibri" w:hAnsi="Calibri" w:cs="Calibri"/>
          <w:b/>
          <w:bCs/>
          <w:iCs/>
        </w:rPr>
        <w:t>(</w:t>
      </w:r>
      <w:r w:rsidR="00426EC2">
        <w:rPr>
          <w:rFonts w:ascii="Calibri" w:eastAsia="Calibri" w:hAnsi="Calibri" w:cs="Calibri"/>
          <w:b/>
          <w:bCs/>
          <w:iCs/>
        </w:rPr>
        <w:t xml:space="preserve">viz </w:t>
      </w:r>
      <w:r w:rsidR="000E3151" w:rsidRPr="009C7D5E">
        <w:rPr>
          <w:rFonts w:ascii="Calibri" w:eastAsia="Calibri" w:hAnsi="Calibri" w:cs="Calibri"/>
          <w:b/>
          <w:bCs/>
          <w:iCs/>
        </w:rPr>
        <w:t>část IV., bod 9</w:t>
      </w:r>
      <w:r w:rsidR="000E3151" w:rsidRPr="00B51BF9">
        <w:rPr>
          <w:rFonts w:ascii="Calibri" w:eastAsia="Calibri" w:hAnsi="Calibri" w:cs="Calibri"/>
          <w:b/>
          <w:bCs/>
        </w:rPr>
        <w:t>).</w:t>
      </w:r>
      <w:r w:rsidR="00237104" w:rsidRPr="00B51BF9">
        <w:rPr>
          <w:rFonts w:ascii="Calibri" w:eastAsia="Calibri" w:hAnsi="Calibri" w:cs="Calibri"/>
          <w:b/>
          <w:bCs/>
        </w:rPr>
        <w:t xml:space="preserve"> </w:t>
      </w:r>
      <w:r w:rsidR="00B51BF9" w:rsidRPr="00B51BF9">
        <w:rPr>
          <w:rFonts w:eastAsia="Calibri" w:cstheme="minorHAnsi"/>
        </w:rPr>
        <w:t xml:space="preserve">MV, MK ani </w:t>
      </w:r>
      <w:proofErr w:type="spellStart"/>
      <w:r w:rsidR="00B51BF9" w:rsidRPr="00B51BF9">
        <w:rPr>
          <w:rFonts w:eastAsia="Calibri" w:cstheme="minorHAnsi"/>
        </w:rPr>
        <w:t>MZd</w:t>
      </w:r>
      <w:proofErr w:type="spellEnd"/>
      <w:r w:rsidR="00B51BF9" w:rsidRPr="00B51BF9">
        <w:rPr>
          <w:rFonts w:eastAsia="Calibri" w:cstheme="minorHAnsi"/>
        </w:rPr>
        <w:t xml:space="preserve"> </w:t>
      </w:r>
      <w:r w:rsidR="0034283B">
        <w:rPr>
          <w:rFonts w:eastAsia="Calibri" w:cstheme="minorHAnsi"/>
        </w:rPr>
        <w:t>nebudou moci vyhodnotit</w:t>
      </w:r>
      <w:r w:rsidR="0034283B" w:rsidRPr="00B51BF9">
        <w:rPr>
          <w:rFonts w:eastAsia="Calibri" w:cstheme="minorHAnsi"/>
        </w:rPr>
        <w:t xml:space="preserve"> </w:t>
      </w:r>
      <w:r w:rsidR="00B51BF9" w:rsidRPr="00B51BF9">
        <w:rPr>
          <w:rFonts w:eastAsia="Calibri" w:cstheme="minorHAnsi"/>
        </w:rPr>
        <w:t xml:space="preserve">splnění cílů neinvestičních programů. Bez zahájení investičních programů, se kterým počítalo MV původně již od roku 2021, k vytvoření </w:t>
      </w:r>
      <w:r w:rsidR="00567108">
        <w:rPr>
          <w:rFonts w:eastAsia="Calibri" w:cstheme="minorHAnsi"/>
        </w:rPr>
        <w:t xml:space="preserve">národního </w:t>
      </w:r>
      <w:r w:rsidR="00B51BF9" w:rsidRPr="00B51BF9">
        <w:rPr>
          <w:rFonts w:eastAsia="Calibri" w:cstheme="minorHAnsi"/>
        </w:rPr>
        <w:t xml:space="preserve">komplexního systému OMC nedošlo </w:t>
      </w:r>
      <w:r w:rsidR="00237104" w:rsidRPr="009C7D5E">
        <w:rPr>
          <w:rFonts w:ascii="Calibri" w:eastAsia="Calibri" w:hAnsi="Calibri" w:cs="Calibri"/>
          <w:b/>
          <w:bCs/>
          <w:iCs/>
        </w:rPr>
        <w:t>(</w:t>
      </w:r>
      <w:r w:rsidR="00426EC2">
        <w:rPr>
          <w:rFonts w:ascii="Calibri" w:eastAsia="Calibri" w:hAnsi="Calibri" w:cs="Calibri"/>
          <w:b/>
          <w:bCs/>
          <w:iCs/>
        </w:rPr>
        <w:t xml:space="preserve">viz </w:t>
      </w:r>
      <w:r w:rsidR="00237104" w:rsidRPr="009C7D5E">
        <w:rPr>
          <w:rFonts w:ascii="Calibri" w:eastAsia="Calibri" w:hAnsi="Calibri" w:cs="Calibri"/>
          <w:b/>
          <w:bCs/>
          <w:iCs/>
        </w:rPr>
        <w:t>část IV., bod 10</w:t>
      </w:r>
      <w:r w:rsidR="00237104" w:rsidRPr="00B51BF9">
        <w:rPr>
          <w:rFonts w:ascii="Calibri" w:eastAsia="Calibri" w:hAnsi="Calibri" w:cs="Calibri"/>
          <w:b/>
          <w:bCs/>
        </w:rPr>
        <w:t>).</w:t>
      </w:r>
    </w:p>
    <w:p w14:paraId="69ACEDD7" w14:textId="2F6BFA80" w:rsidR="006265D4" w:rsidRPr="006265D4" w:rsidRDefault="006265D4" w:rsidP="00ED199B">
      <w:pPr>
        <w:keepNext/>
        <w:keepLines/>
        <w:spacing w:before="600" w:after="240"/>
        <w:jc w:val="center"/>
        <w:outlineLvl w:val="0"/>
        <w:rPr>
          <w:rFonts w:cstheme="minorHAnsi"/>
          <w:b/>
          <w:sz w:val="28"/>
        </w:rPr>
      </w:pPr>
      <w:r w:rsidRPr="006265D4">
        <w:rPr>
          <w:rFonts w:cstheme="minorHAnsi"/>
          <w:b/>
          <w:sz w:val="28"/>
        </w:rPr>
        <w:t>II. Informace o kontrolované oblasti</w:t>
      </w:r>
    </w:p>
    <w:p w14:paraId="1B3FBE80" w14:textId="224E9D4D" w:rsidR="00664C02" w:rsidRDefault="001A1B32" w:rsidP="00420956">
      <w:pPr>
        <w:spacing w:after="120"/>
        <w:jc w:val="both"/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t>O</w:t>
      </w:r>
      <w:r w:rsidR="00664C02" w:rsidRPr="00664C02">
        <w:rPr>
          <w:rFonts w:ascii="Calibri" w:eastAsia="Calibri" w:hAnsi="Calibri" w:cs="Calibri"/>
          <w:lang w:eastAsia="cs-CZ"/>
        </w:rPr>
        <w:t xml:space="preserve">chrana </w:t>
      </w:r>
      <w:r>
        <w:rPr>
          <w:rFonts w:ascii="Calibri" w:eastAsia="Calibri" w:hAnsi="Calibri" w:cs="Calibri"/>
          <w:lang w:eastAsia="cs-CZ"/>
        </w:rPr>
        <w:t xml:space="preserve">MC </w:t>
      </w:r>
      <w:r w:rsidR="00664C02" w:rsidRPr="00664C02">
        <w:rPr>
          <w:rFonts w:ascii="Calibri" w:eastAsia="Calibri" w:hAnsi="Calibri" w:cs="Calibri"/>
          <w:lang w:eastAsia="cs-CZ"/>
        </w:rPr>
        <w:t xml:space="preserve">je zaměřena především na ochranu životů a zdraví osob. </w:t>
      </w:r>
      <w:r w:rsidR="00367D6C">
        <w:rPr>
          <w:rFonts w:ascii="Calibri" w:eastAsia="Calibri" w:hAnsi="Calibri" w:cs="Calibri"/>
          <w:lang w:eastAsia="cs-CZ"/>
        </w:rPr>
        <w:t>Měkkými cíli jsou</w:t>
      </w:r>
      <w:r w:rsidR="00664C02" w:rsidRPr="00664C02">
        <w:rPr>
          <w:rFonts w:ascii="Calibri" w:eastAsia="Calibri" w:hAnsi="Calibri" w:cs="Calibri"/>
          <w:lang w:eastAsia="cs-CZ"/>
        </w:rPr>
        <w:t xml:space="preserve"> např. školská zařízení, obchodní centra, hotely, sportovní a kulturní akce, náboženské objekty nebo dopravní </w:t>
      </w:r>
      <w:r w:rsidR="00664C02" w:rsidRPr="00764071">
        <w:rPr>
          <w:rFonts w:ascii="Calibri" w:eastAsia="Calibri" w:hAnsi="Calibri" w:cs="Calibri"/>
          <w:lang w:eastAsia="cs-CZ"/>
        </w:rPr>
        <w:t xml:space="preserve">prostředky. </w:t>
      </w:r>
      <w:r w:rsidR="00764071" w:rsidRPr="00764071">
        <w:rPr>
          <w:rFonts w:ascii="Calibri" w:eastAsia="Calibri" w:hAnsi="Calibri" w:cs="Calibri"/>
          <w:lang w:eastAsia="cs-CZ"/>
        </w:rPr>
        <w:t>ČR v nedávné minulosti čelila několika závažným útokům na měkké cíle (např. střelba v restauraci v Uherském Brodě v roce 2015</w:t>
      </w:r>
      <w:r w:rsidR="009A2A59">
        <w:rPr>
          <w:rFonts w:ascii="Calibri" w:eastAsia="Calibri" w:hAnsi="Calibri" w:cs="Calibri"/>
          <w:lang w:eastAsia="cs-CZ"/>
        </w:rPr>
        <w:t>, střelba</w:t>
      </w:r>
      <w:r w:rsidR="00764071" w:rsidRPr="00764071">
        <w:rPr>
          <w:rFonts w:ascii="Calibri" w:eastAsia="Calibri" w:hAnsi="Calibri" w:cs="Calibri"/>
          <w:lang w:eastAsia="cs-CZ"/>
        </w:rPr>
        <w:t xml:space="preserve"> v</w:t>
      </w:r>
      <w:r w:rsidR="009A2A59">
        <w:rPr>
          <w:rFonts w:ascii="Calibri" w:eastAsia="Calibri" w:hAnsi="Calibri" w:cs="Calibri"/>
          <w:lang w:eastAsia="cs-CZ"/>
        </w:rPr>
        <w:t>e</w:t>
      </w:r>
      <w:r w:rsidR="00764071" w:rsidRPr="00764071">
        <w:rPr>
          <w:rFonts w:ascii="Calibri" w:eastAsia="Calibri" w:hAnsi="Calibri" w:cs="Calibri"/>
          <w:lang w:eastAsia="cs-CZ"/>
        </w:rPr>
        <w:t xml:space="preserve"> Fakultní nemocnici Ostrava v roce 2019 nebo </w:t>
      </w:r>
      <w:r w:rsidR="00742E41" w:rsidRPr="00764071">
        <w:rPr>
          <w:rFonts w:ascii="Calibri" w:eastAsia="Calibri" w:hAnsi="Calibri" w:cs="Calibri"/>
          <w:lang w:eastAsia="cs-CZ"/>
        </w:rPr>
        <w:t xml:space="preserve">útok na pedagoga </w:t>
      </w:r>
      <w:r w:rsidR="00742E41">
        <w:rPr>
          <w:rFonts w:ascii="Calibri" w:eastAsia="Calibri" w:hAnsi="Calibri" w:cs="Calibri"/>
          <w:lang w:eastAsia="cs-CZ"/>
        </w:rPr>
        <w:t>v Praze</w:t>
      </w:r>
      <w:r w:rsidR="00742E41" w:rsidRPr="00764071">
        <w:rPr>
          <w:rFonts w:ascii="Calibri" w:eastAsia="Calibri" w:hAnsi="Calibri" w:cs="Calibri"/>
          <w:lang w:eastAsia="cs-CZ"/>
        </w:rPr>
        <w:t xml:space="preserve"> v roce 2022</w:t>
      </w:r>
      <w:r w:rsidR="00764071" w:rsidRPr="00764071">
        <w:rPr>
          <w:rFonts w:ascii="Calibri" w:eastAsia="Calibri" w:hAnsi="Calibri" w:cs="Calibri"/>
          <w:lang w:eastAsia="cs-CZ"/>
        </w:rPr>
        <w:t>).</w:t>
      </w:r>
    </w:p>
    <w:p w14:paraId="777BFDC7" w14:textId="6354EC46" w:rsidR="00664C02" w:rsidRPr="00764071" w:rsidRDefault="00664C02" w:rsidP="00420956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 w:cs="Times New Roman"/>
        </w:rPr>
      </w:pPr>
      <w:r w:rsidRPr="00764071">
        <w:rPr>
          <w:rFonts w:ascii="Calibri" w:eastAsia="Calibri" w:hAnsi="Calibri" w:cs="Calibri"/>
        </w:rPr>
        <w:t xml:space="preserve">MV řeší </w:t>
      </w:r>
      <w:r w:rsidRPr="00764071">
        <w:rPr>
          <w:rFonts w:ascii="Calibri" w:eastAsia="Calibri" w:hAnsi="Calibri" w:cs="Calibri"/>
          <w:lang w:eastAsia="cs-CZ"/>
        </w:rPr>
        <w:t xml:space="preserve">téma </w:t>
      </w:r>
      <w:r w:rsidR="007E2656">
        <w:rPr>
          <w:rFonts w:ascii="Calibri" w:eastAsia="Calibri" w:hAnsi="Calibri" w:cs="Calibri"/>
          <w:lang w:eastAsia="cs-CZ"/>
        </w:rPr>
        <w:t>OMC</w:t>
      </w:r>
      <w:r w:rsidRPr="00764071">
        <w:rPr>
          <w:rFonts w:ascii="Calibri" w:eastAsia="Calibri" w:hAnsi="Calibri" w:cs="Calibri"/>
          <w:lang w:eastAsia="cs-CZ"/>
        </w:rPr>
        <w:t xml:space="preserve"> od roku 2010</w:t>
      </w:r>
      <w:r w:rsidRPr="00764071">
        <w:rPr>
          <w:rFonts w:ascii="Calibri" w:eastAsia="Calibri" w:hAnsi="Calibri" w:cs="Calibri"/>
          <w:vertAlign w:val="superscript"/>
          <w:lang w:eastAsia="cs-CZ"/>
        </w:rPr>
        <w:footnoteReference w:id="6"/>
      </w:r>
      <w:r w:rsidRPr="00764071">
        <w:rPr>
          <w:rFonts w:ascii="Calibri" w:eastAsia="Calibri" w:hAnsi="Calibri" w:cs="Calibri"/>
          <w:lang w:eastAsia="cs-CZ"/>
        </w:rPr>
        <w:t xml:space="preserve">. </w:t>
      </w:r>
      <w:r w:rsidRPr="00764071">
        <w:rPr>
          <w:rFonts w:ascii="Calibri" w:eastAsia="Calibri" w:hAnsi="Calibri" w:cs="Calibri"/>
          <w:color w:val="000000"/>
          <w:lang w:eastAsia="cs-CZ"/>
        </w:rPr>
        <w:t>Důvodem byl především nárůst výskytu teroristických útoků na měkké cíle v Evropě</w:t>
      </w:r>
      <w:r w:rsidR="00426EC2">
        <w:rPr>
          <w:rFonts w:ascii="Calibri" w:eastAsia="Calibri" w:hAnsi="Calibri" w:cs="Calibri"/>
          <w:color w:val="000000"/>
          <w:lang w:eastAsia="cs-CZ"/>
        </w:rPr>
        <w:t xml:space="preserve"> a dále</w:t>
      </w:r>
      <w:r w:rsidRPr="00764071">
        <w:rPr>
          <w:rFonts w:ascii="Calibri" w:eastAsia="Calibri" w:hAnsi="Calibri" w:cs="Calibri"/>
          <w:color w:val="000000"/>
          <w:lang w:eastAsia="cs-CZ"/>
        </w:rPr>
        <w:t xml:space="preserve"> i zvýšené riziko útoků v ČR. </w:t>
      </w:r>
      <w:r w:rsidRPr="00764071">
        <w:rPr>
          <w:rFonts w:ascii="Calibri" w:eastAsia="Calibri" w:hAnsi="Calibri" w:cs="Times New Roman"/>
        </w:rPr>
        <w:t xml:space="preserve">MV zpracovalo </w:t>
      </w:r>
      <w:r w:rsidR="00980408" w:rsidRPr="00764071">
        <w:rPr>
          <w:rFonts w:ascii="Calibri" w:hAnsi="Calibri" w:cs="Calibri"/>
          <w:lang w:eastAsia="cs-CZ"/>
        </w:rPr>
        <w:t>Koncepc</w:t>
      </w:r>
      <w:r w:rsidR="009809C1">
        <w:rPr>
          <w:rFonts w:ascii="Calibri" w:hAnsi="Calibri" w:cs="Calibri"/>
          <w:lang w:eastAsia="cs-CZ"/>
        </w:rPr>
        <w:t>i</w:t>
      </w:r>
      <w:r w:rsidR="00980408" w:rsidRPr="00764071">
        <w:rPr>
          <w:rFonts w:ascii="Calibri" w:hAnsi="Calibri" w:cs="Calibri"/>
          <w:lang w:eastAsia="cs-CZ"/>
        </w:rPr>
        <w:t xml:space="preserve"> OMC</w:t>
      </w:r>
      <w:r w:rsidRPr="00764071">
        <w:rPr>
          <w:rFonts w:ascii="Calibri" w:eastAsia="Calibri" w:hAnsi="Calibri" w:cs="Times New Roman"/>
        </w:rPr>
        <w:t>, kterou schválila vláda v dubnu roku 2017</w:t>
      </w:r>
      <w:r w:rsidRPr="00764071">
        <w:rPr>
          <w:rFonts w:ascii="Calibri" w:eastAsia="Calibri" w:hAnsi="Calibri" w:cs="Times New Roman"/>
          <w:vertAlign w:val="superscript"/>
        </w:rPr>
        <w:footnoteReference w:id="7"/>
      </w:r>
      <w:r w:rsidRPr="00764071">
        <w:rPr>
          <w:rFonts w:ascii="Calibri" w:eastAsia="Calibri" w:hAnsi="Calibri" w:cs="Times New Roman"/>
        </w:rPr>
        <w:t xml:space="preserve">. Cílem </w:t>
      </w:r>
      <w:r w:rsidR="00F719F4">
        <w:rPr>
          <w:rFonts w:ascii="Calibri" w:eastAsia="Calibri" w:hAnsi="Calibri" w:cs="Times New Roman"/>
        </w:rPr>
        <w:t>K</w:t>
      </w:r>
      <w:r w:rsidRPr="00764071">
        <w:rPr>
          <w:rFonts w:ascii="Calibri" w:eastAsia="Calibri" w:hAnsi="Calibri" w:cs="Times New Roman"/>
        </w:rPr>
        <w:t xml:space="preserve">oncepce </w:t>
      </w:r>
      <w:r w:rsidR="00F719F4">
        <w:rPr>
          <w:rFonts w:ascii="Calibri" w:eastAsia="Calibri" w:hAnsi="Calibri" w:cs="Times New Roman"/>
        </w:rPr>
        <w:t xml:space="preserve">OMC </w:t>
      </w:r>
      <w:r w:rsidRPr="00764071">
        <w:rPr>
          <w:rFonts w:ascii="Calibri" w:eastAsia="Calibri" w:hAnsi="Calibri" w:cs="Times New Roman"/>
        </w:rPr>
        <w:t>bylo</w:t>
      </w:r>
      <w:r w:rsidR="00DB4D83">
        <w:rPr>
          <w:rFonts w:ascii="Calibri" w:eastAsia="Calibri" w:hAnsi="Calibri" w:cs="Times New Roman"/>
        </w:rPr>
        <w:t xml:space="preserve"> vytvořit</w:t>
      </w:r>
      <w:r w:rsidRPr="00764071">
        <w:rPr>
          <w:rFonts w:ascii="Calibri" w:eastAsia="Calibri" w:hAnsi="Calibri" w:cs="Times New Roman"/>
        </w:rPr>
        <w:t xml:space="preserve"> </w:t>
      </w:r>
      <w:r w:rsidRPr="00764071">
        <w:rPr>
          <w:rFonts w:ascii="Calibri" w:eastAsia="Calibri" w:hAnsi="Calibri" w:cs="Calibri"/>
          <w:lang w:eastAsia="cs-CZ"/>
        </w:rPr>
        <w:t xml:space="preserve">národní systém </w:t>
      </w:r>
      <w:r w:rsidR="006A4720">
        <w:rPr>
          <w:rFonts w:ascii="Calibri" w:eastAsia="Calibri" w:hAnsi="Calibri" w:cs="Calibri"/>
          <w:lang w:eastAsia="cs-CZ"/>
        </w:rPr>
        <w:t>OMC</w:t>
      </w:r>
      <w:r w:rsidRPr="00764071">
        <w:rPr>
          <w:rFonts w:ascii="Calibri" w:eastAsia="Calibri" w:hAnsi="Calibri" w:cs="Calibri"/>
          <w:lang w:eastAsia="cs-CZ"/>
        </w:rPr>
        <w:t xml:space="preserve"> </w:t>
      </w:r>
      <w:r w:rsidR="00DB4D83">
        <w:rPr>
          <w:rFonts w:ascii="Calibri" w:eastAsia="Calibri" w:hAnsi="Calibri" w:cs="Calibri"/>
          <w:lang w:eastAsia="cs-CZ"/>
        </w:rPr>
        <w:t>a</w:t>
      </w:r>
      <w:r w:rsidR="00420956">
        <w:rPr>
          <w:rFonts w:ascii="Calibri" w:eastAsia="Calibri" w:hAnsi="Calibri" w:cs="Calibri"/>
          <w:lang w:eastAsia="cs-CZ"/>
        </w:rPr>
        <w:t> </w:t>
      </w:r>
      <w:r w:rsidR="00426EC2">
        <w:rPr>
          <w:rFonts w:ascii="Calibri" w:eastAsia="Calibri" w:hAnsi="Calibri" w:cs="Calibri"/>
          <w:lang w:eastAsia="cs-CZ"/>
        </w:rPr>
        <w:t xml:space="preserve">jeho </w:t>
      </w:r>
      <w:r w:rsidR="00DB4D83">
        <w:rPr>
          <w:rFonts w:ascii="Calibri" w:eastAsia="Calibri" w:hAnsi="Calibri" w:cs="Calibri"/>
          <w:lang w:eastAsia="cs-CZ"/>
        </w:rPr>
        <w:t xml:space="preserve">pomocí </w:t>
      </w:r>
      <w:r w:rsidRPr="00764071">
        <w:rPr>
          <w:rFonts w:ascii="Calibri" w:eastAsia="Calibri" w:hAnsi="Calibri" w:cs="Calibri"/>
          <w:lang w:eastAsia="cs-CZ"/>
        </w:rPr>
        <w:t>dosáhnout stavu,</w:t>
      </w:r>
      <w:r w:rsidRPr="00764071">
        <w:rPr>
          <w:rFonts w:ascii="Calibri" w:eastAsia="Calibri" w:hAnsi="Calibri" w:cs="Times New Roman"/>
        </w:rPr>
        <w:t xml:space="preserve"> </w:t>
      </w:r>
      <w:r w:rsidRPr="00764071">
        <w:rPr>
          <w:rFonts w:ascii="Calibri" w:eastAsia="Calibri" w:hAnsi="Calibri" w:cs="Calibri"/>
          <w:lang w:eastAsia="cs-CZ"/>
        </w:rPr>
        <w:t>kdy bude podstatná část měkkých cílů v ČR potenciálně ohrožených</w:t>
      </w:r>
      <w:r w:rsidRPr="00764071">
        <w:rPr>
          <w:rFonts w:ascii="Calibri" w:eastAsia="Calibri" w:hAnsi="Calibri" w:cs="Times New Roman"/>
        </w:rPr>
        <w:t xml:space="preserve"> </w:t>
      </w:r>
      <w:r w:rsidRPr="00764071">
        <w:rPr>
          <w:rFonts w:ascii="Calibri" w:eastAsia="Calibri" w:hAnsi="Calibri" w:cs="Calibri"/>
          <w:lang w:eastAsia="cs-CZ"/>
        </w:rPr>
        <w:t>teroristickým či obdobným útokem připravena na něj zareagovat tak, že budou</w:t>
      </w:r>
      <w:r w:rsidRPr="00764071">
        <w:rPr>
          <w:rFonts w:ascii="Calibri" w:eastAsia="Calibri" w:hAnsi="Calibri" w:cs="Times New Roman"/>
        </w:rPr>
        <w:t xml:space="preserve"> </w:t>
      </w:r>
      <w:r w:rsidRPr="00764071">
        <w:rPr>
          <w:rFonts w:ascii="Calibri" w:eastAsia="Calibri" w:hAnsi="Calibri" w:cs="Calibri"/>
          <w:lang w:eastAsia="cs-CZ"/>
        </w:rPr>
        <w:t>případné škody násobně nižší, než kdyby je zastihl nepřipravené.</w:t>
      </w:r>
      <w:r w:rsidRPr="00764071">
        <w:rPr>
          <w:rFonts w:ascii="Calibri" w:eastAsia="Calibri" w:hAnsi="Calibri" w:cs="Times New Roman"/>
        </w:rPr>
        <w:t xml:space="preserve"> Vláda zároveň uložila ministru vnitra ve spolupráci s ministry dopravy, kultury, ministryní školství, mládeže a</w:t>
      </w:r>
      <w:r w:rsidR="00420956">
        <w:rPr>
          <w:rFonts w:ascii="Calibri" w:eastAsia="Calibri" w:hAnsi="Calibri" w:cs="Times New Roman"/>
        </w:rPr>
        <w:t> </w:t>
      </w:r>
      <w:r w:rsidRPr="00764071">
        <w:rPr>
          <w:rFonts w:ascii="Calibri" w:eastAsia="Calibri" w:hAnsi="Calibri" w:cs="Times New Roman"/>
        </w:rPr>
        <w:t xml:space="preserve">tělovýchovy, ministry obrany, průmyslu a obchodu a zdravotnictví do 30. června 2017 předložit </w:t>
      </w:r>
      <w:r w:rsidR="00937411" w:rsidRPr="00082327">
        <w:rPr>
          <w:rFonts w:ascii="Calibri" w:eastAsia="Calibri" w:hAnsi="Calibri" w:cs="Times New Roman"/>
          <w:i/>
        </w:rPr>
        <w:t>N</w:t>
      </w:r>
      <w:r w:rsidRPr="00082327">
        <w:rPr>
          <w:rFonts w:ascii="Calibri" w:eastAsia="Calibri" w:hAnsi="Calibri" w:cs="Times New Roman"/>
          <w:i/>
        </w:rPr>
        <w:t xml:space="preserve">ávrh na zřízení dotačních programů za účelem zvýšení </w:t>
      </w:r>
      <w:r w:rsidR="009C7D5E">
        <w:rPr>
          <w:rFonts w:ascii="Calibri" w:eastAsia="Calibri" w:hAnsi="Calibri" w:cs="Times New Roman"/>
          <w:i/>
        </w:rPr>
        <w:t>ochrany měkkých cílů</w:t>
      </w:r>
      <w:r w:rsidRPr="00764071">
        <w:rPr>
          <w:rFonts w:ascii="Calibri" w:eastAsia="Calibri" w:hAnsi="Calibri" w:cs="Times New Roman"/>
        </w:rPr>
        <w:t xml:space="preserve"> (</w:t>
      </w:r>
      <w:r w:rsidRPr="00764071">
        <w:rPr>
          <w:rFonts w:ascii="Calibri" w:eastAsia="Calibri" w:hAnsi="Calibri" w:cs="Calibri"/>
        </w:rPr>
        <w:t xml:space="preserve">dále také „Návrh programů OMC“). </w:t>
      </w:r>
    </w:p>
    <w:p w14:paraId="327D21AF" w14:textId="0A66A864" w:rsidR="00764071" w:rsidRPr="00764071" w:rsidRDefault="00764071" w:rsidP="00420956">
      <w:pPr>
        <w:tabs>
          <w:tab w:val="left" w:pos="8820"/>
          <w:tab w:val="left" w:pos="9720"/>
        </w:tabs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</w:rPr>
      </w:pPr>
      <w:r w:rsidRPr="00764071">
        <w:rPr>
          <w:rFonts w:ascii="Calibri" w:eastAsia="Calibri" w:hAnsi="Calibri" w:cs="Calibri"/>
        </w:rPr>
        <w:t>Návrh programů OMC</w:t>
      </w:r>
      <w:r w:rsidRPr="00764071" w:rsidDel="00452AB8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764071">
        <w:rPr>
          <w:rFonts w:ascii="Calibri" w:eastAsia="Times New Roman" w:hAnsi="Calibri" w:cs="Calibri"/>
          <w:color w:val="000000"/>
          <w:lang w:eastAsia="cs-CZ"/>
        </w:rPr>
        <w:t xml:space="preserve">byl předložen MV a vládou schválen </w:t>
      </w:r>
      <w:r w:rsidR="00567108">
        <w:rPr>
          <w:rFonts w:ascii="Calibri" w:hAnsi="Calibri" w:cs="Calibri"/>
        </w:rPr>
        <w:t>usnesení vlády č. 527/2017</w:t>
      </w:r>
      <w:r w:rsidRPr="00764071">
        <w:rPr>
          <w:rFonts w:ascii="Calibri" w:eastAsia="Times New Roman" w:hAnsi="Calibri" w:cs="Calibri"/>
          <w:color w:val="000000"/>
          <w:lang w:eastAsia="cs-CZ"/>
        </w:rPr>
        <w:t xml:space="preserve">. Vláda současně mj. uložila </w:t>
      </w:r>
      <w:r w:rsidRPr="00764071">
        <w:rPr>
          <w:rFonts w:ascii="Calibri" w:eastAsia="Calibri" w:hAnsi="Calibri" w:cs="Calibri"/>
        </w:rPr>
        <w:t xml:space="preserve">ministrům vnitra, kultury a zdravotnictví připravit a spustit nové programy na zvýšení </w:t>
      </w:r>
      <w:r w:rsidR="007E2656">
        <w:rPr>
          <w:rFonts w:ascii="Calibri" w:eastAsia="Calibri" w:hAnsi="Calibri" w:cs="Calibri"/>
        </w:rPr>
        <w:t>OMC</w:t>
      </w:r>
      <w:r w:rsidRPr="00764071">
        <w:rPr>
          <w:rFonts w:ascii="Calibri" w:eastAsia="Calibri" w:hAnsi="Calibri" w:cs="Calibri"/>
        </w:rPr>
        <w:t xml:space="preserve"> do 30. září 2018. </w:t>
      </w:r>
      <w:r w:rsidR="0033223F">
        <w:rPr>
          <w:rFonts w:ascii="Calibri" w:eastAsia="Calibri" w:hAnsi="Calibri" w:cs="Calibri"/>
        </w:rPr>
        <w:t>Programy</w:t>
      </w:r>
      <w:r w:rsidRPr="00764071">
        <w:rPr>
          <w:rFonts w:ascii="Calibri" w:eastAsia="Calibri" w:hAnsi="Calibri" w:cs="Calibri"/>
        </w:rPr>
        <w:t xml:space="preserve"> měly být dle MV orientovány na podporu vytvoření </w:t>
      </w:r>
      <w:r w:rsidR="00567108">
        <w:rPr>
          <w:rFonts w:ascii="Calibri" w:eastAsia="Calibri" w:hAnsi="Calibri" w:cs="Calibri"/>
        </w:rPr>
        <w:t xml:space="preserve">národního </w:t>
      </w:r>
      <w:r w:rsidR="00B51BF9">
        <w:rPr>
          <w:rFonts w:ascii="Calibri" w:eastAsia="Calibri" w:hAnsi="Calibri" w:cs="Calibri"/>
        </w:rPr>
        <w:t xml:space="preserve">komplexního </w:t>
      </w:r>
      <w:r w:rsidRPr="00764071">
        <w:rPr>
          <w:rFonts w:ascii="Calibri" w:eastAsia="Calibri" w:hAnsi="Calibri" w:cs="Calibri"/>
        </w:rPr>
        <w:t>systému</w:t>
      </w:r>
      <w:r w:rsidR="00B51BF9">
        <w:rPr>
          <w:rFonts w:ascii="Calibri" w:eastAsia="Calibri" w:hAnsi="Calibri" w:cs="Calibri"/>
        </w:rPr>
        <w:t xml:space="preserve"> OMC</w:t>
      </w:r>
      <w:r w:rsidRPr="00764071">
        <w:rPr>
          <w:rFonts w:ascii="Calibri" w:eastAsia="Calibri" w:hAnsi="Calibri" w:cs="Calibri"/>
        </w:rPr>
        <w:t xml:space="preserve">, nikoliv na podporu pouze jednotlivých neprovázaných bezpečnostních opatření. Důraz měl být proto kladen na provázanost vyhodnocení ohroženosti a vypracování systému ochrany konkrétních </w:t>
      </w:r>
      <w:r w:rsidR="0033223F">
        <w:rPr>
          <w:rFonts w:ascii="Calibri" w:eastAsia="Calibri" w:hAnsi="Calibri" w:cs="Calibri"/>
        </w:rPr>
        <w:t>MC</w:t>
      </w:r>
      <w:r w:rsidRPr="00764071">
        <w:rPr>
          <w:rFonts w:ascii="Calibri" w:eastAsia="Calibri" w:hAnsi="Calibri" w:cs="Calibri"/>
        </w:rPr>
        <w:t xml:space="preserve">. </w:t>
      </w:r>
    </w:p>
    <w:p w14:paraId="6AC3ADDB" w14:textId="4BF91FB5" w:rsidR="00664C02" w:rsidRPr="00664C02" w:rsidRDefault="00664C02" w:rsidP="00420956">
      <w:pPr>
        <w:tabs>
          <w:tab w:val="left" w:pos="8820"/>
          <w:tab w:val="left" w:pos="9720"/>
        </w:tabs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</w:rPr>
      </w:pPr>
      <w:r w:rsidRPr="00764071">
        <w:rPr>
          <w:rFonts w:ascii="Calibri" w:eastAsia="Calibri" w:hAnsi="Calibri" w:cs="Calibri"/>
        </w:rPr>
        <w:t xml:space="preserve">Návrh programů OMC předpokládal </w:t>
      </w:r>
      <w:r w:rsidR="002C581D">
        <w:rPr>
          <w:rFonts w:ascii="Calibri" w:eastAsia="Calibri" w:hAnsi="Calibri" w:cs="Calibri"/>
        </w:rPr>
        <w:t>realizaci</w:t>
      </w:r>
      <w:r w:rsidRPr="00764071">
        <w:rPr>
          <w:rFonts w:ascii="Calibri" w:eastAsia="Calibri" w:hAnsi="Calibri" w:cs="Calibri"/>
        </w:rPr>
        <w:t xml:space="preserve"> neinvestičních programů </w:t>
      </w:r>
      <w:r w:rsidR="002C581D">
        <w:rPr>
          <w:rFonts w:ascii="Calibri" w:eastAsia="Calibri" w:hAnsi="Calibri" w:cs="Calibri"/>
        </w:rPr>
        <w:t>v</w:t>
      </w:r>
      <w:r w:rsidRPr="00764071">
        <w:rPr>
          <w:rFonts w:ascii="Calibri" w:eastAsia="Calibri" w:hAnsi="Calibri" w:cs="Calibri"/>
        </w:rPr>
        <w:t xml:space="preserve"> období 2019</w:t>
      </w:r>
      <w:r w:rsidR="00E32386" w:rsidRPr="00742E41">
        <w:rPr>
          <w:i/>
          <w:iCs/>
          <w:lang w:eastAsia="cs-CZ"/>
        </w:rPr>
        <w:t>–</w:t>
      </w:r>
      <w:r w:rsidRPr="00764071">
        <w:rPr>
          <w:rFonts w:ascii="Calibri" w:eastAsia="Calibri" w:hAnsi="Calibri" w:cs="Calibri"/>
        </w:rPr>
        <w:t xml:space="preserve">2021 s tím, že spolu s předložením navazující </w:t>
      </w:r>
      <w:r w:rsidRPr="00764071">
        <w:rPr>
          <w:rFonts w:ascii="Calibri" w:eastAsia="Calibri" w:hAnsi="Calibri" w:cs="Calibri"/>
          <w:i/>
        </w:rPr>
        <w:t>Koncepce o</w:t>
      </w:r>
      <w:r w:rsidRPr="00664C02">
        <w:rPr>
          <w:rFonts w:ascii="Calibri" w:eastAsia="Calibri" w:hAnsi="Calibri" w:cs="Calibri"/>
          <w:i/>
        </w:rPr>
        <w:t>chrany měkkých cílů pro roky 2021</w:t>
      </w:r>
      <w:r w:rsidR="00E32386" w:rsidRPr="00742E41">
        <w:rPr>
          <w:i/>
          <w:iCs/>
          <w:lang w:eastAsia="cs-CZ"/>
        </w:rPr>
        <w:t>–</w:t>
      </w:r>
      <w:r w:rsidRPr="00664C02">
        <w:rPr>
          <w:rFonts w:ascii="Calibri" w:eastAsia="Calibri" w:hAnsi="Calibri" w:cs="Calibri"/>
          <w:i/>
        </w:rPr>
        <w:t>2023</w:t>
      </w:r>
      <w:r w:rsidRPr="00664C02">
        <w:rPr>
          <w:rFonts w:ascii="Calibri" w:eastAsia="Calibri" w:hAnsi="Calibri" w:cs="Calibri"/>
        </w:rPr>
        <w:t xml:space="preserve"> předloží MV ve spolupráci s ministerstvy dopravy, kultury a zdravotnictví vládě vyhodnocení plnění neinvestičních programů, na</w:t>
      </w:r>
      <w:r w:rsidR="001A7B9A">
        <w:rPr>
          <w:rFonts w:ascii="Calibri" w:eastAsia="Calibri" w:hAnsi="Calibri" w:cs="Calibri"/>
        </w:rPr>
        <w:t xml:space="preserve"> jehož</w:t>
      </w:r>
      <w:r w:rsidRPr="00664C02">
        <w:rPr>
          <w:rFonts w:ascii="Calibri" w:eastAsia="Calibri" w:hAnsi="Calibri" w:cs="Calibri"/>
        </w:rPr>
        <w:t xml:space="preserve"> základě budou upřesněny navrhované prostředky na </w:t>
      </w:r>
      <w:r w:rsidR="002C581D">
        <w:rPr>
          <w:rFonts w:ascii="Calibri" w:eastAsia="Calibri" w:hAnsi="Calibri" w:cs="Calibri"/>
        </w:rPr>
        <w:t>realizaci</w:t>
      </w:r>
      <w:r w:rsidRPr="00664C02">
        <w:rPr>
          <w:rFonts w:ascii="Calibri" w:eastAsia="Calibri" w:hAnsi="Calibri" w:cs="Calibri"/>
        </w:rPr>
        <w:t xml:space="preserve"> investičních programů.</w:t>
      </w:r>
      <w:r w:rsidRPr="00664C02">
        <w:rPr>
          <w:rFonts w:ascii="ArialMT" w:eastAsia="Calibri" w:hAnsi="ArialMT" w:cs="ArialMT"/>
        </w:rPr>
        <w:t xml:space="preserve"> </w:t>
      </w:r>
      <w:r w:rsidRPr="00664C02">
        <w:rPr>
          <w:rFonts w:ascii="Calibri" w:eastAsia="Calibri" w:hAnsi="Calibri" w:cs="Calibri"/>
        </w:rPr>
        <w:t xml:space="preserve">Dle Návrhu programů OMC mělo MV vůči ministerstvům, která zřídila programy, plnit metodickou úlohu </w:t>
      </w:r>
      <w:r w:rsidR="00B51BF9">
        <w:rPr>
          <w:rFonts w:ascii="Calibri" w:eastAsia="Calibri" w:hAnsi="Calibri" w:cs="Calibri"/>
        </w:rPr>
        <w:t xml:space="preserve">např. </w:t>
      </w:r>
      <w:r w:rsidRPr="00664C02">
        <w:rPr>
          <w:rFonts w:ascii="Calibri" w:eastAsia="Calibri" w:hAnsi="Calibri" w:cs="Calibri"/>
        </w:rPr>
        <w:t xml:space="preserve">formou vytvoření vzorových zásad programů či poskytování konzultací a školení. </w:t>
      </w:r>
    </w:p>
    <w:p w14:paraId="6FF1A06B" w14:textId="2F423A46" w:rsidR="00664C02" w:rsidRPr="00664C02" w:rsidRDefault="00664C02" w:rsidP="00420956">
      <w:pPr>
        <w:spacing w:after="120"/>
        <w:jc w:val="both"/>
        <w:rPr>
          <w:rFonts w:ascii="Calibri" w:eastAsia="Calibri" w:hAnsi="Calibri" w:cs="Calibri"/>
          <w:color w:val="000000"/>
          <w:lang w:eastAsia="cs-CZ"/>
        </w:rPr>
      </w:pPr>
      <w:r w:rsidRPr="00664C02">
        <w:rPr>
          <w:rFonts w:ascii="Calibri" w:eastAsia="Calibri" w:hAnsi="Calibri" w:cs="Calibri"/>
        </w:rPr>
        <w:t xml:space="preserve">MV, MK a </w:t>
      </w:r>
      <w:proofErr w:type="spellStart"/>
      <w:r w:rsidRPr="00664C02">
        <w:rPr>
          <w:rFonts w:ascii="Calibri" w:eastAsia="Calibri" w:hAnsi="Calibri" w:cs="Calibri"/>
        </w:rPr>
        <w:t>MZd</w:t>
      </w:r>
      <w:proofErr w:type="spellEnd"/>
      <w:r w:rsidRPr="00664C02">
        <w:rPr>
          <w:rFonts w:ascii="Calibri" w:eastAsia="Calibri" w:hAnsi="Calibri" w:cs="Calibri"/>
        </w:rPr>
        <w:t xml:space="preserve"> poskytl</w:t>
      </w:r>
      <w:r w:rsidR="00DF2010">
        <w:rPr>
          <w:rFonts w:ascii="Calibri" w:eastAsia="Calibri" w:hAnsi="Calibri" w:cs="Calibri"/>
        </w:rPr>
        <w:t>y</w:t>
      </w:r>
      <w:r w:rsidRPr="00664C02">
        <w:rPr>
          <w:rFonts w:ascii="Calibri" w:eastAsia="Calibri" w:hAnsi="Calibri" w:cs="Calibri"/>
        </w:rPr>
        <w:t xml:space="preserve"> v rámci </w:t>
      </w:r>
      <w:r w:rsidR="00BC43B7">
        <w:rPr>
          <w:rFonts w:ascii="Calibri" w:eastAsia="Calibri" w:hAnsi="Calibri" w:cs="Calibri"/>
        </w:rPr>
        <w:t>ne</w:t>
      </w:r>
      <w:r w:rsidR="0033223F">
        <w:rPr>
          <w:rFonts w:ascii="Calibri" w:eastAsia="Calibri" w:hAnsi="Calibri" w:cs="Calibri"/>
        </w:rPr>
        <w:t xml:space="preserve">investičních </w:t>
      </w:r>
      <w:r w:rsidRPr="00664C02">
        <w:rPr>
          <w:rFonts w:ascii="Calibri" w:eastAsia="Calibri" w:hAnsi="Calibri" w:cs="Calibri"/>
        </w:rPr>
        <w:t xml:space="preserve">programů peněžní prostředky státu </w:t>
      </w:r>
      <w:r w:rsidR="001470BF">
        <w:rPr>
          <w:rFonts w:ascii="Calibri" w:eastAsia="Calibri" w:hAnsi="Calibri" w:cs="Calibri"/>
        </w:rPr>
        <w:t>na 746</w:t>
      </w:r>
      <w:r w:rsidR="00420956">
        <w:rPr>
          <w:rFonts w:ascii="Calibri" w:eastAsia="Calibri" w:hAnsi="Calibri" w:cs="Calibri"/>
        </w:rPr>
        <w:t> </w:t>
      </w:r>
      <w:r w:rsidR="001470BF">
        <w:rPr>
          <w:rFonts w:ascii="Calibri" w:eastAsia="Calibri" w:hAnsi="Calibri" w:cs="Calibri"/>
        </w:rPr>
        <w:t xml:space="preserve">projektů. </w:t>
      </w:r>
      <w:r w:rsidR="008B17E1">
        <w:rPr>
          <w:rFonts w:ascii="Calibri" w:eastAsia="Calibri" w:hAnsi="Calibri" w:cs="Calibri"/>
        </w:rPr>
        <w:t xml:space="preserve">Podpora směřovala </w:t>
      </w:r>
      <w:r w:rsidR="00DB4D83">
        <w:rPr>
          <w:rFonts w:ascii="Calibri" w:eastAsia="Calibri" w:hAnsi="Calibri" w:cs="Calibri"/>
        </w:rPr>
        <w:t xml:space="preserve">zejména </w:t>
      </w:r>
      <w:r w:rsidRPr="00664C02">
        <w:rPr>
          <w:rFonts w:ascii="Calibri" w:eastAsia="Calibri" w:hAnsi="Calibri" w:cs="Calibri"/>
        </w:rPr>
        <w:t xml:space="preserve">na projekty vyhodnocení ohroženosti </w:t>
      </w:r>
      <w:r w:rsidR="00B51BF9">
        <w:rPr>
          <w:rFonts w:ascii="Calibri" w:eastAsia="Calibri" w:hAnsi="Calibri" w:cs="Calibri"/>
        </w:rPr>
        <w:t>MC</w:t>
      </w:r>
      <w:r w:rsidRPr="00664C02">
        <w:rPr>
          <w:rFonts w:ascii="Calibri" w:eastAsia="Calibri" w:hAnsi="Calibri" w:cs="Calibri"/>
        </w:rPr>
        <w:t>, tvorby bezpečnostních analýz, vzdělávacích a výcvikových akcí</w:t>
      </w:r>
      <w:r w:rsidRPr="00664C02">
        <w:rPr>
          <w:rFonts w:ascii="Calibri" w:eastAsia="Calibri" w:hAnsi="Calibri" w:cs="Calibri"/>
          <w:color w:val="000000"/>
          <w:lang w:eastAsia="cs-CZ"/>
        </w:rPr>
        <w:t xml:space="preserve">, cvičení, nákupu </w:t>
      </w:r>
      <w:r w:rsidR="002C581D">
        <w:rPr>
          <w:rFonts w:ascii="Calibri" w:eastAsia="Calibri" w:hAnsi="Calibri" w:cs="Calibri"/>
          <w:color w:val="000000"/>
          <w:lang w:eastAsia="cs-CZ"/>
        </w:rPr>
        <w:t>drobného hmotného majetku</w:t>
      </w:r>
      <w:r w:rsidRPr="00664C02">
        <w:rPr>
          <w:rFonts w:ascii="Calibri" w:eastAsia="Calibri" w:hAnsi="Calibri" w:cs="Calibri"/>
          <w:color w:val="000000"/>
          <w:lang w:eastAsia="cs-CZ"/>
        </w:rPr>
        <w:t xml:space="preserve"> nebo financování bezpečnostního a administrativního pracovníka. </w:t>
      </w:r>
      <w:r w:rsidR="00B51BF9">
        <w:rPr>
          <w:rFonts w:ascii="Calibri" w:eastAsia="Calibri" w:hAnsi="Calibri" w:cs="Calibri"/>
          <w:color w:val="000000"/>
          <w:lang w:eastAsia="cs-CZ"/>
        </w:rPr>
        <w:t>Příjemcům</w:t>
      </w:r>
      <w:r w:rsidRPr="00664C02">
        <w:rPr>
          <w:rFonts w:ascii="Calibri" w:eastAsia="Calibri" w:hAnsi="Calibri" w:cs="Calibri"/>
          <w:color w:val="000000"/>
          <w:lang w:eastAsia="cs-CZ"/>
        </w:rPr>
        <w:t xml:space="preserve"> </w:t>
      </w:r>
      <w:r w:rsidR="00B51BF9">
        <w:rPr>
          <w:rFonts w:ascii="Calibri" w:eastAsia="Calibri" w:hAnsi="Calibri" w:cs="Calibri"/>
          <w:color w:val="000000"/>
          <w:lang w:eastAsia="cs-CZ"/>
        </w:rPr>
        <w:t xml:space="preserve">bylo </w:t>
      </w:r>
      <w:r w:rsidRPr="00664C02">
        <w:rPr>
          <w:rFonts w:ascii="Calibri" w:eastAsia="Calibri" w:hAnsi="Calibri" w:cs="Calibri"/>
          <w:color w:val="000000"/>
          <w:lang w:eastAsia="cs-CZ"/>
        </w:rPr>
        <w:t xml:space="preserve">hrazeno 100 % způsobilých výdajů. </w:t>
      </w:r>
      <w:r w:rsidRPr="00664C02">
        <w:rPr>
          <w:rFonts w:ascii="Calibri" w:eastAsia="Calibri" w:hAnsi="Calibri" w:cs="Times New Roman"/>
        </w:rPr>
        <w:t>Při poskytov</w:t>
      </w:r>
      <w:r w:rsidR="00DB4D83">
        <w:rPr>
          <w:rFonts w:ascii="Calibri" w:eastAsia="Calibri" w:hAnsi="Calibri" w:cs="Times New Roman"/>
        </w:rPr>
        <w:t>á</w:t>
      </w:r>
      <w:r w:rsidRPr="00664C02">
        <w:rPr>
          <w:rFonts w:ascii="Calibri" w:eastAsia="Calibri" w:hAnsi="Calibri" w:cs="Times New Roman"/>
        </w:rPr>
        <w:t>ní</w:t>
      </w:r>
      <w:r w:rsidR="00DB4D83">
        <w:rPr>
          <w:rFonts w:ascii="Calibri" w:eastAsia="Calibri" w:hAnsi="Calibri" w:cs="Times New Roman"/>
        </w:rPr>
        <w:t xml:space="preserve"> a čerpání</w:t>
      </w:r>
      <w:r w:rsidRPr="00664C02">
        <w:rPr>
          <w:rFonts w:ascii="Calibri" w:eastAsia="Calibri" w:hAnsi="Calibri" w:cs="Times New Roman"/>
        </w:rPr>
        <w:t xml:space="preserve"> byli </w:t>
      </w:r>
      <w:r w:rsidR="001A7B9A">
        <w:rPr>
          <w:rFonts w:ascii="Calibri" w:eastAsia="Calibri" w:hAnsi="Calibri" w:cs="Times New Roman"/>
        </w:rPr>
        <w:t>p</w:t>
      </w:r>
      <w:r w:rsidR="001A7B9A" w:rsidRPr="00664C02">
        <w:rPr>
          <w:rFonts w:ascii="Calibri" w:eastAsia="Calibri" w:hAnsi="Calibri" w:cs="Times New Roman"/>
        </w:rPr>
        <w:t>oskytovatelé a příjemci</w:t>
      </w:r>
      <w:r w:rsidR="001A7B9A">
        <w:rPr>
          <w:rFonts w:ascii="Calibri" w:eastAsia="Calibri" w:hAnsi="Calibri" w:cs="Times New Roman"/>
        </w:rPr>
        <w:t xml:space="preserve"> </w:t>
      </w:r>
      <w:r w:rsidRPr="00664C02">
        <w:rPr>
          <w:rFonts w:ascii="Calibri" w:eastAsia="Calibri" w:hAnsi="Calibri" w:cs="Times New Roman"/>
        </w:rPr>
        <w:t>povinni řídit</w:t>
      </w:r>
      <w:r w:rsidR="001A7B9A">
        <w:rPr>
          <w:rFonts w:ascii="Calibri" w:eastAsia="Calibri" w:hAnsi="Calibri" w:cs="Times New Roman"/>
        </w:rPr>
        <w:t xml:space="preserve"> se</w:t>
      </w:r>
      <w:r w:rsidRPr="00664C02">
        <w:rPr>
          <w:rFonts w:ascii="Calibri" w:eastAsia="Calibri" w:hAnsi="Calibri" w:cs="Times New Roman"/>
        </w:rPr>
        <w:t xml:space="preserve"> právními předpisy a příslušnými zásadami, resp. metodikami poskytování dotací</w:t>
      </w:r>
      <w:r w:rsidRPr="00664C02">
        <w:rPr>
          <w:rFonts w:ascii="Calibri" w:eastAsia="Calibri" w:hAnsi="Calibri" w:cs="Times New Roman"/>
          <w:vertAlign w:val="superscript"/>
        </w:rPr>
        <w:footnoteReference w:id="8"/>
      </w:r>
      <w:r w:rsidRPr="00664C02">
        <w:rPr>
          <w:rFonts w:ascii="Calibri" w:eastAsia="Calibri" w:hAnsi="Calibri" w:cs="Times New Roman"/>
        </w:rPr>
        <w:t>.</w:t>
      </w:r>
    </w:p>
    <w:p w14:paraId="515A7570" w14:textId="1AC248E7" w:rsidR="004F2037" w:rsidRDefault="00664C02" w:rsidP="00420956">
      <w:pPr>
        <w:spacing w:after="120"/>
        <w:jc w:val="both"/>
        <w:rPr>
          <w:rFonts w:ascii="Calibri" w:eastAsia="Calibri" w:hAnsi="Calibri" w:cs="Calibri"/>
        </w:rPr>
      </w:pPr>
      <w:r w:rsidRPr="00664C02">
        <w:rPr>
          <w:rFonts w:ascii="Calibri" w:eastAsia="Calibri" w:hAnsi="Calibri" w:cs="Calibri"/>
        </w:rPr>
        <w:t xml:space="preserve">MV zřídilo </w:t>
      </w:r>
      <w:r w:rsidRPr="00664C02">
        <w:rPr>
          <w:rFonts w:ascii="Calibri" w:eastAsia="Calibri" w:hAnsi="Calibri" w:cs="Calibri"/>
          <w:bCs/>
          <w:i/>
        </w:rPr>
        <w:t>Dotační</w:t>
      </w:r>
      <w:r w:rsidRPr="00664C02">
        <w:rPr>
          <w:rFonts w:ascii="Calibri" w:eastAsia="Calibri" w:hAnsi="Calibri" w:cs="Calibri"/>
          <w:b/>
          <w:bCs/>
          <w:i/>
        </w:rPr>
        <w:t xml:space="preserve"> </w:t>
      </w:r>
      <w:r w:rsidRPr="00664C02">
        <w:rPr>
          <w:rFonts w:ascii="Calibri" w:eastAsia="Calibri" w:hAnsi="Calibri" w:cs="Calibri"/>
          <w:i/>
        </w:rPr>
        <w:t>program pro zvýšení ochrany veřejných prostranství a objektů (akcí) veřejné správy, škol a školských zařízení jako měkkých cílů</w:t>
      </w:r>
      <w:r w:rsidRPr="00664C02">
        <w:rPr>
          <w:rFonts w:ascii="Calibri" w:eastAsia="Calibri" w:hAnsi="Calibri" w:cs="Calibri"/>
        </w:rPr>
        <w:t xml:space="preserve"> (dále také „Program OMCV“). Cílem mělo být </w:t>
      </w:r>
      <w:r w:rsidRPr="00664C02">
        <w:rPr>
          <w:rFonts w:ascii="Calibri" w:eastAsia="Calibri" w:hAnsi="Calibri" w:cs="Calibri"/>
          <w:bCs/>
          <w:shd w:val="clear" w:color="auto" w:fill="FFFFFF"/>
        </w:rPr>
        <w:t xml:space="preserve">vytvoření fungujícího systému </w:t>
      </w:r>
      <w:r w:rsidR="00446E1A">
        <w:rPr>
          <w:rFonts w:ascii="Calibri" w:eastAsia="Calibri" w:hAnsi="Calibri" w:cs="Calibri"/>
          <w:bCs/>
          <w:shd w:val="clear" w:color="auto" w:fill="FFFFFF"/>
        </w:rPr>
        <w:t>OMC</w:t>
      </w:r>
      <w:r w:rsidRPr="00664C02">
        <w:rPr>
          <w:rFonts w:ascii="Calibri" w:eastAsia="Calibri" w:hAnsi="Calibri" w:cs="Calibri"/>
          <w:bCs/>
          <w:shd w:val="clear" w:color="auto" w:fill="FFFFFF"/>
        </w:rPr>
        <w:t xml:space="preserve">, díky </w:t>
      </w:r>
      <w:r w:rsidR="00367D6C">
        <w:rPr>
          <w:rFonts w:ascii="Calibri" w:eastAsia="Calibri" w:hAnsi="Calibri" w:cs="Calibri"/>
          <w:bCs/>
          <w:shd w:val="clear" w:color="auto" w:fill="FFFFFF"/>
        </w:rPr>
        <w:t>ně</w:t>
      </w:r>
      <w:r w:rsidRPr="00664C02">
        <w:rPr>
          <w:rFonts w:ascii="Calibri" w:eastAsia="Calibri" w:hAnsi="Calibri" w:cs="Calibri"/>
          <w:bCs/>
          <w:shd w:val="clear" w:color="auto" w:fill="FFFFFF"/>
        </w:rPr>
        <w:t xml:space="preserve">muž bude možné pružně, komplexně a rychle reagovat na hrozby útoků vyplývající ze situace jak v zahraničí, tak v ČR. </w:t>
      </w:r>
      <w:r w:rsidRPr="00664C02">
        <w:rPr>
          <w:rFonts w:ascii="Calibri" w:eastAsia="Calibri" w:hAnsi="Calibri" w:cs="Calibri"/>
        </w:rPr>
        <w:t xml:space="preserve">Program se členil na dva podprogramy, a to podprogram </w:t>
      </w:r>
      <w:r w:rsidRPr="00664C02">
        <w:rPr>
          <w:rFonts w:ascii="Calibri" w:eastAsia="Calibri" w:hAnsi="Calibri" w:cs="Calibri"/>
          <w:i/>
        </w:rPr>
        <w:t>Ochrana veřejných prostranství a objektů (akcí) veřejné správy jako možných měkkých cílů</w:t>
      </w:r>
      <w:r w:rsidRPr="00664C02">
        <w:rPr>
          <w:rFonts w:ascii="Calibri" w:eastAsia="Calibri" w:hAnsi="Calibri" w:cs="Calibri"/>
        </w:rPr>
        <w:t xml:space="preserve"> a podprogram </w:t>
      </w:r>
      <w:r w:rsidRPr="00664C02">
        <w:rPr>
          <w:rFonts w:ascii="Calibri" w:eastAsia="Calibri" w:hAnsi="Calibri" w:cs="Calibri"/>
          <w:i/>
        </w:rPr>
        <w:t>Ochrana a zabezpečení škol a školských zařízení jako možných měkkých cílů</w:t>
      </w:r>
      <w:r w:rsidRPr="00664C02">
        <w:rPr>
          <w:rFonts w:ascii="Calibri" w:eastAsia="Calibri" w:hAnsi="Calibri" w:cs="Calibri"/>
        </w:rPr>
        <w:t xml:space="preserve">. </w:t>
      </w:r>
      <w:r w:rsidRPr="00664C02">
        <w:rPr>
          <w:rFonts w:ascii="Calibri" w:eastAsia="Calibri" w:hAnsi="Calibri" w:cs="Calibri"/>
          <w:bCs/>
          <w:shd w:val="clear" w:color="auto" w:fill="FFFFFF"/>
        </w:rPr>
        <w:t>Příjemcem byly kraje a hl. m. Praha. Realizátorem projektu byl buď příjemce</w:t>
      </w:r>
      <w:r w:rsidR="001A562E">
        <w:rPr>
          <w:rFonts w:ascii="Calibri" w:eastAsia="Calibri" w:hAnsi="Calibri" w:cs="Calibri"/>
          <w:bCs/>
          <w:shd w:val="clear" w:color="auto" w:fill="FFFFFF"/>
        </w:rPr>
        <w:t xml:space="preserve"> </w:t>
      </w:r>
      <w:r w:rsidRPr="00664C02">
        <w:rPr>
          <w:rFonts w:ascii="Calibri" w:eastAsia="Calibri" w:hAnsi="Calibri" w:cs="Calibri"/>
          <w:bCs/>
          <w:shd w:val="clear" w:color="auto" w:fill="FFFFFF"/>
        </w:rPr>
        <w:t>nebo obec, které</w:t>
      </w:r>
      <w:r w:rsidR="001A7B9A" w:rsidRPr="001A7B9A">
        <w:rPr>
          <w:rFonts w:ascii="Calibri" w:eastAsia="Calibri" w:hAnsi="Calibri" w:cs="Calibri"/>
          <w:bCs/>
          <w:shd w:val="clear" w:color="auto" w:fill="FFFFFF"/>
        </w:rPr>
        <w:t xml:space="preserve"> </w:t>
      </w:r>
      <w:r w:rsidR="001A7B9A" w:rsidRPr="00664C02">
        <w:rPr>
          <w:rFonts w:ascii="Calibri" w:eastAsia="Calibri" w:hAnsi="Calibri" w:cs="Calibri"/>
          <w:bCs/>
          <w:shd w:val="clear" w:color="auto" w:fill="FFFFFF"/>
        </w:rPr>
        <w:t>byla</w:t>
      </w:r>
      <w:r w:rsidRPr="00664C02">
        <w:rPr>
          <w:rFonts w:ascii="Calibri" w:eastAsia="Calibri" w:hAnsi="Calibri" w:cs="Calibri"/>
          <w:bCs/>
          <w:shd w:val="clear" w:color="auto" w:fill="FFFFFF"/>
        </w:rPr>
        <w:t xml:space="preserve"> na základě krajského dotačního řízení dotace následně přerozdělena.</w:t>
      </w:r>
      <w:r w:rsidRPr="00664C02">
        <w:rPr>
          <w:rFonts w:ascii="Calibri" w:eastAsia="Calibri" w:hAnsi="Calibri" w:cs="Calibri"/>
        </w:rPr>
        <w:t xml:space="preserve"> </w:t>
      </w:r>
      <w:r w:rsidR="00BF1DD5">
        <w:rPr>
          <w:rFonts w:ascii="Calibri" w:eastAsia="Calibri" w:hAnsi="Calibri" w:cs="Calibri"/>
        </w:rPr>
        <w:t>Na</w:t>
      </w:r>
      <w:r w:rsidR="00C86D93">
        <w:rPr>
          <w:rFonts w:ascii="Calibri" w:eastAsia="Calibri" w:hAnsi="Calibri" w:cs="Calibri"/>
        </w:rPr>
        <w:t xml:space="preserve"> Program OMCV</w:t>
      </w:r>
      <w:r w:rsidR="00BF1DD5">
        <w:rPr>
          <w:rFonts w:ascii="Calibri" w:eastAsia="Calibri" w:hAnsi="Calibri" w:cs="Calibri"/>
        </w:rPr>
        <w:t xml:space="preserve"> vyčlenilo MV peněžní prostředky </w:t>
      </w:r>
      <w:r w:rsidR="004F2037">
        <w:rPr>
          <w:rFonts w:ascii="Calibri" w:eastAsia="Calibri" w:hAnsi="Calibri" w:cs="Calibri"/>
        </w:rPr>
        <w:t xml:space="preserve">státu </w:t>
      </w:r>
      <w:r w:rsidR="00BF1DD5">
        <w:rPr>
          <w:rFonts w:ascii="Calibri" w:eastAsia="Calibri" w:hAnsi="Calibri" w:cs="Calibri"/>
        </w:rPr>
        <w:t>ve výši 120 </w:t>
      </w:r>
      <w:r w:rsidR="004F2037">
        <w:rPr>
          <w:rFonts w:ascii="Calibri" w:eastAsia="Calibri" w:hAnsi="Calibri" w:cs="Calibri"/>
        </w:rPr>
        <w:t>mil. Kč, skutečné čerpání činilo 35,3 mil. Kč</w:t>
      </w:r>
      <w:r w:rsidR="00AD2F1B">
        <w:rPr>
          <w:rFonts w:ascii="Calibri" w:eastAsia="Calibri" w:hAnsi="Calibri" w:cs="Calibri"/>
        </w:rPr>
        <w:t xml:space="preserve"> na 53</w:t>
      </w:r>
      <w:r w:rsidR="00AD2F1B">
        <w:rPr>
          <w:rStyle w:val="Znakapoznpodarou"/>
          <w:rFonts w:ascii="Calibri" w:eastAsia="Calibri" w:hAnsi="Calibri" w:cs="Calibri"/>
        </w:rPr>
        <w:footnoteReference w:id="9"/>
      </w:r>
      <w:r w:rsidR="00AD2F1B">
        <w:rPr>
          <w:rFonts w:ascii="Calibri" w:eastAsia="Calibri" w:hAnsi="Calibri" w:cs="Calibri"/>
        </w:rPr>
        <w:t xml:space="preserve"> projektů</w:t>
      </w:r>
      <w:r w:rsidR="004F2037">
        <w:rPr>
          <w:rFonts w:ascii="Calibri" w:eastAsia="Calibri" w:hAnsi="Calibri" w:cs="Calibri"/>
        </w:rPr>
        <w:t>, což je 29 %</w:t>
      </w:r>
      <w:r w:rsidR="00AD2F1B">
        <w:rPr>
          <w:rFonts w:ascii="Calibri" w:eastAsia="Calibri" w:hAnsi="Calibri" w:cs="Calibri"/>
        </w:rPr>
        <w:t xml:space="preserve"> z celkové alokované částky</w:t>
      </w:r>
      <w:r w:rsidR="004F2037">
        <w:rPr>
          <w:rFonts w:ascii="Calibri" w:eastAsia="Calibri" w:hAnsi="Calibri" w:cs="Calibri"/>
        </w:rPr>
        <w:t>.</w:t>
      </w:r>
    </w:p>
    <w:p w14:paraId="01C4CE6D" w14:textId="44F49513" w:rsidR="004F2037" w:rsidRDefault="00664C02" w:rsidP="00420956">
      <w:pPr>
        <w:spacing w:after="120"/>
        <w:jc w:val="both"/>
        <w:rPr>
          <w:rFonts w:ascii="Calibri" w:eastAsia="Calibri" w:hAnsi="Calibri" w:cs="Calibri"/>
        </w:rPr>
      </w:pPr>
      <w:r w:rsidRPr="00664C02">
        <w:rPr>
          <w:rFonts w:ascii="Calibri" w:eastAsia="Calibri" w:hAnsi="Calibri" w:cs="Calibri"/>
        </w:rPr>
        <w:t xml:space="preserve">MK zřídilo </w:t>
      </w:r>
      <w:r w:rsidRPr="00664C02">
        <w:rPr>
          <w:rFonts w:ascii="Calibri" w:eastAsia="Calibri" w:hAnsi="Calibri" w:cs="Calibri"/>
          <w:bCs/>
          <w:i/>
        </w:rPr>
        <w:t>Dotační program</w:t>
      </w:r>
      <w:r w:rsidRPr="00664C02">
        <w:rPr>
          <w:rFonts w:ascii="Calibri" w:eastAsia="Calibri" w:hAnsi="Calibri" w:cs="Calibri"/>
          <w:b/>
          <w:bCs/>
          <w:i/>
        </w:rPr>
        <w:t xml:space="preserve"> </w:t>
      </w:r>
      <w:r w:rsidRPr="00664C02">
        <w:rPr>
          <w:rFonts w:ascii="Calibri" w:eastAsia="Calibri" w:hAnsi="Calibri" w:cs="Calibri"/>
          <w:i/>
        </w:rPr>
        <w:t xml:space="preserve">pro ochranu měkkých cílů v oblasti kultury </w:t>
      </w:r>
      <w:r w:rsidRPr="00664C02">
        <w:rPr>
          <w:rFonts w:ascii="Calibri" w:eastAsia="Calibri" w:hAnsi="Calibri" w:cs="Calibri"/>
        </w:rPr>
        <w:t xml:space="preserve">(dále také „Program OMCK“). Cílem bylo zvýšit </w:t>
      </w:r>
      <w:r w:rsidR="001A562E">
        <w:rPr>
          <w:rFonts w:ascii="Calibri" w:eastAsia="Calibri" w:hAnsi="Calibri" w:cs="Calibri"/>
        </w:rPr>
        <w:t>OMC</w:t>
      </w:r>
      <w:r w:rsidRPr="00664C02">
        <w:rPr>
          <w:rFonts w:ascii="Calibri" w:eastAsia="Calibri" w:hAnsi="Calibri" w:cs="Calibri"/>
        </w:rPr>
        <w:t xml:space="preserve"> v oblasti kultury a zvýšit motivaci vlastníků a provozovatelů těchto měkkých cílů, aby se začali více zabývat bezpečností objektů</w:t>
      </w:r>
      <w:r w:rsidR="00084DD4">
        <w:rPr>
          <w:rFonts w:ascii="Calibri" w:eastAsia="Calibri" w:hAnsi="Calibri" w:cs="Calibri"/>
        </w:rPr>
        <w:t xml:space="preserve"> </w:t>
      </w:r>
      <w:r w:rsidRPr="00664C02">
        <w:rPr>
          <w:rFonts w:ascii="Calibri" w:eastAsia="Calibri" w:hAnsi="Calibri" w:cs="Calibri"/>
        </w:rPr>
        <w:t xml:space="preserve">a podnikali kroky k jejímu efektivnímu zajištění. </w:t>
      </w:r>
      <w:r w:rsidRPr="00664C02">
        <w:rPr>
          <w:rFonts w:ascii="Calibri" w:eastAsia="Calibri" w:hAnsi="Calibri" w:cs="Times New Roman"/>
          <w:bCs/>
          <w:shd w:val="clear" w:color="auto" w:fill="FFFFFF"/>
        </w:rPr>
        <w:t xml:space="preserve">Mezi měkké cíle zařadilo veřejně přístupné kulturní památky, muzea, galerie, divadla, koncertní sály, knihovny, festivaly a další prostory, kde se po větší část dne pohybuje větší množství osob. </w:t>
      </w:r>
      <w:r w:rsidRPr="00664C02">
        <w:rPr>
          <w:rFonts w:ascii="Calibri" w:eastAsia="Calibri" w:hAnsi="Calibri" w:cs="Calibri"/>
          <w:bCs/>
          <w:shd w:val="clear" w:color="auto" w:fill="FFFFFF"/>
        </w:rPr>
        <w:t xml:space="preserve">Příjemcem byl vlastník nebo provozovatel </w:t>
      </w:r>
      <w:r w:rsidR="001A562E">
        <w:rPr>
          <w:rFonts w:ascii="Calibri" w:eastAsia="Calibri" w:hAnsi="Calibri" w:cs="Calibri"/>
          <w:bCs/>
          <w:shd w:val="clear" w:color="auto" w:fill="FFFFFF"/>
        </w:rPr>
        <w:t>MC</w:t>
      </w:r>
      <w:r w:rsidRPr="00664C02">
        <w:rPr>
          <w:rFonts w:ascii="Calibri" w:eastAsia="Calibri" w:hAnsi="Calibri" w:cs="Calibri"/>
          <w:bCs/>
          <w:shd w:val="clear" w:color="auto" w:fill="FFFFFF"/>
        </w:rPr>
        <w:t xml:space="preserve"> v oblasti kultury.</w:t>
      </w:r>
      <w:r w:rsidR="004F2037">
        <w:rPr>
          <w:rFonts w:ascii="Calibri" w:eastAsia="Calibri" w:hAnsi="Calibri" w:cs="Calibri"/>
        </w:rPr>
        <w:t xml:space="preserve"> Na Program OMCK vyčlenilo MK peněžní prostředky státu ve výši 121 mil. Kč, skutečné čerpání činilo 97,9 mil. Kč</w:t>
      </w:r>
      <w:r w:rsidR="002061F5">
        <w:rPr>
          <w:rFonts w:ascii="Calibri" w:eastAsia="Calibri" w:hAnsi="Calibri" w:cs="Calibri"/>
        </w:rPr>
        <w:t xml:space="preserve"> na 585 projektů</w:t>
      </w:r>
      <w:r w:rsidR="004F2037">
        <w:rPr>
          <w:rFonts w:ascii="Calibri" w:eastAsia="Calibri" w:hAnsi="Calibri" w:cs="Calibri"/>
        </w:rPr>
        <w:t>, což je 81 %</w:t>
      </w:r>
      <w:r w:rsidR="002061F5">
        <w:rPr>
          <w:rFonts w:ascii="Calibri" w:eastAsia="Calibri" w:hAnsi="Calibri" w:cs="Calibri"/>
        </w:rPr>
        <w:t xml:space="preserve"> z celkové alokované částky</w:t>
      </w:r>
      <w:r w:rsidR="004F2037">
        <w:rPr>
          <w:rFonts w:ascii="Calibri" w:eastAsia="Calibri" w:hAnsi="Calibri" w:cs="Calibri"/>
        </w:rPr>
        <w:t>.</w:t>
      </w:r>
    </w:p>
    <w:p w14:paraId="6EE3AD6D" w14:textId="52A1011E" w:rsidR="00664C02" w:rsidRDefault="00664C02" w:rsidP="00420956">
      <w:pPr>
        <w:tabs>
          <w:tab w:val="left" w:pos="8820"/>
          <w:tab w:val="left" w:pos="9720"/>
        </w:tabs>
        <w:autoSpaceDE w:val="0"/>
        <w:autoSpaceDN w:val="0"/>
        <w:adjustRightInd w:val="0"/>
        <w:spacing w:after="120"/>
        <w:jc w:val="both"/>
        <w:rPr>
          <w:rFonts w:ascii="Calibri" w:eastAsia="Calibri" w:hAnsi="Calibri" w:cs="Calibri"/>
        </w:rPr>
      </w:pPr>
      <w:proofErr w:type="spellStart"/>
      <w:r w:rsidRPr="00664C02">
        <w:rPr>
          <w:rFonts w:ascii="Calibri" w:eastAsia="Calibri" w:hAnsi="Calibri" w:cs="Calibri"/>
        </w:rPr>
        <w:t>MZd</w:t>
      </w:r>
      <w:proofErr w:type="spellEnd"/>
      <w:r w:rsidRPr="00664C02">
        <w:rPr>
          <w:rFonts w:ascii="Calibri" w:eastAsia="Calibri" w:hAnsi="Calibri" w:cs="Calibri"/>
        </w:rPr>
        <w:t xml:space="preserve"> zřídilo</w:t>
      </w:r>
      <w:r w:rsidRPr="00664C02">
        <w:rPr>
          <w:rFonts w:ascii="Calibri" w:eastAsia="Calibri" w:hAnsi="Calibri" w:cs="Calibri"/>
          <w:bCs/>
          <w:shd w:val="clear" w:color="auto" w:fill="FFFFFF"/>
        </w:rPr>
        <w:t xml:space="preserve"> </w:t>
      </w:r>
      <w:r w:rsidRPr="00664C02">
        <w:rPr>
          <w:rFonts w:ascii="Calibri" w:eastAsia="Calibri" w:hAnsi="Calibri" w:cs="Times New Roman"/>
          <w:i/>
        </w:rPr>
        <w:t xml:space="preserve">Dotační program na zvýšení ochrany měkkých cílů v resortu zdravotnictví </w:t>
      </w:r>
      <w:r w:rsidRPr="00664C02">
        <w:rPr>
          <w:rFonts w:ascii="Calibri" w:eastAsia="Calibri" w:hAnsi="Calibri" w:cs="Times New Roman"/>
        </w:rPr>
        <w:t>(dále také „Program OMCZ“)</w:t>
      </w:r>
      <w:r w:rsidRPr="00664C02">
        <w:rPr>
          <w:rFonts w:ascii="Calibri" w:eastAsia="Calibri" w:hAnsi="Calibri" w:cs="Calibri"/>
        </w:rPr>
        <w:t xml:space="preserve">. Cílem bylo zajištění zvýšení bezpečnosti objektů </w:t>
      </w:r>
      <w:r w:rsidR="00C13F04">
        <w:rPr>
          <w:rFonts w:ascii="Calibri" w:eastAsia="Calibri" w:hAnsi="Calibri" w:cs="Calibri"/>
        </w:rPr>
        <w:t>zdravotnických zařízení</w:t>
      </w:r>
      <w:r w:rsidR="00C13F04" w:rsidRPr="00664C02">
        <w:rPr>
          <w:rFonts w:ascii="Calibri" w:eastAsia="Calibri" w:hAnsi="Calibri" w:cs="Calibri"/>
        </w:rPr>
        <w:t xml:space="preserve"> </w:t>
      </w:r>
      <w:r w:rsidRPr="00664C02">
        <w:rPr>
          <w:rFonts w:ascii="Calibri" w:eastAsia="Calibri" w:hAnsi="Calibri" w:cs="Calibri"/>
        </w:rPr>
        <w:t>a</w:t>
      </w:r>
      <w:r w:rsidR="00420956">
        <w:rPr>
          <w:rFonts w:ascii="Calibri" w:eastAsia="Calibri" w:hAnsi="Calibri" w:cs="Calibri"/>
        </w:rPr>
        <w:t> </w:t>
      </w:r>
      <w:r w:rsidRPr="00664C02">
        <w:rPr>
          <w:rFonts w:ascii="Calibri" w:eastAsia="Calibri" w:hAnsi="Calibri" w:cs="Calibri"/>
        </w:rPr>
        <w:t>tím i zvýšení bezpečnosti pacientů a zdravotn</w:t>
      </w:r>
      <w:r w:rsidR="00367D6C">
        <w:rPr>
          <w:rFonts w:ascii="Calibri" w:eastAsia="Calibri" w:hAnsi="Calibri" w:cs="Calibri"/>
        </w:rPr>
        <w:t>ických</w:t>
      </w:r>
      <w:r w:rsidRPr="00664C02">
        <w:rPr>
          <w:rFonts w:ascii="Calibri" w:eastAsia="Calibri" w:hAnsi="Calibri" w:cs="Calibri"/>
        </w:rPr>
        <w:t xml:space="preserve"> pracovníků. </w:t>
      </w:r>
      <w:r w:rsidRPr="00664C02">
        <w:rPr>
          <w:rFonts w:ascii="Calibri" w:eastAsia="Calibri" w:hAnsi="Calibri" w:cs="Calibri"/>
          <w:color w:val="000000"/>
          <w:lang w:eastAsia="cs-CZ"/>
        </w:rPr>
        <w:t>Příjemcem byly nemocnice s</w:t>
      </w:r>
      <w:r w:rsidR="004F2037">
        <w:rPr>
          <w:rFonts w:ascii="Calibri" w:eastAsia="Calibri" w:hAnsi="Calibri" w:cs="Calibri"/>
          <w:color w:val="000000"/>
          <w:lang w:eastAsia="cs-CZ"/>
        </w:rPr>
        <w:t xml:space="preserve">e stanoveným </w:t>
      </w:r>
      <w:r w:rsidRPr="00664C02">
        <w:rPr>
          <w:rFonts w:ascii="Calibri" w:eastAsia="Calibri" w:hAnsi="Calibri" w:cs="Calibri"/>
          <w:color w:val="000000"/>
          <w:lang w:eastAsia="cs-CZ"/>
        </w:rPr>
        <w:t>minimálním počtem akutních lůžek.</w:t>
      </w:r>
      <w:r w:rsidR="006A4720">
        <w:rPr>
          <w:rFonts w:ascii="Calibri" w:eastAsia="Calibri" w:hAnsi="Calibri" w:cs="Calibri"/>
          <w:color w:val="000000"/>
          <w:lang w:eastAsia="cs-CZ"/>
        </w:rPr>
        <w:t xml:space="preserve"> </w:t>
      </w:r>
      <w:r w:rsidR="004F2037">
        <w:rPr>
          <w:rFonts w:ascii="Calibri" w:eastAsia="Calibri" w:hAnsi="Calibri" w:cs="Calibri"/>
        </w:rPr>
        <w:t xml:space="preserve">Na Program OMCZ vyčlenilo </w:t>
      </w:r>
      <w:proofErr w:type="spellStart"/>
      <w:r w:rsidR="004F2037">
        <w:rPr>
          <w:rFonts w:ascii="Calibri" w:eastAsia="Calibri" w:hAnsi="Calibri" w:cs="Calibri"/>
        </w:rPr>
        <w:t>MZd</w:t>
      </w:r>
      <w:proofErr w:type="spellEnd"/>
      <w:r w:rsidR="004F2037">
        <w:rPr>
          <w:rFonts w:ascii="Calibri" w:eastAsia="Calibri" w:hAnsi="Calibri" w:cs="Calibri"/>
        </w:rPr>
        <w:t xml:space="preserve"> peněžní prostředky státu ve výši 106 mil. Kč, skutečné čerpání činilo </w:t>
      </w:r>
      <w:r w:rsidR="006A4720">
        <w:rPr>
          <w:rFonts w:ascii="Calibri" w:eastAsia="Calibri" w:hAnsi="Calibri" w:cs="Calibri"/>
        </w:rPr>
        <w:t>60</w:t>
      </w:r>
      <w:r w:rsidR="004F2037">
        <w:rPr>
          <w:rFonts w:ascii="Calibri" w:eastAsia="Calibri" w:hAnsi="Calibri" w:cs="Calibri"/>
        </w:rPr>
        <w:t>,</w:t>
      </w:r>
      <w:r w:rsidR="006A4720">
        <w:rPr>
          <w:rFonts w:ascii="Calibri" w:eastAsia="Calibri" w:hAnsi="Calibri" w:cs="Calibri"/>
        </w:rPr>
        <w:t>7</w:t>
      </w:r>
      <w:r w:rsidR="004F2037">
        <w:rPr>
          <w:rFonts w:ascii="Calibri" w:eastAsia="Calibri" w:hAnsi="Calibri" w:cs="Calibri"/>
        </w:rPr>
        <w:t xml:space="preserve"> mil. Kč</w:t>
      </w:r>
      <w:r w:rsidR="002061F5">
        <w:rPr>
          <w:rFonts w:ascii="Calibri" w:eastAsia="Calibri" w:hAnsi="Calibri" w:cs="Calibri"/>
        </w:rPr>
        <w:t xml:space="preserve"> na 108 projektů</w:t>
      </w:r>
      <w:r w:rsidR="004F2037">
        <w:rPr>
          <w:rFonts w:ascii="Calibri" w:eastAsia="Calibri" w:hAnsi="Calibri" w:cs="Calibri"/>
        </w:rPr>
        <w:t xml:space="preserve">, což je </w:t>
      </w:r>
      <w:r w:rsidR="006A4720">
        <w:rPr>
          <w:rFonts w:ascii="Calibri" w:eastAsia="Calibri" w:hAnsi="Calibri" w:cs="Calibri"/>
        </w:rPr>
        <w:t>57</w:t>
      </w:r>
      <w:r w:rsidR="004F2037">
        <w:rPr>
          <w:rFonts w:ascii="Calibri" w:eastAsia="Calibri" w:hAnsi="Calibri" w:cs="Calibri"/>
        </w:rPr>
        <w:t xml:space="preserve"> %</w:t>
      </w:r>
      <w:r w:rsidR="002061F5">
        <w:rPr>
          <w:rFonts w:ascii="Calibri" w:eastAsia="Calibri" w:hAnsi="Calibri" w:cs="Calibri"/>
        </w:rPr>
        <w:t xml:space="preserve"> z celkové alokované částky</w:t>
      </w:r>
      <w:r w:rsidR="004F2037">
        <w:rPr>
          <w:rFonts w:ascii="Calibri" w:eastAsia="Calibri" w:hAnsi="Calibri" w:cs="Calibri"/>
        </w:rPr>
        <w:t>.</w:t>
      </w:r>
      <w:r w:rsidR="006A4720">
        <w:rPr>
          <w:rFonts w:ascii="Calibri" w:eastAsia="Calibri" w:hAnsi="Calibri" w:cs="Calibri"/>
          <w:color w:val="000000"/>
          <w:lang w:eastAsia="cs-CZ"/>
        </w:rPr>
        <w:t xml:space="preserve"> </w:t>
      </w:r>
      <w:r w:rsidR="002061F5">
        <w:rPr>
          <w:rFonts w:ascii="Calibri" w:eastAsia="Calibri" w:hAnsi="Calibri" w:cs="Calibri"/>
          <w:color w:val="000000"/>
          <w:lang w:eastAsia="cs-CZ"/>
        </w:rPr>
        <w:t>V</w:t>
      </w:r>
      <w:r w:rsidR="00FD0A8C">
        <w:rPr>
          <w:rFonts w:ascii="Calibri" w:eastAsia="Calibri" w:hAnsi="Calibri" w:cs="Calibri"/>
        </w:rPr>
        <w:t xml:space="preserve"> roce 2020 </w:t>
      </w:r>
      <w:r w:rsidR="00F44E7B">
        <w:rPr>
          <w:rFonts w:ascii="Calibri" w:eastAsia="Calibri" w:hAnsi="Calibri" w:cs="Calibri"/>
        </w:rPr>
        <w:t>převedlo</w:t>
      </w:r>
      <w:r w:rsidR="006A4720">
        <w:rPr>
          <w:rFonts w:ascii="Calibri" w:eastAsia="Calibri" w:hAnsi="Calibri" w:cs="Calibri"/>
        </w:rPr>
        <w:t xml:space="preserve"> </w:t>
      </w:r>
      <w:proofErr w:type="spellStart"/>
      <w:r w:rsidR="002061F5">
        <w:rPr>
          <w:rFonts w:ascii="Calibri" w:eastAsia="Calibri" w:hAnsi="Calibri" w:cs="Calibri"/>
        </w:rPr>
        <w:t>MZd</w:t>
      </w:r>
      <w:proofErr w:type="spellEnd"/>
      <w:r w:rsidR="002061F5">
        <w:rPr>
          <w:rFonts w:ascii="Calibri" w:eastAsia="Calibri" w:hAnsi="Calibri" w:cs="Calibri"/>
        </w:rPr>
        <w:t xml:space="preserve"> nevyčerpané </w:t>
      </w:r>
      <w:r w:rsidR="00EE27BE">
        <w:rPr>
          <w:rFonts w:ascii="Calibri" w:eastAsia="Calibri" w:hAnsi="Calibri" w:cs="Calibri"/>
        </w:rPr>
        <w:t xml:space="preserve">peněžní prostředky </w:t>
      </w:r>
      <w:r w:rsidR="006A4720">
        <w:rPr>
          <w:rFonts w:ascii="Calibri" w:eastAsia="Calibri" w:hAnsi="Calibri" w:cs="Calibri"/>
        </w:rPr>
        <w:t xml:space="preserve">státu </w:t>
      </w:r>
      <w:r w:rsidR="001A562E">
        <w:rPr>
          <w:rFonts w:ascii="Calibri" w:eastAsia="Calibri" w:hAnsi="Calibri" w:cs="Calibri"/>
        </w:rPr>
        <w:t xml:space="preserve">neinvestičního programu </w:t>
      </w:r>
      <w:r w:rsidR="00EE27BE">
        <w:rPr>
          <w:rFonts w:ascii="Calibri" w:eastAsia="Calibri" w:hAnsi="Calibri" w:cs="Calibri"/>
        </w:rPr>
        <w:t>ve výši 12</w:t>
      </w:r>
      <w:r w:rsidR="006A4720">
        <w:rPr>
          <w:rFonts w:ascii="Calibri" w:eastAsia="Calibri" w:hAnsi="Calibri" w:cs="Calibri"/>
        </w:rPr>
        <w:t>,6 mil. Kč</w:t>
      </w:r>
      <w:r w:rsidR="00EE27BE">
        <w:rPr>
          <w:rFonts w:ascii="Calibri" w:eastAsia="Calibri" w:hAnsi="Calibri" w:cs="Calibri"/>
        </w:rPr>
        <w:t xml:space="preserve"> na</w:t>
      </w:r>
      <w:r w:rsidR="00F44E7B">
        <w:rPr>
          <w:rFonts w:ascii="Calibri" w:eastAsia="Calibri" w:hAnsi="Calibri" w:cs="Calibri"/>
        </w:rPr>
        <w:t xml:space="preserve"> </w:t>
      </w:r>
      <w:r w:rsidR="00FD0A8C">
        <w:rPr>
          <w:rFonts w:ascii="Calibri" w:eastAsia="Calibri" w:hAnsi="Calibri" w:cs="Calibri"/>
        </w:rPr>
        <w:t>aktivity</w:t>
      </w:r>
      <w:r w:rsidR="00567108">
        <w:rPr>
          <w:rFonts w:ascii="Calibri" w:eastAsia="Calibri" w:hAnsi="Calibri" w:cs="Calibri"/>
        </w:rPr>
        <w:t xml:space="preserve"> související s</w:t>
      </w:r>
      <w:r w:rsidR="002061F5">
        <w:rPr>
          <w:rFonts w:ascii="Calibri" w:eastAsia="Calibri" w:hAnsi="Calibri" w:cs="Calibri"/>
        </w:rPr>
        <w:t xml:space="preserve"> </w:t>
      </w:r>
      <w:r w:rsidR="001A562E">
        <w:rPr>
          <w:rFonts w:ascii="Calibri" w:eastAsia="Calibri" w:hAnsi="Calibri" w:cs="Calibri"/>
        </w:rPr>
        <w:t>OMC</w:t>
      </w:r>
      <w:r w:rsidR="006A4720">
        <w:rPr>
          <w:rFonts w:ascii="Calibri" w:eastAsia="Calibri" w:hAnsi="Calibri" w:cs="Calibri"/>
        </w:rPr>
        <w:t xml:space="preserve">. </w:t>
      </w:r>
    </w:p>
    <w:p w14:paraId="2F8113FA" w14:textId="040A4E07" w:rsidR="00664C02" w:rsidRDefault="00084DD4" w:rsidP="00420956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="00664C02" w:rsidRPr="00664C02">
        <w:rPr>
          <w:rFonts w:ascii="Calibri" w:eastAsia="Calibri" w:hAnsi="Calibri" w:cs="Calibri"/>
        </w:rPr>
        <w:t xml:space="preserve">eněžní prostředky státu </w:t>
      </w:r>
      <w:r w:rsidR="0090564D">
        <w:rPr>
          <w:rFonts w:ascii="Calibri" w:eastAsia="Calibri" w:hAnsi="Calibri" w:cs="Calibri"/>
        </w:rPr>
        <w:t>čerpané</w:t>
      </w:r>
      <w:r w:rsidR="00664C02" w:rsidRPr="00664C02">
        <w:rPr>
          <w:rFonts w:ascii="Calibri" w:eastAsia="Calibri" w:hAnsi="Calibri" w:cs="Calibri"/>
        </w:rPr>
        <w:t xml:space="preserve"> na projekty </w:t>
      </w:r>
      <w:r w:rsidR="0033223F">
        <w:rPr>
          <w:rFonts w:ascii="Calibri" w:eastAsia="Calibri" w:hAnsi="Calibri" w:cs="Calibri"/>
        </w:rPr>
        <w:t xml:space="preserve">neinvestičních </w:t>
      </w:r>
      <w:r w:rsidR="00664C02" w:rsidRPr="00664C02">
        <w:rPr>
          <w:rFonts w:ascii="Calibri" w:eastAsia="Calibri" w:hAnsi="Calibri" w:cs="Calibri"/>
        </w:rPr>
        <w:t xml:space="preserve">programů </w:t>
      </w:r>
      <w:r w:rsidR="00345759">
        <w:rPr>
          <w:rFonts w:ascii="Calibri" w:eastAsia="Calibri" w:hAnsi="Calibri" w:cs="Calibri"/>
        </w:rPr>
        <w:t xml:space="preserve">OMC </w:t>
      </w:r>
      <w:r w:rsidR="00664C02" w:rsidRPr="00664C02">
        <w:rPr>
          <w:rFonts w:ascii="Calibri" w:eastAsia="Calibri" w:hAnsi="Calibri" w:cs="Calibri"/>
        </w:rPr>
        <w:t>činily v kontrolovaném období téměř 194 mil. Kč</w:t>
      </w:r>
      <w:r w:rsidR="00345759">
        <w:rPr>
          <w:rFonts w:ascii="Calibri" w:eastAsia="Calibri" w:hAnsi="Calibri" w:cs="Calibri"/>
        </w:rPr>
        <w:t xml:space="preserve"> (</w:t>
      </w:r>
      <w:r w:rsidR="00664C02" w:rsidRPr="00664C02">
        <w:rPr>
          <w:rFonts w:ascii="Calibri" w:eastAsia="Calibri" w:hAnsi="Calibri" w:cs="Calibri"/>
        </w:rPr>
        <w:t>tabulka</w:t>
      </w:r>
      <w:r w:rsidR="001A562E">
        <w:rPr>
          <w:rFonts w:ascii="Calibri" w:eastAsia="Calibri" w:hAnsi="Calibri" w:cs="Calibri"/>
        </w:rPr>
        <w:t xml:space="preserve"> č. 1</w:t>
      </w:r>
      <w:r w:rsidR="00345759">
        <w:rPr>
          <w:rFonts w:ascii="Calibri" w:eastAsia="Calibri" w:hAnsi="Calibri" w:cs="Calibri"/>
        </w:rPr>
        <w:t>)</w:t>
      </w:r>
      <w:r w:rsidR="001A562E">
        <w:rPr>
          <w:rFonts w:ascii="Calibri" w:eastAsia="Calibri" w:hAnsi="Calibri" w:cs="Calibri"/>
        </w:rPr>
        <w:t>.</w:t>
      </w:r>
    </w:p>
    <w:p w14:paraId="2916DA2A" w14:textId="07F1E171" w:rsidR="00C86DAC" w:rsidRPr="00C86DAC" w:rsidRDefault="00C86DAC" w:rsidP="001A7B9A">
      <w:pPr>
        <w:keepNext/>
        <w:tabs>
          <w:tab w:val="right" w:pos="9070"/>
        </w:tabs>
        <w:autoSpaceDE w:val="0"/>
        <w:autoSpaceDN w:val="0"/>
        <w:adjustRightInd w:val="0"/>
        <w:spacing w:after="40"/>
        <w:jc w:val="both"/>
        <w:rPr>
          <w:rFonts w:ascii="Calibri" w:eastAsia="Calibri" w:hAnsi="Calibri" w:cs="Calibri"/>
          <w:b/>
        </w:rPr>
      </w:pPr>
      <w:r w:rsidRPr="00C86DAC">
        <w:rPr>
          <w:rFonts w:ascii="Calibri" w:eastAsia="Calibri" w:hAnsi="Calibri" w:cs="Calibri"/>
          <w:b/>
        </w:rPr>
        <w:t xml:space="preserve">Tabulka č. 1: Čerpané peněžní prostředky státu z neinvestičních programů OMC </w:t>
      </w:r>
      <w:r w:rsidR="001A7B9A">
        <w:rPr>
          <w:rFonts w:ascii="Calibri" w:eastAsia="Calibri" w:hAnsi="Calibri" w:cs="Calibri"/>
          <w:b/>
        </w:rPr>
        <w:tab/>
      </w:r>
      <w:r w:rsidRPr="00C86DAC">
        <w:rPr>
          <w:rFonts w:ascii="Calibri" w:eastAsia="Calibri" w:hAnsi="Calibri" w:cs="Calibri"/>
          <w:b/>
        </w:rPr>
        <w:t>(v tis. Kč)</w:t>
      </w:r>
    </w:p>
    <w:tbl>
      <w:tblPr>
        <w:tblStyle w:val="Mkatabulky4"/>
        <w:tblW w:w="9071" w:type="dxa"/>
        <w:tblInd w:w="0" w:type="dxa"/>
        <w:tblLook w:val="04A0" w:firstRow="1" w:lastRow="0" w:firstColumn="1" w:lastColumn="0" w:noHBand="0" w:noVBand="1"/>
      </w:tblPr>
      <w:tblGrid>
        <w:gridCol w:w="3118"/>
        <w:gridCol w:w="1474"/>
        <w:gridCol w:w="1474"/>
        <w:gridCol w:w="1474"/>
        <w:gridCol w:w="1531"/>
      </w:tblGrid>
      <w:tr w:rsidR="00C86DAC" w:rsidRPr="00ED199B" w14:paraId="6DBA37CA" w14:textId="77777777" w:rsidTr="001A7B9A">
        <w:trPr>
          <w:trHeight w:val="2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CBC33BA" w14:textId="77777777" w:rsidR="00C86DAC" w:rsidRPr="00ED199B" w:rsidRDefault="00C86DAC" w:rsidP="00ED199B">
            <w:pPr>
              <w:keepNext/>
              <w:rPr>
                <w:rFonts w:ascii="Calibri" w:eastAsia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B1968CD" w14:textId="77777777" w:rsidR="00C86DAC" w:rsidRPr="00ED199B" w:rsidRDefault="00C86DAC" w:rsidP="00ED199B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lang w:eastAsia="cs-CZ"/>
              </w:rPr>
            </w:pPr>
            <w:r w:rsidRPr="00ED199B">
              <w:rPr>
                <w:rFonts w:ascii="Calibri" w:eastAsia="Calibri" w:hAnsi="Calibri" w:cs="Calibri"/>
                <w:b/>
                <w:lang w:eastAsia="cs-CZ"/>
              </w:rPr>
              <w:t>2019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8D62842" w14:textId="77777777" w:rsidR="00C86DAC" w:rsidRPr="00ED199B" w:rsidRDefault="00C86DAC" w:rsidP="00ED199B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lang w:eastAsia="cs-CZ"/>
              </w:rPr>
            </w:pPr>
            <w:r w:rsidRPr="00ED199B">
              <w:rPr>
                <w:rFonts w:ascii="Calibri" w:eastAsia="Calibri" w:hAnsi="Calibri" w:cs="Calibri"/>
                <w:b/>
                <w:lang w:eastAsia="cs-CZ"/>
              </w:rPr>
              <w:t>2020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AD3571F" w14:textId="77777777" w:rsidR="00C86DAC" w:rsidRPr="00ED199B" w:rsidRDefault="00C86DAC" w:rsidP="00ED199B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lang w:eastAsia="cs-CZ"/>
              </w:rPr>
            </w:pPr>
            <w:r w:rsidRPr="00ED199B">
              <w:rPr>
                <w:rFonts w:ascii="Calibri" w:eastAsia="Calibri" w:hAnsi="Calibri" w:cs="Calibri"/>
                <w:b/>
                <w:lang w:eastAsia="cs-CZ"/>
              </w:rPr>
              <w:t>2021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8C236BA" w14:textId="77777777" w:rsidR="00C86DAC" w:rsidRPr="00ED199B" w:rsidRDefault="00C86DAC" w:rsidP="00ED199B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lang w:eastAsia="cs-CZ"/>
              </w:rPr>
            </w:pPr>
            <w:r w:rsidRPr="00ED199B">
              <w:rPr>
                <w:rFonts w:ascii="Calibri" w:eastAsia="Calibri" w:hAnsi="Calibri" w:cs="Calibri"/>
                <w:b/>
                <w:lang w:eastAsia="cs-CZ"/>
              </w:rPr>
              <w:t>Celkem</w:t>
            </w:r>
          </w:p>
        </w:tc>
      </w:tr>
      <w:tr w:rsidR="00C86DAC" w:rsidRPr="00ED199B" w14:paraId="7B632051" w14:textId="77777777" w:rsidTr="001A7B9A">
        <w:trPr>
          <w:trHeight w:val="2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1F65" w14:textId="77777777" w:rsidR="00C86DAC" w:rsidRPr="00ED199B" w:rsidRDefault="00C86DAC" w:rsidP="00ED199B">
            <w:pPr>
              <w:keepNext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ED199B">
              <w:rPr>
                <w:rFonts w:ascii="Calibri" w:eastAsia="Calibri" w:hAnsi="Calibri" w:cs="Calibri"/>
                <w:color w:val="000000"/>
                <w:lang w:eastAsia="cs-CZ"/>
              </w:rPr>
              <w:t>Program OMCV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2575" w14:textId="77777777" w:rsidR="00C86DAC" w:rsidRPr="00ED199B" w:rsidRDefault="00C86DAC" w:rsidP="00ED199B">
            <w:pPr>
              <w:keepNext/>
              <w:ind w:right="209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ED199B">
              <w:rPr>
                <w:rFonts w:ascii="Calibri" w:eastAsia="Calibri" w:hAnsi="Calibri" w:cs="Calibri"/>
                <w:color w:val="000000"/>
                <w:lang w:eastAsia="cs-CZ"/>
              </w:rPr>
              <w:t>14 616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C316" w14:textId="77777777" w:rsidR="00C86DAC" w:rsidRPr="00ED199B" w:rsidRDefault="00C86DAC" w:rsidP="00ED199B">
            <w:pPr>
              <w:keepNext/>
              <w:ind w:right="209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ED199B">
              <w:rPr>
                <w:rFonts w:ascii="Calibri" w:eastAsia="Calibri" w:hAnsi="Calibri" w:cs="Calibri"/>
                <w:color w:val="000000"/>
                <w:lang w:eastAsia="cs-CZ"/>
              </w:rPr>
              <w:t>11 133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E4B4" w14:textId="77777777" w:rsidR="00C86DAC" w:rsidRPr="00ED199B" w:rsidRDefault="00C86DAC" w:rsidP="00ED199B">
            <w:pPr>
              <w:keepNext/>
              <w:ind w:right="209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ED199B">
              <w:rPr>
                <w:rFonts w:ascii="Calibri" w:eastAsia="Calibri" w:hAnsi="Calibri" w:cs="Calibri"/>
                <w:color w:val="000000"/>
                <w:lang w:eastAsia="cs-CZ"/>
              </w:rPr>
              <w:t>9 525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B2B3" w14:textId="77777777" w:rsidR="00C86DAC" w:rsidRPr="00ED199B" w:rsidRDefault="00C86DAC" w:rsidP="00ED199B">
            <w:pPr>
              <w:keepNext/>
              <w:ind w:right="209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ED199B">
              <w:rPr>
                <w:rFonts w:ascii="Calibri" w:eastAsia="Calibri" w:hAnsi="Calibri" w:cs="Calibri"/>
                <w:color w:val="000000"/>
                <w:lang w:eastAsia="cs-CZ"/>
              </w:rPr>
              <w:t>35 274</w:t>
            </w:r>
          </w:p>
        </w:tc>
      </w:tr>
      <w:tr w:rsidR="00C86DAC" w:rsidRPr="00ED199B" w14:paraId="02B3022B" w14:textId="77777777" w:rsidTr="001A7B9A">
        <w:trPr>
          <w:trHeight w:val="2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B279" w14:textId="77777777" w:rsidR="00C86DAC" w:rsidRPr="00ED199B" w:rsidRDefault="00C86DAC" w:rsidP="00ED199B">
            <w:pPr>
              <w:keepNext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ED199B">
              <w:rPr>
                <w:rFonts w:ascii="Calibri" w:eastAsia="Calibri" w:hAnsi="Calibri" w:cs="Calibri"/>
                <w:color w:val="000000"/>
                <w:lang w:eastAsia="cs-CZ"/>
              </w:rPr>
              <w:t>Program OMCK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86EE" w14:textId="77777777" w:rsidR="00C86DAC" w:rsidRPr="00ED199B" w:rsidRDefault="00C86DAC" w:rsidP="00ED199B">
            <w:pPr>
              <w:keepNext/>
              <w:ind w:right="209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ED199B">
              <w:rPr>
                <w:rFonts w:ascii="Calibri" w:eastAsia="Calibri" w:hAnsi="Calibri" w:cs="Calibri"/>
                <w:color w:val="000000"/>
                <w:lang w:eastAsia="cs-CZ"/>
              </w:rPr>
              <w:t>29 985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0A0F" w14:textId="77777777" w:rsidR="00C86DAC" w:rsidRPr="00ED199B" w:rsidRDefault="00C86DAC" w:rsidP="00ED199B">
            <w:pPr>
              <w:keepNext/>
              <w:ind w:right="209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ED199B">
              <w:rPr>
                <w:rFonts w:ascii="Calibri" w:eastAsia="Calibri" w:hAnsi="Calibri" w:cs="Calibri"/>
                <w:color w:val="000000"/>
                <w:lang w:eastAsia="cs-CZ"/>
              </w:rPr>
              <w:t>21 067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EB17" w14:textId="77777777" w:rsidR="00C86DAC" w:rsidRPr="00ED199B" w:rsidRDefault="00C86DAC" w:rsidP="00ED199B">
            <w:pPr>
              <w:keepNext/>
              <w:ind w:right="209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ED199B">
              <w:rPr>
                <w:rFonts w:ascii="Calibri" w:eastAsia="Calibri" w:hAnsi="Calibri" w:cs="Calibri"/>
                <w:color w:val="000000"/>
                <w:lang w:eastAsia="cs-CZ"/>
              </w:rPr>
              <w:t>46 869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C51F" w14:textId="77777777" w:rsidR="00C86DAC" w:rsidRPr="00ED199B" w:rsidRDefault="00C86DAC" w:rsidP="00ED199B">
            <w:pPr>
              <w:keepNext/>
              <w:ind w:right="209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ED199B">
              <w:rPr>
                <w:rFonts w:ascii="Calibri" w:eastAsia="Calibri" w:hAnsi="Calibri" w:cs="Calibri"/>
                <w:color w:val="000000"/>
                <w:lang w:eastAsia="cs-CZ"/>
              </w:rPr>
              <w:t>97 922</w:t>
            </w:r>
          </w:p>
        </w:tc>
      </w:tr>
      <w:tr w:rsidR="00C86DAC" w:rsidRPr="00ED199B" w14:paraId="09574C4F" w14:textId="77777777" w:rsidTr="001A7B9A">
        <w:trPr>
          <w:trHeight w:val="2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DF2C" w14:textId="77777777" w:rsidR="00C86DAC" w:rsidRPr="00ED199B" w:rsidRDefault="00C86DAC" w:rsidP="00ED199B">
            <w:pPr>
              <w:keepNext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ED199B">
              <w:rPr>
                <w:rFonts w:ascii="Calibri" w:eastAsia="Calibri" w:hAnsi="Calibri" w:cs="Calibri"/>
                <w:color w:val="000000"/>
                <w:lang w:eastAsia="cs-CZ"/>
              </w:rPr>
              <w:t>Program OMCZ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73A1" w14:textId="77777777" w:rsidR="00C86DAC" w:rsidRPr="00ED199B" w:rsidRDefault="00C86DAC" w:rsidP="00ED199B">
            <w:pPr>
              <w:keepNext/>
              <w:ind w:right="209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ED199B">
              <w:rPr>
                <w:rFonts w:ascii="Calibri" w:eastAsia="Calibri" w:hAnsi="Calibri" w:cs="Calibri"/>
                <w:color w:val="000000"/>
                <w:lang w:eastAsia="cs-CZ"/>
              </w:rPr>
              <w:t>20 844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AD65" w14:textId="77777777" w:rsidR="00C86DAC" w:rsidRPr="00ED199B" w:rsidRDefault="00C86DAC" w:rsidP="00ED199B">
            <w:pPr>
              <w:keepNext/>
              <w:ind w:right="209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ED199B">
              <w:rPr>
                <w:rFonts w:ascii="Calibri" w:eastAsia="Calibri" w:hAnsi="Calibri" w:cs="Calibri"/>
                <w:color w:val="000000"/>
                <w:lang w:eastAsia="cs-CZ"/>
              </w:rPr>
              <w:t>28 766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E797" w14:textId="77777777" w:rsidR="00C86DAC" w:rsidRPr="00ED199B" w:rsidRDefault="00C86DAC" w:rsidP="00ED199B">
            <w:pPr>
              <w:keepNext/>
              <w:ind w:right="209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ED199B">
              <w:rPr>
                <w:rFonts w:ascii="Calibri" w:eastAsia="Calibri" w:hAnsi="Calibri" w:cs="Calibri"/>
                <w:color w:val="000000"/>
                <w:lang w:eastAsia="cs-CZ"/>
              </w:rPr>
              <w:t>11 100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54EA" w14:textId="77777777" w:rsidR="00C86DAC" w:rsidRPr="00ED199B" w:rsidRDefault="00C86DAC" w:rsidP="00ED199B">
            <w:pPr>
              <w:keepNext/>
              <w:ind w:right="209"/>
              <w:jc w:val="right"/>
              <w:rPr>
                <w:rFonts w:ascii="Calibri" w:eastAsia="Calibri" w:hAnsi="Calibri" w:cs="Calibri"/>
                <w:color w:val="000000"/>
                <w:lang w:eastAsia="cs-CZ"/>
              </w:rPr>
            </w:pPr>
            <w:r w:rsidRPr="00ED199B">
              <w:rPr>
                <w:rFonts w:ascii="Calibri" w:eastAsia="Calibri" w:hAnsi="Calibri" w:cs="Calibri"/>
                <w:color w:val="000000"/>
                <w:lang w:eastAsia="cs-CZ"/>
              </w:rPr>
              <w:t>60 710</w:t>
            </w:r>
          </w:p>
        </w:tc>
      </w:tr>
      <w:tr w:rsidR="00C86DAC" w:rsidRPr="00ED199B" w14:paraId="7DD1E3F8" w14:textId="77777777" w:rsidTr="001A7B9A">
        <w:trPr>
          <w:trHeight w:val="2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281F" w14:textId="77777777" w:rsidR="00C86DAC" w:rsidRPr="00ED199B" w:rsidRDefault="00C86DAC" w:rsidP="00ED199B">
            <w:pPr>
              <w:keepNext/>
              <w:rPr>
                <w:rFonts w:ascii="Calibri" w:eastAsia="Calibri" w:hAnsi="Calibri" w:cs="Calibri"/>
                <w:b/>
                <w:color w:val="000000"/>
                <w:lang w:eastAsia="cs-CZ"/>
              </w:rPr>
            </w:pPr>
            <w:r w:rsidRPr="00ED199B">
              <w:rPr>
                <w:rFonts w:ascii="Calibri" w:eastAsia="Calibri" w:hAnsi="Calibri" w:cs="Calibri"/>
                <w:b/>
                <w:color w:val="000000"/>
                <w:lang w:eastAsia="cs-CZ"/>
              </w:rPr>
              <w:t>Celkem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B1AA9" w14:textId="77777777" w:rsidR="00C86DAC" w:rsidRPr="00ED199B" w:rsidRDefault="00C86DAC" w:rsidP="00ED199B">
            <w:pPr>
              <w:keepNext/>
              <w:ind w:right="209"/>
              <w:jc w:val="right"/>
              <w:rPr>
                <w:rFonts w:ascii="Calibri" w:eastAsia="Calibri" w:hAnsi="Calibri" w:cs="Calibri"/>
                <w:b/>
                <w:color w:val="000000"/>
                <w:lang w:eastAsia="cs-CZ"/>
              </w:rPr>
            </w:pPr>
            <w:r w:rsidRPr="00ED199B">
              <w:rPr>
                <w:rFonts w:ascii="Calibri" w:eastAsia="Calibri" w:hAnsi="Calibri" w:cs="Calibri"/>
                <w:b/>
                <w:color w:val="000000"/>
                <w:lang w:eastAsia="cs-CZ"/>
              </w:rPr>
              <w:t>65 445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805C" w14:textId="77777777" w:rsidR="00C86DAC" w:rsidRPr="00ED199B" w:rsidRDefault="00C86DAC" w:rsidP="00ED199B">
            <w:pPr>
              <w:keepNext/>
              <w:ind w:right="209"/>
              <w:jc w:val="right"/>
              <w:rPr>
                <w:rFonts w:ascii="Calibri" w:eastAsia="Calibri" w:hAnsi="Calibri" w:cs="Calibri"/>
                <w:b/>
                <w:color w:val="000000"/>
                <w:lang w:eastAsia="cs-CZ"/>
              </w:rPr>
            </w:pPr>
            <w:r w:rsidRPr="00ED199B">
              <w:rPr>
                <w:rFonts w:ascii="Calibri" w:eastAsia="Calibri" w:hAnsi="Calibri" w:cs="Calibri"/>
                <w:b/>
                <w:color w:val="000000"/>
                <w:lang w:eastAsia="cs-CZ"/>
              </w:rPr>
              <w:t>60 966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47C1" w14:textId="77777777" w:rsidR="00C86DAC" w:rsidRPr="00ED199B" w:rsidRDefault="00C86DAC" w:rsidP="00ED199B">
            <w:pPr>
              <w:keepNext/>
              <w:ind w:right="209"/>
              <w:jc w:val="right"/>
              <w:rPr>
                <w:rFonts w:ascii="Calibri" w:eastAsia="Calibri" w:hAnsi="Calibri" w:cs="Calibri"/>
                <w:b/>
                <w:color w:val="000000"/>
                <w:lang w:eastAsia="cs-CZ"/>
              </w:rPr>
            </w:pPr>
            <w:r w:rsidRPr="00ED199B">
              <w:rPr>
                <w:rFonts w:ascii="Calibri" w:eastAsia="Calibri" w:hAnsi="Calibri" w:cs="Calibri"/>
                <w:b/>
                <w:color w:val="000000"/>
                <w:lang w:eastAsia="cs-CZ"/>
              </w:rPr>
              <w:t>67 494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742E" w14:textId="77777777" w:rsidR="00C86DAC" w:rsidRPr="00ED199B" w:rsidRDefault="00C86DAC" w:rsidP="00ED199B">
            <w:pPr>
              <w:keepNext/>
              <w:ind w:right="209"/>
              <w:jc w:val="right"/>
              <w:rPr>
                <w:rFonts w:ascii="Calibri" w:eastAsia="Calibri" w:hAnsi="Calibri" w:cs="Calibri"/>
                <w:b/>
                <w:color w:val="000000"/>
                <w:lang w:eastAsia="cs-CZ"/>
              </w:rPr>
            </w:pPr>
            <w:r w:rsidRPr="00ED199B">
              <w:rPr>
                <w:rFonts w:ascii="Calibri" w:eastAsia="Calibri" w:hAnsi="Calibri" w:cs="Calibri"/>
                <w:b/>
                <w:color w:val="000000"/>
                <w:lang w:eastAsia="cs-CZ"/>
              </w:rPr>
              <w:t>193 906</w:t>
            </w:r>
          </w:p>
        </w:tc>
      </w:tr>
    </w:tbl>
    <w:p w14:paraId="7823AA6F" w14:textId="2CD97449" w:rsidR="00C86DAC" w:rsidRPr="00ED199B" w:rsidRDefault="00C86DAC" w:rsidP="00ED199B">
      <w:pPr>
        <w:autoSpaceDE w:val="0"/>
        <w:autoSpaceDN w:val="0"/>
        <w:adjustRightInd w:val="0"/>
        <w:spacing w:before="40" w:after="120"/>
        <w:rPr>
          <w:rFonts w:ascii="Calibri" w:eastAsia="Calibri" w:hAnsi="Calibri" w:cs="Calibri"/>
          <w:sz w:val="20"/>
          <w:szCs w:val="20"/>
        </w:rPr>
      </w:pPr>
      <w:r w:rsidRPr="00ED199B">
        <w:rPr>
          <w:rFonts w:ascii="Calibri" w:eastAsia="Calibri" w:hAnsi="Calibri" w:cs="Calibri"/>
          <w:b/>
          <w:sz w:val="20"/>
          <w:szCs w:val="20"/>
        </w:rPr>
        <w:t>Zdroj:</w:t>
      </w:r>
      <w:r w:rsidRPr="00ED199B">
        <w:rPr>
          <w:rFonts w:ascii="Calibri" w:eastAsia="Calibri" w:hAnsi="Calibri" w:cs="Calibri"/>
          <w:sz w:val="20"/>
          <w:szCs w:val="20"/>
        </w:rPr>
        <w:t xml:space="preserve"> </w:t>
      </w:r>
      <w:r w:rsidR="001A7B9A">
        <w:rPr>
          <w:rFonts w:ascii="Calibri" w:eastAsia="Calibri" w:hAnsi="Calibri" w:cs="Calibri"/>
          <w:sz w:val="20"/>
          <w:szCs w:val="20"/>
        </w:rPr>
        <w:t>d</w:t>
      </w:r>
      <w:r w:rsidRPr="00ED199B">
        <w:rPr>
          <w:rFonts w:ascii="Calibri" w:eastAsia="Calibri" w:hAnsi="Calibri" w:cs="Calibri"/>
          <w:sz w:val="20"/>
          <w:szCs w:val="20"/>
        </w:rPr>
        <w:t xml:space="preserve">ata předložená MV, MK a </w:t>
      </w:r>
      <w:proofErr w:type="spellStart"/>
      <w:r w:rsidRPr="00ED199B">
        <w:rPr>
          <w:rFonts w:ascii="Calibri" w:eastAsia="Calibri" w:hAnsi="Calibri" w:cs="Calibri"/>
          <w:sz w:val="20"/>
          <w:szCs w:val="20"/>
        </w:rPr>
        <w:t>MZd</w:t>
      </w:r>
      <w:proofErr w:type="spellEnd"/>
      <w:r w:rsidRPr="00ED199B">
        <w:rPr>
          <w:rFonts w:ascii="Calibri" w:eastAsia="Calibri" w:hAnsi="Calibri" w:cs="Calibri"/>
          <w:sz w:val="20"/>
          <w:szCs w:val="20"/>
        </w:rPr>
        <w:t>.</w:t>
      </w:r>
    </w:p>
    <w:p w14:paraId="12F8C8CE" w14:textId="0369B211" w:rsidR="000A760A" w:rsidRPr="000A760A" w:rsidRDefault="000A760A" w:rsidP="00ED199B">
      <w:pPr>
        <w:keepNext/>
        <w:keepLines/>
        <w:tabs>
          <w:tab w:val="left" w:pos="708"/>
        </w:tabs>
        <w:spacing w:before="600" w:after="240"/>
        <w:ind w:left="431" w:hanging="431"/>
        <w:jc w:val="center"/>
        <w:outlineLvl w:val="0"/>
        <w:rPr>
          <w:rFonts w:ascii="Calibri" w:eastAsia="Calibri" w:hAnsi="Calibri" w:cs="Calibri"/>
          <w:b/>
          <w:sz w:val="28"/>
        </w:rPr>
      </w:pPr>
      <w:r w:rsidRPr="000A760A">
        <w:rPr>
          <w:rFonts w:ascii="Calibri" w:eastAsia="Calibri" w:hAnsi="Calibri" w:cs="Calibri"/>
          <w:b/>
          <w:sz w:val="28"/>
          <w:szCs w:val="22"/>
        </w:rPr>
        <w:t>III. Rozsah kontroly</w:t>
      </w:r>
    </w:p>
    <w:p w14:paraId="7B8DD9F5" w14:textId="77777777" w:rsidR="00664C02" w:rsidRPr="00664C02" w:rsidRDefault="00664C02" w:rsidP="00664C02">
      <w:pPr>
        <w:spacing w:after="120"/>
        <w:jc w:val="both"/>
        <w:rPr>
          <w:rFonts w:ascii="Calibri" w:eastAsia="Calibri" w:hAnsi="Calibri" w:cs="Calibri"/>
        </w:rPr>
      </w:pPr>
      <w:r w:rsidRPr="00664C02">
        <w:rPr>
          <w:rFonts w:ascii="Calibri" w:eastAsia="Calibri" w:hAnsi="Calibri" w:cs="Calibri"/>
        </w:rPr>
        <w:t>Kontrolní akce č. 21/21 prověřila, zda byly peněžní prostředky státu určené na systém ochrany měkkých cílů vynaloženy a čerpány účelně, hospodárně a v souladu s právními předpisy.</w:t>
      </w:r>
    </w:p>
    <w:p w14:paraId="0BEF8F82" w14:textId="4213E9FC" w:rsidR="00664C02" w:rsidRPr="00664C02" w:rsidRDefault="00664C02" w:rsidP="00664C02">
      <w:pPr>
        <w:spacing w:after="120"/>
        <w:jc w:val="both"/>
        <w:rPr>
          <w:rFonts w:ascii="Calibri" w:eastAsia="Calibri" w:hAnsi="Calibri" w:cs="Times New Roman"/>
        </w:rPr>
      </w:pPr>
      <w:r w:rsidRPr="00664C02">
        <w:rPr>
          <w:rFonts w:ascii="Calibri" w:eastAsia="Calibri" w:hAnsi="Calibri" w:cs="Times New Roman"/>
        </w:rPr>
        <w:t xml:space="preserve">Právní předpisy vztahující se na peněžní prostředky </w:t>
      </w:r>
      <w:r w:rsidR="0033223F">
        <w:rPr>
          <w:rFonts w:ascii="Calibri" w:eastAsia="Calibri" w:hAnsi="Calibri" w:cs="Times New Roman"/>
        </w:rPr>
        <w:t>státu</w:t>
      </w:r>
      <w:r w:rsidRPr="00664C02">
        <w:rPr>
          <w:rFonts w:ascii="Calibri" w:eastAsia="Calibri" w:hAnsi="Calibri" w:cs="Times New Roman"/>
        </w:rPr>
        <w:t>, tj. i na prostředky hrazené z</w:t>
      </w:r>
      <w:r w:rsidR="00F10991">
        <w:rPr>
          <w:rFonts w:ascii="Calibri" w:eastAsia="Calibri" w:hAnsi="Calibri" w:cs="Times New Roman"/>
        </w:rPr>
        <w:t xml:space="preserve"> neinvestičních </w:t>
      </w:r>
      <w:r w:rsidRPr="00664C02">
        <w:rPr>
          <w:rFonts w:ascii="Calibri" w:eastAsia="Calibri" w:hAnsi="Calibri" w:cs="Times New Roman"/>
        </w:rPr>
        <w:t>programů</w:t>
      </w:r>
      <w:r w:rsidR="002E5D55">
        <w:rPr>
          <w:rFonts w:ascii="Calibri" w:eastAsia="Calibri" w:hAnsi="Calibri" w:cs="Times New Roman"/>
        </w:rPr>
        <w:t>,</w:t>
      </w:r>
      <w:r w:rsidR="00085EC7">
        <w:rPr>
          <w:rFonts w:ascii="Calibri" w:eastAsia="Calibri" w:hAnsi="Calibri" w:cs="Times New Roman"/>
        </w:rPr>
        <w:t xml:space="preserve"> </w:t>
      </w:r>
      <w:r w:rsidRPr="00664C02">
        <w:rPr>
          <w:rFonts w:ascii="Calibri" w:eastAsia="Calibri" w:hAnsi="Calibri" w:cs="Times New Roman"/>
        </w:rPr>
        <w:t>stanoví, že tyto prostředky musí být využity s ohledem na zásadu řádného finančního řízení, která konkrétně zahrnuje např. principy hospodárnosti a účelnosti.</w:t>
      </w:r>
      <w:r w:rsidRPr="00664C02">
        <w:rPr>
          <w:rFonts w:ascii="Calibri" w:eastAsia="Calibri" w:hAnsi="Calibri" w:cs="Times New Roman"/>
          <w:vertAlign w:val="superscript"/>
        </w:rPr>
        <w:footnoteReference w:id="10"/>
      </w:r>
      <w:r w:rsidRPr="00664C02">
        <w:rPr>
          <w:rFonts w:ascii="Calibri" w:eastAsia="Calibri" w:hAnsi="Calibri" w:cs="Times New Roman"/>
        </w:rPr>
        <w:t xml:space="preserve"> Kontrola u MV, MK a </w:t>
      </w:r>
      <w:proofErr w:type="spellStart"/>
      <w:r w:rsidRPr="00664C02">
        <w:rPr>
          <w:rFonts w:ascii="Calibri" w:eastAsia="Calibri" w:hAnsi="Calibri" w:cs="Times New Roman"/>
        </w:rPr>
        <w:t>MZd</w:t>
      </w:r>
      <w:proofErr w:type="spellEnd"/>
      <w:r w:rsidRPr="00664C02">
        <w:rPr>
          <w:rFonts w:ascii="Calibri" w:eastAsia="Calibri" w:hAnsi="Calibri" w:cs="Times New Roman"/>
        </w:rPr>
        <w:t xml:space="preserve"> jako poskytovatelů </w:t>
      </w:r>
      <w:r w:rsidR="000C66E9">
        <w:rPr>
          <w:rFonts w:ascii="Calibri" w:eastAsia="Calibri" w:hAnsi="Calibri" w:cs="Times New Roman"/>
        </w:rPr>
        <w:t xml:space="preserve">dotací </w:t>
      </w:r>
      <w:r w:rsidRPr="00664C02">
        <w:rPr>
          <w:rFonts w:ascii="Calibri" w:eastAsia="Calibri" w:hAnsi="Calibri" w:cs="Times New Roman"/>
        </w:rPr>
        <w:t xml:space="preserve">byla zaměřena na koncepční zajištění </w:t>
      </w:r>
      <w:r w:rsidR="0033223F">
        <w:rPr>
          <w:rFonts w:ascii="Calibri" w:eastAsia="Calibri" w:hAnsi="Calibri" w:cs="Times New Roman"/>
        </w:rPr>
        <w:t xml:space="preserve">neinvestičních </w:t>
      </w:r>
      <w:r w:rsidRPr="00664C02">
        <w:rPr>
          <w:rFonts w:ascii="Calibri" w:eastAsia="Calibri" w:hAnsi="Calibri" w:cs="Times New Roman"/>
        </w:rPr>
        <w:t>programů, nastavení konkrétních cílů a měřitelných indikátorů, způsob nastavení hodnoticích kritérií při posuzování projektů, nastavení podmínek pro čerpání peněžních prostředků státu</w:t>
      </w:r>
      <w:r w:rsidR="005007B0">
        <w:rPr>
          <w:rFonts w:ascii="Calibri" w:eastAsia="Calibri" w:hAnsi="Calibri" w:cs="Times New Roman"/>
        </w:rPr>
        <w:t>, vyhodnocování hospodárnosti realizovaných projektů</w:t>
      </w:r>
      <w:r w:rsidRPr="00664C02">
        <w:rPr>
          <w:rFonts w:ascii="Calibri" w:eastAsia="Calibri" w:hAnsi="Calibri" w:cs="Times New Roman"/>
        </w:rPr>
        <w:t xml:space="preserve"> a</w:t>
      </w:r>
      <w:r w:rsidR="00ED199B">
        <w:rPr>
          <w:rFonts w:ascii="Calibri" w:eastAsia="Calibri" w:hAnsi="Calibri" w:cs="Times New Roman"/>
        </w:rPr>
        <w:t> </w:t>
      </w:r>
      <w:r w:rsidRPr="00664C02">
        <w:rPr>
          <w:rFonts w:ascii="Calibri" w:eastAsia="Calibri" w:hAnsi="Calibri" w:cs="Times New Roman"/>
        </w:rPr>
        <w:t xml:space="preserve">vyhodnocování přínosů realizovaných projektů ke stanoveným cílům programů a </w:t>
      </w:r>
      <w:r w:rsidR="00C34A5E">
        <w:rPr>
          <w:rFonts w:ascii="Calibri" w:eastAsia="Calibri" w:hAnsi="Calibri" w:cs="Times New Roman"/>
        </w:rPr>
        <w:t>Koncepce OMC</w:t>
      </w:r>
      <w:r w:rsidRPr="00664C02">
        <w:rPr>
          <w:rFonts w:ascii="Calibri" w:eastAsia="Calibri" w:hAnsi="Calibri" w:cs="Times New Roman"/>
        </w:rPr>
        <w:t>.</w:t>
      </w:r>
    </w:p>
    <w:p w14:paraId="00611951" w14:textId="3294EF80" w:rsidR="00664C02" w:rsidRPr="00664C02" w:rsidRDefault="00664C02" w:rsidP="00664C02">
      <w:pPr>
        <w:spacing w:after="120"/>
        <w:jc w:val="both"/>
        <w:rPr>
          <w:rFonts w:ascii="Calibri" w:eastAsia="Calibri" w:hAnsi="Calibri" w:cs="Times New Roman"/>
        </w:rPr>
      </w:pPr>
      <w:r w:rsidRPr="00664C02">
        <w:rPr>
          <w:rFonts w:ascii="Calibri" w:eastAsia="Calibri" w:hAnsi="Calibri" w:cs="Times New Roman"/>
        </w:rPr>
        <w:t xml:space="preserve">Kontrola u příjemců byla provedena z hlediska </w:t>
      </w:r>
      <w:r w:rsidR="009D28E9">
        <w:rPr>
          <w:rFonts w:ascii="Calibri" w:eastAsia="Calibri" w:hAnsi="Calibri" w:cs="Times New Roman"/>
        </w:rPr>
        <w:t>účelnosti</w:t>
      </w:r>
      <w:r w:rsidR="00CA07A4">
        <w:rPr>
          <w:rFonts w:ascii="Calibri" w:eastAsia="Calibri" w:hAnsi="Calibri" w:cs="Times New Roman"/>
        </w:rPr>
        <w:t xml:space="preserve"> a</w:t>
      </w:r>
      <w:r w:rsidR="009D28E9">
        <w:rPr>
          <w:rFonts w:ascii="Calibri" w:eastAsia="Calibri" w:hAnsi="Calibri" w:cs="Times New Roman"/>
        </w:rPr>
        <w:t xml:space="preserve"> hospodárnosti </w:t>
      </w:r>
      <w:r w:rsidR="006E7731">
        <w:rPr>
          <w:rFonts w:ascii="Calibri" w:eastAsia="Calibri" w:hAnsi="Calibri" w:cs="Times New Roman"/>
        </w:rPr>
        <w:t>čerpaných</w:t>
      </w:r>
      <w:r w:rsidR="00CA07A4">
        <w:rPr>
          <w:rFonts w:ascii="Calibri" w:eastAsia="Calibri" w:hAnsi="Calibri" w:cs="Times New Roman"/>
        </w:rPr>
        <w:t xml:space="preserve"> </w:t>
      </w:r>
      <w:r w:rsidR="00C40D29">
        <w:rPr>
          <w:rFonts w:ascii="Calibri" w:eastAsia="Calibri" w:hAnsi="Calibri" w:cs="Times New Roman"/>
        </w:rPr>
        <w:t xml:space="preserve">peněžních </w:t>
      </w:r>
      <w:r w:rsidR="00CA07A4">
        <w:rPr>
          <w:rFonts w:ascii="Calibri" w:eastAsia="Calibri" w:hAnsi="Calibri" w:cs="Times New Roman"/>
        </w:rPr>
        <w:t>prostředků</w:t>
      </w:r>
      <w:r w:rsidR="00C40D29">
        <w:rPr>
          <w:rFonts w:ascii="Calibri" w:eastAsia="Calibri" w:hAnsi="Calibri" w:cs="Times New Roman"/>
        </w:rPr>
        <w:t xml:space="preserve"> státu</w:t>
      </w:r>
      <w:r w:rsidR="00CA07A4">
        <w:rPr>
          <w:rFonts w:ascii="Calibri" w:eastAsia="Calibri" w:hAnsi="Calibri" w:cs="Times New Roman"/>
        </w:rPr>
        <w:t xml:space="preserve"> </w:t>
      </w:r>
      <w:r w:rsidR="009D28E9">
        <w:rPr>
          <w:rFonts w:ascii="Calibri" w:eastAsia="Calibri" w:hAnsi="Calibri" w:cs="Times New Roman"/>
        </w:rPr>
        <w:t xml:space="preserve">a </w:t>
      </w:r>
      <w:r w:rsidRPr="00664C02">
        <w:rPr>
          <w:rFonts w:ascii="Calibri" w:eastAsia="Calibri" w:hAnsi="Calibri" w:cs="Times New Roman"/>
        </w:rPr>
        <w:t xml:space="preserve">souladu </w:t>
      </w:r>
      <w:r w:rsidR="00C40D29">
        <w:rPr>
          <w:rFonts w:ascii="Calibri" w:eastAsia="Calibri" w:hAnsi="Calibri" w:cs="Times New Roman"/>
        </w:rPr>
        <w:t xml:space="preserve">kontrolovaných činností </w:t>
      </w:r>
      <w:r w:rsidRPr="00664C02">
        <w:rPr>
          <w:rFonts w:ascii="Calibri" w:eastAsia="Calibri" w:hAnsi="Calibri" w:cs="Times New Roman"/>
        </w:rPr>
        <w:t>s právními předpisy.</w:t>
      </w:r>
      <w:r w:rsidR="006E7731">
        <w:rPr>
          <w:rFonts w:ascii="Calibri" w:eastAsia="Calibri" w:hAnsi="Calibri" w:cs="Times New Roman"/>
        </w:rPr>
        <w:t xml:space="preserve"> Ú</w:t>
      </w:r>
      <w:r w:rsidR="006E7731" w:rsidRPr="006E7731">
        <w:rPr>
          <w:rFonts w:ascii="Calibri" w:eastAsia="Calibri" w:hAnsi="Calibri" w:cs="Times New Roman"/>
        </w:rPr>
        <w:t xml:space="preserve">čelností </w:t>
      </w:r>
      <w:r w:rsidR="006E7731">
        <w:rPr>
          <w:rFonts w:ascii="Calibri" w:eastAsia="Calibri" w:hAnsi="Calibri" w:cs="Times New Roman"/>
        </w:rPr>
        <w:t xml:space="preserve">se rozumí </w:t>
      </w:r>
      <w:r w:rsidR="006E7731" w:rsidRPr="006E7731">
        <w:rPr>
          <w:rFonts w:ascii="Calibri" w:eastAsia="Calibri" w:hAnsi="Calibri" w:cs="Times New Roman"/>
        </w:rPr>
        <w:t>takové použití prostředků, které zajistí optimální míru dosažení cílů při plnění stanovených úkolů</w:t>
      </w:r>
      <w:r w:rsidR="006E7731">
        <w:rPr>
          <w:rFonts w:ascii="Calibri" w:eastAsia="Calibri" w:hAnsi="Calibri" w:cs="Times New Roman"/>
        </w:rPr>
        <w:t xml:space="preserve">, mimo jiné </w:t>
      </w:r>
      <w:r w:rsidR="006E7731" w:rsidRPr="00664C02">
        <w:rPr>
          <w:rFonts w:ascii="Calibri" w:eastAsia="Calibri" w:hAnsi="Calibri" w:cs="Times New Roman"/>
        </w:rPr>
        <w:t xml:space="preserve">výstupů projektů stanovených </w:t>
      </w:r>
      <w:r w:rsidR="006E7731">
        <w:rPr>
          <w:rFonts w:ascii="Calibri" w:eastAsia="Calibri" w:hAnsi="Calibri" w:cs="Times New Roman"/>
        </w:rPr>
        <w:t xml:space="preserve">poskytovateli dotací. </w:t>
      </w:r>
      <w:r w:rsidR="00C40D29">
        <w:rPr>
          <w:rFonts w:ascii="Calibri" w:eastAsia="Calibri" w:hAnsi="Calibri" w:cs="Times New Roman"/>
        </w:rPr>
        <w:t>H</w:t>
      </w:r>
      <w:r w:rsidR="005007B0">
        <w:rPr>
          <w:rFonts w:ascii="Calibri" w:eastAsia="Calibri" w:hAnsi="Calibri" w:cs="Times New Roman"/>
        </w:rPr>
        <w:t xml:space="preserve">ospodárnost </w:t>
      </w:r>
      <w:r w:rsidR="00C40D29">
        <w:rPr>
          <w:rFonts w:ascii="Calibri" w:eastAsia="Calibri" w:hAnsi="Calibri" w:cs="Times New Roman"/>
        </w:rPr>
        <w:t xml:space="preserve">projektů </w:t>
      </w:r>
      <w:r w:rsidR="005007B0">
        <w:rPr>
          <w:rFonts w:ascii="Calibri" w:eastAsia="Calibri" w:hAnsi="Calibri" w:cs="Times New Roman"/>
        </w:rPr>
        <w:t xml:space="preserve">byla posuzována </w:t>
      </w:r>
      <w:r w:rsidR="00C40D29">
        <w:rPr>
          <w:rFonts w:ascii="Calibri" w:eastAsia="Calibri" w:hAnsi="Calibri" w:cs="Times New Roman"/>
        </w:rPr>
        <w:t>z hlediska stanovení maximální ceny</w:t>
      </w:r>
      <w:r w:rsidR="00B36EDC">
        <w:rPr>
          <w:rFonts w:ascii="Calibri" w:eastAsia="Calibri" w:hAnsi="Calibri" w:cs="Times New Roman"/>
        </w:rPr>
        <w:t xml:space="preserve"> při dodržení odpovídající kvality</w:t>
      </w:r>
      <w:r w:rsidR="00C40D29">
        <w:rPr>
          <w:rFonts w:ascii="Calibri" w:eastAsia="Calibri" w:hAnsi="Calibri" w:cs="Times New Roman"/>
        </w:rPr>
        <w:t>, za kterou lze jednotlivé činnosti podporované oblasti uskutečnit</w:t>
      </w:r>
      <w:r w:rsidR="005007B0">
        <w:rPr>
          <w:rFonts w:ascii="Calibri" w:eastAsia="Calibri" w:hAnsi="Calibri" w:cs="Times New Roman"/>
        </w:rPr>
        <w:t xml:space="preserve">. </w:t>
      </w:r>
      <w:r w:rsidRPr="00664C02">
        <w:rPr>
          <w:rFonts w:ascii="Calibri" w:eastAsia="Calibri" w:hAnsi="Calibri" w:cs="Times New Roman"/>
        </w:rPr>
        <w:t xml:space="preserve">Z hlediska legality </w:t>
      </w:r>
      <w:r w:rsidR="005007B0">
        <w:rPr>
          <w:rFonts w:ascii="Calibri" w:eastAsia="Calibri" w:hAnsi="Calibri" w:cs="Times New Roman"/>
        </w:rPr>
        <w:t xml:space="preserve">pak </w:t>
      </w:r>
      <w:r w:rsidRPr="00664C02">
        <w:rPr>
          <w:rFonts w:ascii="Calibri" w:eastAsia="Calibri" w:hAnsi="Calibri" w:cs="Times New Roman"/>
        </w:rPr>
        <w:t>bylo prověřováno, zda peněžní prostředky státu na jednotlivé projekty byly čerpány v souladu s</w:t>
      </w:r>
      <w:r w:rsidR="00ED199B">
        <w:rPr>
          <w:rFonts w:ascii="Calibri" w:eastAsia="Calibri" w:hAnsi="Calibri" w:cs="Times New Roman"/>
        </w:rPr>
        <w:t> </w:t>
      </w:r>
      <w:r w:rsidRPr="00664C02">
        <w:rPr>
          <w:rFonts w:ascii="Calibri" w:eastAsia="Calibri" w:hAnsi="Calibri" w:cs="Times New Roman"/>
        </w:rPr>
        <w:t>právními předpisy, přičemž právní předpisy byly aplikovány ve znění účinném pro kontrolované období.</w:t>
      </w:r>
    </w:p>
    <w:p w14:paraId="2814D68C" w14:textId="2550E658" w:rsidR="00664C02" w:rsidRDefault="00664C02" w:rsidP="0007520C">
      <w:pPr>
        <w:spacing w:after="240"/>
        <w:jc w:val="both"/>
        <w:rPr>
          <w:rFonts w:ascii="Calibri" w:eastAsia="Calibri" w:hAnsi="Calibri" w:cs="Times New Roman"/>
        </w:rPr>
      </w:pPr>
      <w:r w:rsidRPr="00664C02">
        <w:rPr>
          <w:rFonts w:ascii="Calibri" w:eastAsia="Calibri" w:hAnsi="Calibri" w:cs="Times New Roman"/>
        </w:rPr>
        <w:t xml:space="preserve">Kontrolovaným obdobím byly roky 2016 až 2021, v případě věcných souvislostí i období předcházející a následující. Kontrola byla provedena u tří </w:t>
      </w:r>
      <w:r w:rsidR="00930738">
        <w:rPr>
          <w:rFonts w:ascii="Calibri" w:eastAsia="Calibri" w:hAnsi="Calibri" w:cs="Times New Roman"/>
        </w:rPr>
        <w:t>poskytovatelů dotací</w:t>
      </w:r>
      <w:r w:rsidRPr="00664C02">
        <w:rPr>
          <w:rFonts w:ascii="Calibri" w:eastAsia="Calibri" w:hAnsi="Calibri" w:cs="Times New Roman"/>
        </w:rPr>
        <w:t xml:space="preserve"> </w:t>
      </w:r>
      <w:r w:rsidR="00BC43B7">
        <w:rPr>
          <w:rFonts w:ascii="Calibri" w:eastAsia="Calibri" w:hAnsi="Calibri" w:cs="Times New Roman"/>
        </w:rPr>
        <w:t xml:space="preserve">neinvestičních </w:t>
      </w:r>
      <w:r w:rsidRPr="00664C02">
        <w:rPr>
          <w:rFonts w:ascii="Calibri" w:eastAsia="Calibri" w:hAnsi="Calibri" w:cs="Times New Roman"/>
        </w:rPr>
        <w:t xml:space="preserve">programů (MV, MK a </w:t>
      </w:r>
      <w:proofErr w:type="spellStart"/>
      <w:r w:rsidRPr="00664C02">
        <w:rPr>
          <w:rFonts w:ascii="Calibri" w:eastAsia="Calibri" w:hAnsi="Calibri" w:cs="Times New Roman"/>
        </w:rPr>
        <w:t>MZd</w:t>
      </w:r>
      <w:proofErr w:type="spellEnd"/>
      <w:r w:rsidRPr="00664C02">
        <w:rPr>
          <w:rFonts w:ascii="Calibri" w:eastAsia="Calibri" w:hAnsi="Calibri" w:cs="Times New Roman"/>
        </w:rPr>
        <w:t xml:space="preserve">) a u </w:t>
      </w:r>
      <w:r w:rsidRPr="00664C02">
        <w:rPr>
          <w:rFonts w:ascii="Calibri" w:eastAsia="Calibri" w:hAnsi="Calibri" w:cs="Calibri"/>
        </w:rPr>
        <w:t>tří</w:t>
      </w:r>
      <w:r w:rsidRPr="00664C02">
        <w:rPr>
          <w:rFonts w:ascii="Calibri" w:eastAsia="Calibri" w:hAnsi="Calibri" w:cs="Times New Roman"/>
        </w:rPr>
        <w:t xml:space="preserve"> příjemců </w:t>
      </w:r>
      <w:r w:rsidRPr="00664C02">
        <w:rPr>
          <w:rFonts w:ascii="Calibri" w:eastAsia="Calibri" w:hAnsi="Calibri" w:cs="Calibri"/>
        </w:rPr>
        <w:t>(Ústecký kraj, Fakultní nemocnice Bulovka a</w:t>
      </w:r>
      <w:r w:rsidR="00ED199B">
        <w:rPr>
          <w:rFonts w:ascii="Calibri" w:eastAsia="Calibri" w:hAnsi="Calibri" w:cs="Calibri"/>
        </w:rPr>
        <w:t> </w:t>
      </w:r>
      <w:r w:rsidRPr="00664C02">
        <w:rPr>
          <w:rFonts w:ascii="Calibri" w:eastAsia="Calibri" w:hAnsi="Calibri" w:cs="Calibri"/>
        </w:rPr>
        <w:t>Národní knihovna ČR)</w:t>
      </w:r>
      <w:r w:rsidR="00A83607">
        <w:rPr>
          <w:rFonts w:ascii="Calibri" w:eastAsia="Calibri" w:hAnsi="Calibri" w:cs="Calibri"/>
        </w:rPr>
        <w:t xml:space="preserve">. Kontrolovaní příjemci </w:t>
      </w:r>
      <w:r w:rsidRPr="00664C02">
        <w:rPr>
          <w:rFonts w:ascii="Calibri" w:eastAsia="Calibri" w:hAnsi="Calibri" w:cs="Times New Roman"/>
        </w:rPr>
        <w:t xml:space="preserve">celkem realizovali </w:t>
      </w:r>
      <w:r w:rsidRPr="00664C02">
        <w:rPr>
          <w:rFonts w:ascii="Calibri" w:eastAsia="Calibri" w:hAnsi="Calibri" w:cs="Calibri"/>
        </w:rPr>
        <w:t>23 projektů</w:t>
      </w:r>
      <w:r w:rsidRPr="00664C02">
        <w:rPr>
          <w:rFonts w:ascii="Calibri" w:eastAsia="Calibri" w:hAnsi="Calibri" w:cs="Times New Roman"/>
        </w:rPr>
        <w:t xml:space="preserve"> s celkovou výší poskytnuté dotace cca 7,2 mil. Kč. Vzorek kontrolovaných příjemců, resp. projektů</w:t>
      </w:r>
      <w:r w:rsidR="00C6548E">
        <w:rPr>
          <w:rFonts w:ascii="Calibri" w:eastAsia="Calibri" w:hAnsi="Calibri" w:cs="Times New Roman"/>
        </w:rPr>
        <w:t>,</w:t>
      </w:r>
      <w:r w:rsidRPr="00664C02">
        <w:rPr>
          <w:rFonts w:ascii="Calibri" w:eastAsia="Calibri" w:hAnsi="Calibri" w:cs="Times New Roman"/>
        </w:rPr>
        <w:t xml:space="preserve"> byl vybrán na základě typu příjemců, výše poskytnutých peněžních prostředků státu a zaměření projektů</w:t>
      </w:r>
      <w:r w:rsidR="00C20C89">
        <w:rPr>
          <w:rStyle w:val="Znakapoznpodarou"/>
          <w:rFonts w:ascii="Calibri" w:eastAsia="Calibri" w:hAnsi="Calibri" w:cs="Times New Roman"/>
        </w:rPr>
        <w:footnoteReference w:id="11"/>
      </w:r>
      <w:r w:rsidRPr="00664C02">
        <w:rPr>
          <w:rFonts w:ascii="Calibri" w:eastAsia="Calibri" w:hAnsi="Calibri" w:cs="Times New Roman"/>
        </w:rPr>
        <w:t xml:space="preserve">. </w:t>
      </w:r>
    </w:p>
    <w:p w14:paraId="74A77EFB" w14:textId="77777777" w:rsidR="00EF0338" w:rsidRDefault="00EF0338" w:rsidP="005B4E20">
      <w:pPr>
        <w:pStyle w:val="Nadpis1"/>
        <w:numPr>
          <w:ilvl w:val="0"/>
          <w:numId w:val="0"/>
        </w:numPr>
        <w:spacing w:before="600"/>
        <w:jc w:val="center"/>
      </w:pPr>
      <w:r>
        <w:t>IV. Podrobné skutečnosti zjištěné kontrolou</w:t>
      </w:r>
    </w:p>
    <w:p w14:paraId="6AD58A60" w14:textId="107DD222" w:rsidR="00DE6810" w:rsidRPr="00247673" w:rsidRDefault="00D701F1" w:rsidP="005B4E20">
      <w:pPr>
        <w:keepNext/>
        <w:shd w:val="clear" w:color="auto" w:fill="FFFFFF"/>
        <w:spacing w:after="120"/>
        <w:ind w:left="227" w:hanging="227"/>
        <w:rPr>
          <w:rFonts w:eastAsia="Calibri" w:cs="Calibri"/>
          <w:b/>
        </w:rPr>
      </w:pPr>
      <w:r w:rsidRPr="00247673">
        <w:rPr>
          <w:rFonts w:eastAsia="Calibri" w:cs="Calibri"/>
          <w:b/>
        </w:rPr>
        <w:t>1.</w:t>
      </w:r>
      <w:r w:rsidR="003D7610" w:rsidRPr="00247673">
        <w:rPr>
          <w:rFonts w:eastAsia="Calibri" w:cs="Calibri"/>
          <w:b/>
        </w:rPr>
        <w:t xml:space="preserve"> </w:t>
      </w:r>
      <w:r w:rsidR="00DE6810" w:rsidRPr="00247673">
        <w:rPr>
          <w:rFonts w:eastAsia="Calibri" w:cs="Calibri"/>
          <w:b/>
        </w:rPr>
        <w:t>MV stanovilo v Koncepci OMC</w:t>
      </w:r>
      <w:r w:rsidR="006A79F1" w:rsidRPr="00247673">
        <w:rPr>
          <w:rFonts w:eastAsia="Calibri" w:cs="Calibri"/>
          <w:b/>
        </w:rPr>
        <w:t xml:space="preserve"> </w:t>
      </w:r>
      <w:r w:rsidR="00DE6810" w:rsidRPr="00247673">
        <w:rPr>
          <w:rFonts w:eastAsia="Calibri" w:cs="Calibri"/>
          <w:b/>
        </w:rPr>
        <w:t>cíl bez měřitelných indikátorů</w:t>
      </w:r>
      <w:r w:rsidR="00754966" w:rsidRPr="00247673">
        <w:rPr>
          <w:rFonts w:eastAsia="Calibri" w:cs="Calibri"/>
          <w:b/>
        </w:rPr>
        <w:t xml:space="preserve">, </w:t>
      </w:r>
      <w:r w:rsidR="00164B22" w:rsidRPr="00247673">
        <w:rPr>
          <w:rFonts w:eastAsia="Calibri" w:cs="Calibri"/>
          <w:b/>
        </w:rPr>
        <w:t xml:space="preserve">nebude tak moci vyhodnotit </w:t>
      </w:r>
      <w:r w:rsidR="00754966" w:rsidRPr="00247673">
        <w:rPr>
          <w:rFonts w:eastAsia="Calibri" w:cs="Calibri"/>
          <w:b/>
        </w:rPr>
        <w:t>účelnost peněžních prostředků státu vynaložených na je</w:t>
      </w:r>
      <w:r w:rsidR="001A562E" w:rsidRPr="00247673">
        <w:rPr>
          <w:rFonts w:eastAsia="Calibri" w:cs="Calibri"/>
          <w:b/>
        </w:rPr>
        <w:t>ho</w:t>
      </w:r>
      <w:r w:rsidR="00754966" w:rsidRPr="00247673">
        <w:rPr>
          <w:rFonts w:eastAsia="Calibri" w:cs="Calibri"/>
          <w:b/>
        </w:rPr>
        <w:t xml:space="preserve"> plnění</w:t>
      </w:r>
      <w:r w:rsidR="00754966" w:rsidRPr="00247673">
        <w:rPr>
          <w:rFonts w:eastAsia="Calibri" w:cs="Calibri"/>
        </w:rPr>
        <w:t xml:space="preserve"> </w:t>
      </w:r>
    </w:p>
    <w:p w14:paraId="1D2A8501" w14:textId="5AE1C0F4" w:rsidR="00DE6810" w:rsidRPr="009B4E61" w:rsidRDefault="00164B22" w:rsidP="009B4E61">
      <w:pPr>
        <w:spacing w:after="120"/>
        <w:jc w:val="both"/>
        <w:rPr>
          <w:rFonts w:eastAsia="Calibri" w:cs="Calibri"/>
        </w:rPr>
      </w:pPr>
      <w:r>
        <w:rPr>
          <w:rFonts w:eastAsia="Calibri" w:cs="Calibri"/>
        </w:rPr>
        <w:t>Jedním z předpokladů</w:t>
      </w:r>
      <w:r w:rsidRPr="009B4E61">
        <w:rPr>
          <w:rFonts w:eastAsia="Calibri" w:cs="Calibri"/>
        </w:rPr>
        <w:t xml:space="preserve"> </w:t>
      </w:r>
      <w:r w:rsidR="00DE6810" w:rsidRPr="009B4E61">
        <w:rPr>
          <w:rFonts w:eastAsia="Calibri" w:cs="Calibri"/>
        </w:rPr>
        <w:t>pro účelné vynakládání peněžních prostředků státu na plnění cíl</w:t>
      </w:r>
      <w:r w:rsidR="004D2926">
        <w:rPr>
          <w:rFonts w:eastAsia="Calibri" w:cs="Calibri"/>
        </w:rPr>
        <w:t>e</w:t>
      </w:r>
      <w:r w:rsidR="00DE6810" w:rsidRPr="009B4E61">
        <w:rPr>
          <w:rFonts w:eastAsia="Calibri" w:cs="Calibri"/>
        </w:rPr>
        <w:t xml:space="preserve"> v oblasti OMC je </w:t>
      </w:r>
      <w:r w:rsidR="00997B14">
        <w:rPr>
          <w:rFonts w:eastAsia="Calibri" w:cs="Calibri"/>
        </w:rPr>
        <w:t xml:space="preserve">ze strany </w:t>
      </w:r>
      <w:r w:rsidR="00DE6810" w:rsidRPr="009B4E61">
        <w:rPr>
          <w:rFonts w:eastAsia="Calibri" w:cs="Calibri"/>
        </w:rPr>
        <w:t>zpracovatele koncepce</w:t>
      </w:r>
      <w:r w:rsidR="00851B4D" w:rsidRPr="009B4E61">
        <w:rPr>
          <w:rFonts w:eastAsia="Calibri" w:cs="Calibri"/>
        </w:rPr>
        <w:t xml:space="preserve">, tj. </w:t>
      </w:r>
      <w:r w:rsidR="00DE6810" w:rsidRPr="009B4E61">
        <w:rPr>
          <w:rFonts w:eastAsia="Calibri" w:cs="Calibri"/>
        </w:rPr>
        <w:t>MV</w:t>
      </w:r>
      <w:r w:rsidR="00311B3A">
        <w:rPr>
          <w:rFonts w:eastAsia="Calibri" w:cs="Calibri"/>
        </w:rPr>
        <w:t>,</w:t>
      </w:r>
      <w:r w:rsidR="00DE6810" w:rsidRPr="009B4E61">
        <w:rPr>
          <w:rFonts w:eastAsia="Calibri" w:cs="Calibri"/>
        </w:rPr>
        <w:t xml:space="preserve"> nastavit cíl měřitelně prostřednictvím indikátorů. Na základě jejich plnění pak může vyhodnotit účelnost peněžních prostředků státu vynaložených na splnění</w:t>
      </w:r>
      <w:r w:rsidR="00311B3A">
        <w:rPr>
          <w:rFonts w:eastAsia="Calibri" w:cs="Calibri"/>
        </w:rPr>
        <w:t xml:space="preserve"> cíle</w:t>
      </w:r>
      <w:r w:rsidR="00DE6810" w:rsidRPr="009B4E61">
        <w:rPr>
          <w:rFonts w:eastAsia="Calibri" w:cs="Calibri"/>
        </w:rPr>
        <w:t>.</w:t>
      </w:r>
    </w:p>
    <w:p w14:paraId="144271E2" w14:textId="4E7C5051" w:rsidR="004A486C" w:rsidRPr="009B4E61" w:rsidRDefault="00DE6810" w:rsidP="009B4E61">
      <w:pPr>
        <w:tabs>
          <w:tab w:val="left" w:pos="8820"/>
          <w:tab w:val="left" w:pos="9000"/>
          <w:tab w:val="left" w:pos="9720"/>
        </w:tabs>
        <w:autoSpaceDE w:val="0"/>
        <w:autoSpaceDN w:val="0"/>
        <w:adjustRightInd w:val="0"/>
        <w:spacing w:after="120"/>
        <w:jc w:val="both"/>
        <w:rPr>
          <w:rFonts w:eastAsia="Calibri" w:cs="Calibri"/>
          <w:iCs/>
          <w:lang w:eastAsia="cs-CZ"/>
        </w:rPr>
      </w:pPr>
      <w:r w:rsidRPr="009B4E61">
        <w:rPr>
          <w:rFonts w:eastAsia="Calibri" w:cs="Calibri"/>
        </w:rPr>
        <w:t xml:space="preserve">MV řeší </w:t>
      </w:r>
      <w:r w:rsidRPr="009B4E61">
        <w:rPr>
          <w:rFonts w:eastAsia="Calibri" w:cs="Calibri"/>
          <w:lang w:eastAsia="cs-CZ"/>
        </w:rPr>
        <w:t xml:space="preserve">téma </w:t>
      </w:r>
      <w:r w:rsidR="00851B4D" w:rsidRPr="009B4E61">
        <w:rPr>
          <w:rFonts w:eastAsia="Calibri" w:cs="Calibri"/>
        </w:rPr>
        <w:t>OMC</w:t>
      </w:r>
      <w:r w:rsidR="00851B4D" w:rsidRPr="009B4E61">
        <w:rPr>
          <w:rFonts w:eastAsia="Calibri" w:cs="Calibri"/>
          <w:lang w:eastAsia="cs-CZ"/>
        </w:rPr>
        <w:t xml:space="preserve"> </w:t>
      </w:r>
      <w:r w:rsidRPr="009B4E61">
        <w:rPr>
          <w:rFonts w:eastAsia="Calibri" w:cs="Calibri"/>
          <w:lang w:eastAsia="cs-CZ"/>
        </w:rPr>
        <w:t xml:space="preserve">od roku 2010, kdy byla vládou schválena </w:t>
      </w:r>
      <w:r w:rsidRPr="009B4E61">
        <w:rPr>
          <w:rFonts w:eastAsia="Calibri" w:cs="Calibri"/>
          <w:i/>
          <w:iCs/>
          <w:color w:val="000000"/>
          <w:lang w:eastAsia="cs-CZ"/>
        </w:rPr>
        <w:t>Strategie boje proti terorismu pro léta 2010–</w:t>
      </w:r>
      <w:r w:rsidR="00367D6C" w:rsidRPr="009B4E61">
        <w:rPr>
          <w:rFonts w:eastAsia="Calibri" w:cs="Calibri"/>
          <w:i/>
          <w:iCs/>
          <w:color w:val="000000"/>
          <w:lang w:eastAsia="cs-CZ"/>
        </w:rPr>
        <w:t>2012</w:t>
      </w:r>
      <w:r w:rsidR="00367D6C">
        <w:rPr>
          <w:rFonts w:eastAsia="Calibri" w:cs="Calibri"/>
          <w:i/>
          <w:iCs/>
          <w:color w:val="000000"/>
          <w:vertAlign w:val="superscript"/>
          <w:lang w:eastAsia="cs-CZ"/>
        </w:rPr>
        <w:t>5</w:t>
      </w:r>
      <w:r w:rsidR="00C50618" w:rsidRPr="009B4E61">
        <w:rPr>
          <w:rFonts w:eastAsia="Calibri" w:cs="Calibri"/>
          <w:i/>
          <w:iCs/>
          <w:color w:val="000000"/>
          <w:lang w:eastAsia="cs-CZ"/>
        </w:rPr>
        <w:t>.</w:t>
      </w:r>
      <w:r w:rsidRPr="009B4E61">
        <w:rPr>
          <w:rFonts w:eastAsia="Calibri" w:cs="Calibri"/>
          <w:i/>
          <w:iCs/>
          <w:color w:val="000000"/>
          <w:lang w:eastAsia="cs-CZ"/>
        </w:rPr>
        <w:t xml:space="preserve"> </w:t>
      </w:r>
      <w:r w:rsidRPr="009B4E61">
        <w:rPr>
          <w:rFonts w:eastAsia="Calibri" w:cs="Times New Roman"/>
        </w:rPr>
        <w:t>V</w:t>
      </w:r>
      <w:r w:rsidR="00C50618" w:rsidRPr="009B4E61">
        <w:rPr>
          <w:rFonts w:eastAsia="Calibri" w:cs="Times New Roman"/>
        </w:rPr>
        <w:t>e strategii</w:t>
      </w:r>
      <w:r w:rsidRPr="009B4E61">
        <w:rPr>
          <w:rFonts w:eastAsia="Calibri" w:cs="Times New Roman"/>
        </w:rPr>
        <w:t xml:space="preserve"> mj. uvedlo, že téma ochrany tzv. měkkých cílů je aktuální výzvou. </w:t>
      </w:r>
      <w:r w:rsidRPr="009B4E61">
        <w:rPr>
          <w:rFonts w:eastAsia="Calibri" w:cs="Calibri"/>
          <w:lang w:eastAsia="cs-CZ"/>
        </w:rPr>
        <w:t>T</w:t>
      </w:r>
      <w:r w:rsidR="00486A42" w:rsidRPr="009B4E61">
        <w:rPr>
          <w:rFonts w:eastAsia="Calibri" w:cs="Calibri"/>
          <w:lang w:eastAsia="cs-CZ"/>
        </w:rPr>
        <w:t>uto skutečnost</w:t>
      </w:r>
      <w:r w:rsidRPr="009B4E61">
        <w:rPr>
          <w:rFonts w:eastAsia="Calibri" w:cs="Calibri"/>
          <w:lang w:eastAsia="cs-CZ"/>
        </w:rPr>
        <w:t xml:space="preserve"> potvrdil v roce 2016 např. </w:t>
      </w:r>
      <w:r w:rsidRPr="009B4E61">
        <w:rPr>
          <w:rFonts w:eastAsia="Calibri" w:cs="Calibri"/>
          <w:i/>
          <w:iCs/>
          <w:lang w:eastAsia="cs-CZ"/>
        </w:rPr>
        <w:t>Audit národní bezpečnosti</w:t>
      </w:r>
      <w:r w:rsidRPr="00F26667">
        <w:rPr>
          <w:rFonts w:eastAsia="Calibri" w:cs="Calibri"/>
          <w:i/>
          <w:iCs/>
          <w:vertAlign w:val="superscript"/>
          <w:lang w:eastAsia="cs-CZ"/>
        </w:rPr>
        <w:footnoteReference w:id="12"/>
      </w:r>
      <w:r w:rsidRPr="009B4E61">
        <w:rPr>
          <w:rFonts w:eastAsia="Calibri" w:cs="Calibri"/>
          <w:iCs/>
          <w:lang w:eastAsia="cs-CZ"/>
        </w:rPr>
        <w:t xml:space="preserve">, ve kterém MV uvedlo, že </w:t>
      </w:r>
      <w:r w:rsidRPr="009B4E61">
        <w:rPr>
          <w:rFonts w:eastAsia="Calibri" w:cs="Times New Roman"/>
        </w:rPr>
        <w:t xml:space="preserve">právě měkké cíle jsou zřejmě nejpravděpodobnějším terčem možného teroristického útoku na českém území. </w:t>
      </w:r>
      <w:r w:rsidR="004A486C" w:rsidRPr="009B4E61">
        <w:rPr>
          <w:rFonts w:eastAsia="Calibri" w:cs="Times New Roman"/>
        </w:rPr>
        <w:t xml:space="preserve">Ochrana </w:t>
      </w:r>
      <w:r w:rsidR="004A486C" w:rsidRPr="009B4E61">
        <w:rPr>
          <w:rFonts w:eastAsia="Calibri" w:cs="Calibri"/>
          <w:lang w:eastAsia="cs-CZ"/>
        </w:rPr>
        <w:t xml:space="preserve">měkkých cílů byla </w:t>
      </w:r>
      <w:r w:rsidR="00C21F7A" w:rsidRPr="009B4E61">
        <w:rPr>
          <w:rFonts w:eastAsia="Calibri" w:cs="Calibri"/>
          <w:lang w:eastAsia="cs-CZ"/>
        </w:rPr>
        <w:t xml:space="preserve">přesto </w:t>
      </w:r>
      <w:r w:rsidR="004A486C" w:rsidRPr="009B4E61">
        <w:rPr>
          <w:rFonts w:eastAsia="Calibri" w:cs="Calibri"/>
          <w:lang w:eastAsia="cs-CZ"/>
        </w:rPr>
        <w:t xml:space="preserve">do </w:t>
      </w:r>
      <w:r w:rsidR="006B098A" w:rsidRPr="009B4E61">
        <w:rPr>
          <w:rFonts w:eastAsia="Calibri" w:cs="Calibri"/>
          <w:lang w:eastAsia="cs-CZ"/>
        </w:rPr>
        <w:t xml:space="preserve">konce </w:t>
      </w:r>
      <w:r w:rsidR="004A486C" w:rsidRPr="009B4E61">
        <w:rPr>
          <w:rFonts w:eastAsia="Calibri" w:cs="Calibri"/>
          <w:lang w:eastAsia="cs-CZ"/>
        </w:rPr>
        <w:t>roku 201</w:t>
      </w:r>
      <w:r w:rsidR="006B098A" w:rsidRPr="009B4E61">
        <w:rPr>
          <w:rFonts w:eastAsia="Calibri" w:cs="Calibri"/>
          <w:lang w:eastAsia="cs-CZ"/>
        </w:rPr>
        <w:t>6</w:t>
      </w:r>
      <w:r w:rsidR="00C21F7A" w:rsidRPr="009B4E61">
        <w:rPr>
          <w:rFonts w:eastAsia="Calibri" w:cs="Calibri"/>
          <w:lang w:eastAsia="cs-CZ"/>
        </w:rPr>
        <w:t xml:space="preserve"> </w:t>
      </w:r>
      <w:r w:rsidR="00C21F7A" w:rsidRPr="009B4E61">
        <w:rPr>
          <w:rFonts w:eastAsia="Calibri" w:cs="Calibri"/>
          <w:iCs/>
          <w:lang w:eastAsia="cs-CZ"/>
        </w:rPr>
        <w:t>pojata</w:t>
      </w:r>
      <w:r w:rsidR="006B098A" w:rsidRPr="009B4E61">
        <w:rPr>
          <w:rFonts w:eastAsia="Calibri" w:cs="Calibri"/>
          <w:iCs/>
          <w:lang w:eastAsia="cs-CZ"/>
        </w:rPr>
        <w:t xml:space="preserve"> MV</w:t>
      </w:r>
      <w:r w:rsidR="00C21F7A" w:rsidRPr="009B4E61">
        <w:rPr>
          <w:rFonts w:eastAsia="Calibri" w:cs="Calibri"/>
          <w:lang w:eastAsia="cs-CZ"/>
        </w:rPr>
        <w:t xml:space="preserve"> </w:t>
      </w:r>
      <w:r w:rsidR="004A486C" w:rsidRPr="009B4E61">
        <w:rPr>
          <w:rFonts w:eastAsia="Calibri" w:cs="Calibri"/>
          <w:lang w:eastAsia="cs-CZ"/>
        </w:rPr>
        <w:t xml:space="preserve">v koncepčních dokumentech </w:t>
      </w:r>
      <w:r w:rsidR="00C21F7A" w:rsidRPr="009B4E61">
        <w:rPr>
          <w:rFonts w:eastAsia="Calibri" w:cs="Calibri"/>
          <w:lang w:eastAsia="cs-CZ"/>
        </w:rPr>
        <w:t xml:space="preserve">bezpečnostní politiky </w:t>
      </w:r>
      <w:r w:rsidR="004A486C" w:rsidRPr="009B4E61">
        <w:rPr>
          <w:rFonts w:eastAsia="Calibri" w:cs="Calibri"/>
          <w:iCs/>
          <w:lang w:eastAsia="cs-CZ"/>
        </w:rPr>
        <w:t>obecně bez konkrétních cílů a opatření.</w:t>
      </w:r>
    </w:p>
    <w:p w14:paraId="5417A94B" w14:textId="32D7328F" w:rsidR="004A486C" w:rsidRPr="00EE4051" w:rsidRDefault="00997B14" w:rsidP="009B4E61">
      <w:pPr>
        <w:autoSpaceDE w:val="0"/>
        <w:autoSpaceDN w:val="0"/>
        <w:adjustRightInd w:val="0"/>
        <w:spacing w:after="120"/>
        <w:jc w:val="both"/>
        <w:rPr>
          <w:rFonts w:eastAsia="Calibri" w:cs="Times New Roman"/>
        </w:rPr>
      </w:pPr>
      <w:r>
        <w:rPr>
          <w:rFonts w:eastAsia="Calibri" w:cs="Calibri"/>
          <w:iCs/>
          <w:lang w:eastAsia="cs-CZ"/>
        </w:rPr>
        <w:t>V roce 2017 MV zpracovalo Koncepci OMC, která byla schválena UV č. 293</w:t>
      </w:r>
      <w:r>
        <w:rPr>
          <w:rFonts w:eastAsia="Calibri" w:cs="Calibri"/>
          <w:iCs/>
          <w:vertAlign w:val="superscript"/>
          <w:lang w:eastAsia="cs-CZ"/>
        </w:rPr>
        <w:t>6</w:t>
      </w:r>
      <w:r w:rsidR="000A3C84" w:rsidRPr="009B4E61">
        <w:rPr>
          <w:rFonts w:eastAsia="Calibri" w:cs="Calibri"/>
          <w:iCs/>
          <w:lang w:eastAsia="cs-CZ"/>
        </w:rPr>
        <w:t xml:space="preserve">. </w:t>
      </w:r>
      <w:r w:rsidR="00C21F7A" w:rsidRPr="009B4E61">
        <w:rPr>
          <w:rFonts w:eastAsia="Calibri" w:cs="Calibri"/>
          <w:iCs/>
          <w:lang w:eastAsia="cs-CZ"/>
        </w:rPr>
        <w:t>C</w:t>
      </w:r>
      <w:r w:rsidR="004A486C" w:rsidRPr="009B4E61">
        <w:rPr>
          <w:rFonts w:eastAsia="Calibri" w:cs="Calibri"/>
          <w:iCs/>
          <w:lang w:eastAsia="cs-CZ"/>
        </w:rPr>
        <w:t xml:space="preserve">ílem koncepce </w:t>
      </w:r>
      <w:r w:rsidR="00C21F7A" w:rsidRPr="009B4E61">
        <w:rPr>
          <w:rFonts w:eastAsia="Calibri" w:cs="Calibri"/>
          <w:iCs/>
          <w:lang w:eastAsia="cs-CZ"/>
        </w:rPr>
        <w:t>bylo</w:t>
      </w:r>
      <w:r w:rsidR="004A486C" w:rsidRPr="009B4E61">
        <w:rPr>
          <w:rFonts w:eastAsia="Calibri" w:cs="Calibri"/>
          <w:iCs/>
          <w:lang w:eastAsia="cs-CZ"/>
        </w:rPr>
        <w:t xml:space="preserve"> </w:t>
      </w:r>
      <w:r w:rsidR="004A486C" w:rsidRPr="009B4E61">
        <w:rPr>
          <w:rFonts w:eastAsia="Calibri" w:cs="Times New Roman"/>
        </w:rPr>
        <w:t xml:space="preserve">vytvoření fungujícího národního systému </w:t>
      </w:r>
      <w:r w:rsidR="000A3C84" w:rsidRPr="009B4E61">
        <w:rPr>
          <w:rFonts w:eastAsia="Calibri" w:cs="Times New Roman"/>
        </w:rPr>
        <w:t>OMC</w:t>
      </w:r>
      <w:r w:rsidR="004A486C" w:rsidRPr="009B4E61">
        <w:rPr>
          <w:rFonts w:eastAsia="Calibri" w:cs="Times New Roman"/>
        </w:rPr>
        <w:t>, díky kterému bude možné pružně, komplexně a rychle reagovat na hrozby útoků na měkké cíle vyplývající ze situace jak v zahraničí, tak v ČR. MV dále</w:t>
      </w:r>
      <w:r w:rsidR="00164B22">
        <w:rPr>
          <w:rFonts w:eastAsia="Calibri" w:cs="Times New Roman"/>
        </w:rPr>
        <w:t xml:space="preserve"> v Koncepci OMC</w:t>
      </w:r>
      <w:r w:rsidR="004A486C" w:rsidRPr="009B4E61">
        <w:rPr>
          <w:rFonts w:eastAsia="Calibri" w:cs="Times New Roman"/>
        </w:rPr>
        <w:t xml:space="preserve"> uvedlo</w:t>
      </w:r>
      <w:r w:rsidR="00EE4051">
        <w:rPr>
          <w:rFonts w:eastAsia="Calibri" w:cs="Times New Roman"/>
        </w:rPr>
        <w:t xml:space="preserve">, že </w:t>
      </w:r>
      <w:r w:rsidR="004A486C" w:rsidRPr="00EE4051">
        <w:rPr>
          <w:rFonts w:eastAsia="Calibri" w:cs="Calibri"/>
          <w:color w:val="000000"/>
          <w:lang w:eastAsia="cs-CZ"/>
        </w:rPr>
        <w:t xml:space="preserve">pomocí národního systému </w:t>
      </w:r>
      <w:r>
        <w:rPr>
          <w:rFonts w:eastAsia="Calibri" w:cs="Calibri"/>
          <w:color w:val="000000"/>
          <w:lang w:eastAsia="cs-CZ"/>
        </w:rPr>
        <w:t>OMC</w:t>
      </w:r>
      <w:r w:rsidR="004A486C" w:rsidRPr="00EE4051">
        <w:rPr>
          <w:rFonts w:eastAsia="Calibri" w:cs="Calibri"/>
          <w:color w:val="000000"/>
          <w:lang w:eastAsia="cs-CZ"/>
        </w:rPr>
        <w:t xml:space="preserve"> </w:t>
      </w:r>
      <w:r w:rsidR="00EE4051" w:rsidRPr="00EE4051">
        <w:rPr>
          <w:rFonts w:eastAsia="Calibri" w:cs="Calibri"/>
          <w:color w:val="000000"/>
          <w:lang w:eastAsia="cs-CZ"/>
        </w:rPr>
        <w:t xml:space="preserve">chce </w:t>
      </w:r>
      <w:r w:rsidR="004A486C" w:rsidRPr="00EE4051">
        <w:rPr>
          <w:rFonts w:eastAsia="Calibri" w:cs="Calibri"/>
          <w:color w:val="000000"/>
          <w:lang w:eastAsia="cs-CZ"/>
        </w:rPr>
        <w:t>dosáhnout stavu, kdy bude podstatná část měkkých cílů v</w:t>
      </w:r>
      <w:r w:rsidR="00EE4051">
        <w:rPr>
          <w:rFonts w:eastAsia="Calibri" w:cs="Calibri"/>
          <w:color w:val="000000"/>
          <w:lang w:eastAsia="cs-CZ"/>
        </w:rPr>
        <w:t xml:space="preserve"> ČR </w:t>
      </w:r>
      <w:r w:rsidR="004A486C" w:rsidRPr="00EE4051">
        <w:rPr>
          <w:rFonts w:eastAsia="Calibri" w:cs="Calibri"/>
          <w:color w:val="000000"/>
          <w:lang w:eastAsia="cs-CZ"/>
        </w:rPr>
        <w:t xml:space="preserve">potenciálně ohrožených teroristickým či obdobným útokem připravena na něj zareagovat tak, že budou případné škody násobně nižší, než kdyby je zastihl nepřipravené. </w:t>
      </w:r>
      <w:r w:rsidR="004A486C" w:rsidRPr="00EE4051">
        <w:rPr>
          <w:rFonts w:eastAsia="Calibri" w:cs="Calibri"/>
          <w:iCs/>
          <w:color w:val="000000"/>
          <w:lang w:eastAsia="cs-CZ"/>
        </w:rPr>
        <w:t xml:space="preserve"> </w:t>
      </w:r>
    </w:p>
    <w:p w14:paraId="02F88EA5" w14:textId="45BBD595" w:rsidR="00754966" w:rsidRPr="009B4E61" w:rsidRDefault="004A486C" w:rsidP="009B4E61">
      <w:pPr>
        <w:autoSpaceDE w:val="0"/>
        <w:autoSpaceDN w:val="0"/>
        <w:adjustRightInd w:val="0"/>
        <w:spacing w:after="120"/>
        <w:jc w:val="both"/>
        <w:rPr>
          <w:rFonts w:eastAsia="Calibri" w:cs="Calibri"/>
        </w:rPr>
      </w:pPr>
      <w:r w:rsidRPr="009B4E61">
        <w:rPr>
          <w:rFonts w:eastAsia="Calibri" w:cs="Calibri"/>
        </w:rPr>
        <w:t>MV nestanovilo žádné měřitelné indikátory plnění cíl</w:t>
      </w:r>
      <w:r w:rsidR="004D2926">
        <w:rPr>
          <w:rFonts w:eastAsia="Calibri" w:cs="Calibri"/>
        </w:rPr>
        <w:t>e</w:t>
      </w:r>
      <w:r w:rsidR="00FD48F1" w:rsidRPr="009B4E61">
        <w:rPr>
          <w:rFonts w:eastAsia="Calibri" w:cs="Calibri"/>
        </w:rPr>
        <w:t xml:space="preserve"> </w:t>
      </w:r>
      <w:r w:rsidR="00311B3A">
        <w:rPr>
          <w:rFonts w:eastAsia="Calibri" w:cs="Calibri"/>
        </w:rPr>
        <w:t>K</w:t>
      </w:r>
      <w:r w:rsidR="00FD48F1" w:rsidRPr="009B4E61">
        <w:rPr>
          <w:rFonts w:eastAsia="Calibri" w:cs="Calibri"/>
        </w:rPr>
        <w:t>oncepce</w:t>
      </w:r>
      <w:r w:rsidR="00311B3A">
        <w:rPr>
          <w:rFonts w:eastAsia="Calibri" w:cs="Calibri"/>
        </w:rPr>
        <w:t xml:space="preserve"> OMC</w:t>
      </w:r>
      <w:r w:rsidR="000A3C84" w:rsidRPr="009B4E61">
        <w:rPr>
          <w:rFonts w:eastAsia="Calibri" w:cs="Calibri"/>
        </w:rPr>
        <w:t>,</w:t>
      </w:r>
      <w:r w:rsidRPr="009B4E61">
        <w:rPr>
          <w:rFonts w:eastAsia="Calibri" w:cs="Calibri"/>
        </w:rPr>
        <w:t xml:space="preserve"> </w:t>
      </w:r>
      <w:r w:rsidR="00B13A32">
        <w:rPr>
          <w:rFonts w:eastAsia="Calibri" w:cs="Calibri"/>
        </w:rPr>
        <w:t xml:space="preserve">jejichž </w:t>
      </w:r>
      <w:r w:rsidRPr="009B4E61">
        <w:rPr>
          <w:rFonts w:eastAsia="Calibri" w:cs="Calibri"/>
        </w:rPr>
        <w:t>prostřednictvím by následně posoudilo je</w:t>
      </w:r>
      <w:r w:rsidR="004D2926">
        <w:rPr>
          <w:rFonts w:eastAsia="Calibri" w:cs="Calibri"/>
        </w:rPr>
        <w:t>ho</w:t>
      </w:r>
      <w:r w:rsidRPr="009B4E61">
        <w:rPr>
          <w:rFonts w:eastAsia="Calibri" w:cs="Calibri"/>
        </w:rPr>
        <w:t xml:space="preserve"> naplnění. </w:t>
      </w:r>
      <w:r w:rsidR="00014C50" w:rsidRPr="009B4E61">
        <w:rPr>
          <w:rFonts w:eastAsia="Calibri" w:cs="Calibri"/>
        </w:rPr>
        <w:t>MV také nedoložilo</w:t>
      </w:r>
      <w:r w:rsidR="00493B5E" w:rsidRPr="009B4E61">
        <w:rPr>
          <w:rFonts w:eastAsia="Calibri" w:cs="Calibri"/>
        </w:rPr>
        <w:t xml:space="preserve"> </w:t>
      </w:r>
      <w:r w:rsidR="00014C50" w:rsidRPr="009B4E61">
        <w:rPr>
          <w:rFonts w:eastAsia="Calibri" w:cs="Calibri"/>
        </w:rPr>
        <w:t xml:space="preserve">na základě jakých údajů stanovilo např. výše uvedený cíl v podobě zabezpečení připravenosti „podstatné“ části </w:t>
      </w:r>
      <w:r w:rsidR="003459C7" w:rsidRPr="009B4E61">
        <w:rPr>
          <w:rFonts w:eastAsia="Calibri" w:cs="Calibri"/>
        </w:rPr>
        <w:t>MC</w:t>
      </w:r>
      <w:r w:rsidR="00014C50" w:rsidRPr="009B4E61">
        <w:rPr>
          <w:rFonts w:eastAsia="Calibri" w:cs="Calibri"/>
        </w:rPr>
        <w:t xml:space="preserve"> v ČR. </w:t>
      </w:r>
      <w:r w:rsidRPr="009B4E61">
        <w:rPr>
          <w:rFonts w:eastAsia="Calibri" w:cs="Calibri"/>
        </w:rPr>
        <w:t>MV nedisponovalo ani rámcovým počtem měkkých cílů v ČR, a to jak v oblasti vnitřní bezpečnosti</w:t>
      </w:r>
      <w:r w:rsidR="00FD48F1" w:rsidRPr="009B4E61">
        <w:rPr>
          <w:rFonts w:eastAsia="Calibri" w:cs="Calibri"/>
        </w:rPr>
        <w:t>,</w:t>
      </w:r>
      <w:r w:rsidRPr="009B4E61">
        <w:rPr>
          <w:rFonts w:eastAsia="Calibri" w:cs="Calibri"/>
        </w:rPr>
        <w:t xml:space="preserve"> tj. např. školy nebo veřejná prostranství, tak v oblasti kultur</w:t>
      </w:r>
      <w:r w:rsidR="00311B3A">
        <w:rPr>
          <w:rFonts w:eastAsia="Calibri" w:cs="Calibri"/>
        </w:rPr>
        <w:t xml:space="preserve">y </w:t>
      </w:r>
      <w:r w:rsidRPr="009B4E61">
        <w:rPr>
          <w:rFonts w:eastAsia="Calibri" w:cs="Calibri"/>
        </w:rPr>
        <w:t xml:space="preserve">nebo </w:t>
      </w:r>
      <w:r w:rsidR="00311B3A">
        <w:rPr>
          <w:rFonts w:eastAsia="Calibri" w:cs="Calibri"/>
        </w:rPr>
        <w:t>zdravotnictví</w:t>
      </w:r>
      <w:r w:rsidRPr="009B4E61">
        <w:rPr>
          <w:rFonts w:eastAsia="Calibri" w:cs="Calibri"/>
        </w:rPr>
        <w:t>.</w:t>
      </w:r>
      <w:r w:rsidR="00544F90" w:rsidRPr="009B4E61">
        <w:rPr>
          <w:rFonts w:eastAsia="Calibri" w:cs="Calibri"/>
        </w:rPr>
        <w:t xml:space="preserve"> </w:t>
      </w:r>
    </w:p>
    <w:p w14:paraId="793BA9B8" w14:textId="77777777" w:rsidR="00DD2418" w:rsidRDefault="004A486C" w:rsidP="00ED1C62">
      <w:pPr>
        <w:autoSpaceDE w:val="0"/>
        <w:autoSpaceDN w:val="0"/>
        <w:adjustRightInd w:val="0"/>
        <w:spacing w:after="120"/>
        <w:jc w:val="both"/>
        <w:rPr>
          <w:rFonts w:eastAsia="Calibri" w:cs="Calibri"/>
        </w:rPr>
      </w:pPr>
      <w:r w:rsidRPr="009B4E61">
        <w:rPr>
          <w:rFonts w:eastAsia="Calibri" w:cs="Calibri"/>
        </w:rPr>
        <w:t xml:space="preserve">MV </w:t>
      </w:r>
      <w:r w:rsidR="000A3C84" w:rsidRPr="009B4E61">
        <w:rPr>
          <w:rFonts w:eastAsia="Calibri" w:cs="Calibri"/>
        </w:rPr>
        <w:t>tak</w:t>
      </w:r>
      <w:r w:rsidR="00164B22">
        <w:rPr>
          <w:rFonts w:eastAsia="Calibri" w:cs="Calibri"/>
        </w:rPr>
        <w:t xml:space="preserve"> nebude moci vyhodnotit</w:t>
      </w:r>
      <w:r w:rsidRPr="009B4E61">
        <w:rPr>
          <w:rFonts w:eastAsia="Calibri" w:cs="Calibri"/>
        </w:rPr>
        <w:t xml:space="preserve"> cíl </w:t>
      </w:r>
      <w:r w:rsidR="004D2926">
        <w:rPr>
          <w:rFonts w:eastAsia="Calibri" w:cs="Calibri"/>
        </w:rPr>
        <w:t>K</w:t>
      </w:r>
      <w:r w:rsidR="000A3C84" w:rsidRPr="009B4E61">
        <w:rPr>
          <w:rFonts w:eastAsia="Calibri" w:cs="Calibri"/>
        </w:rPr>
        <w:t>oncepce</w:t>
      </w:r>
      <w:r w:rsidR="004D2926">
        <w:rPr>
          <w:rFonts w:eastAsia="Calibri" w:cs="Calibri"/>
        </w:rPr>
        <w:t xml:space="preserve"> OMC</w:t>
      </w:r>
      <w:r w:rsidRPr="009B4E61">
        <w:rPr>
          <w:rFonts w:eastAsia="Calibri" w:cs="Calibri"/>
        </w:rPr>
        <w:t xml:space="preserve"> ani účelnost vynaložených peněžních prostředků státu. Toto vyhodnocení </w:t>
      </w:r>
      <w:r w:rsidR="00544F90" w:rsidRPr="009B4E61">
        <w:rPr>
          <w:rFonts w:eastAsia="Calibri" w:cs="Calibri"/>
        </w:rPr>
        <w:t xml:space="preserve">přitom </w:t>
      </w:r>
      <w:r w:rsidRPr="009B4E61">
        <w:rPr>
          <w:rFonts w:eastAsia="Calibri" w:cs="Calibri"/>
        </w:rPr>
        <w:t>mělo být mj. jedním ze vstupních údajů pro realizaci navazujících investičních programů</w:t>
      </w:r>
      <w:r w:rsidR="00544F90" w:rsidRPr="009B4E61">
        <w:rPr>
          <w:rFonts w:eastAsia="Calibri" w:cs="Calibri"/>
        </w:rPr>
        <w:t xml:space="preserve">, neboť MV předpokládalo, že </w:t>
      </w:r>
      <w:r w:rsidR="00544F90" w:rsidRPr="009B4E61">
        <w:rPr>
          <w:rFonts w:eastAsia="Calibri" w:cstheme="minorHAnsi"/>
        </w:rPr>
        <w:t xml:space="preserve">poskytování dotační podpory </w:t>
      </w:r>
      <w:r w:rsidR="00EE4051">
        <w:rPr>
          <w:rFonts w:eastAsia="Calibri" w:cstheme="minorHAnsi"/>
        </w:rPr>
        <w:t xml:space="preserve">ochrany </w:t>
      </w:r>
      <w:r w:rsidR="00544F90" w:rsidRPr="009B4E61">
        <w:rPr>
          <w:rFonts w:eastAsia="Calibri" w:cstheme="minorHAnsi"/>
        </w:rPr>
        <w:t>měkkých cílů bude kontinuální proces.</w:t>
      </w:r>
      <w:r w:rsidR="00DD2418">
        <w:rPr>
          <w:rFonts w:eastAsia="Calibri" w:cs="Calibri"/>
        </w:rPr>
        <w:t xml:space="preserve"> </w:t>
      </w:r>
    </w:p>
    <w:p w14:paraId="147397D8" w14:textId="51FD90B1" w:rsidR="00ED1C62" w:rsidRPr="00DD2418" w:rsidRDefault="004A486C" w:rsidP="00ED1C62">
      <w:pPr>
        <w:autoSpaceDE w:val="0"/>
        <w:autoSpaceDN w:val="0"/>
        <w:adjustRightInd w:val="0"/>
        <w:spacing w:after="120"/>
        <w:jc w:val="both"/>
        <w:rPr>
          <w:rFonts w:eastAsia="Calibri" w:cs="Calibri"/>
        </w:rPr>
      </w:pPr>
      <w:r w:rsidRPr="009B4E61">
        <w:rPr>
          <w:rFonts w:eastAsia="Calibri" w:cstheme="minorHAnsi"/>
        </w:rPr>
        <w:t xml:space="preserve">Období trvání </w:t>
      </w:r>
      <w:r w:rsidR="003459C7" w:rsidRPr="009B4E61">
        <w:rPr>
          <w:rFonts w:eastAsia="Calibri" w:cstheme="minorHAnsi"/>
        </w:rPr>
        <w:t>Koncepce OMC</w:t>
      </w:r>
      <w:r w:rsidRPr="009B4E61">
        <w:rPr>
          <w:rFonts w:eastAsia="Calibri" w:cstheme="minorHAnsi"/>
        </w:rPr>
        <w:t xml:space="preserve"> stanovilo MV na </w:t>
      </w:r>
      <w:r w:rsidR="00311B3A">
        <w:rPr>
          <w:rFonts w:eastAsia="Calibri" w:cstheme="minorHAnsi"/>
        </w:rPr>
        <w:t>roky</w:t>
      </w:r>
      <w:r w:rsidR="00311B3A" w:rsidRPr="009B4E61">
        <w:rPr>
          <w:rFonts w:eastAsia="Calibri" w:cstheme="minorHAnsi"/>
        </w:rPr>
        <w:t xml:space="preserve"> </w:t>
      </w:r>
      <w:r w:rsidRPr="009B4E61">
        <w:rPr>
          <w:rFonts w:eastAsia="Calibri" w:cstheme="minorHAnsi"/>
        </w:rPr>
        <w:t xml:space="preserve">2017 až 2020. MV </w:t>
      </w:r>
      <w:r w:rsidR="00851B4D" w:rsidRPr="009B4E61">
        <w:rPr>
          <w:rFonts w:eastAsia="Calibri" w:cstheme="minorHAnsi"/>
        </w:rPr>
        <w:t xml:space="preserve">ji </w:t>
      </w:r>
      <w:r w:rsidRPr="009B4E61">
        <w:rPr>
          <w:rFonts w:eastAsia="Calibri" w:cstheme="minorHAnsi"/>
        </w:rPr>
        <w:t xml:space="preserve">do doby ukončení kontroly </w:t>
      </w:r>
      <w:r w:rsidR="00851B4D" w:rsidRPr="009B4E61">
        <w:rPr>
          <w:rFonts w:eastAsia="Calibri" w:cstheme="minorHAnsi"/>
        </w:rPr>
        <w:t>NKÚ</w:t>
      </w:r>
      <w:r w:rsidR="00ED1C62">
        <w:rPr>
          <w:rFonts w:eastAsia="Calibri" w:cstheme="minorHAnsi"/>
        </w:rPr>
        <w:t xml:space="preserve"> (únor 2022)</w:t>
      </w:r>
      <w:r w:rsidR="00851B4D" w:rsidRPr="009B4E61">
        <w:rPr>
          <w:rFonts w:eastAsia="Calibri" w:cstheme="minorHAnsi"/>
        </w:rPr>
        <w:t xml:space="preserve"> </w:t>
      </w:r>
      <w:r w:rsidRPr="009B4E61">
        <w:rPr>
          <w:rFonts w:eastAsia="Calibri" w:cstheme="minorHAnsi"/>
        </w:rPr>
        <w:t>nevyhodnotilo</w:t>
      </w:r>
      <w:r w:rsidR="00ED1C62">
        <w:rPr>
          <w:rFonts w:eastAsia="Calibri" w:cstheme="minorHAnsi"/>
        </w:rPr>
        <w:t xml:space="preserve">. </w:t>
      </w:r>
      <w:r w:rsidR="00ED1C62">
        <w:rPr>
          <w:rFonts w:ascii="Calibri" w:hAnsi="Calibri" w:cs="Calibri"/>
        </w:rPr>
        <w:t xml:space="preserve">Přitom v roce 2022 měla </w:t>
      </w:r>
      <w:r w:rsidR="00ED1C62" w:rsidRPr="009B4E61">
        <w:rPr>
          <w:rFonts w:eastAsia="Calibri" w:cstheme="minorHAnsi"/>
        </w:rPr>
        <w:t xml:space="preserve">být již plněna </w:t>
      </w:r>
      <w:r w:rsidR="00ED1C62">
        <w:rPr>
          <w:rFonts w:ascii="Calibri" w:hAnsi="Calibri" w:cs="Calibri"/>
        </w:rPr>
        <w:t xml:space="preserve">dle předkládací zprávy k usnesení vlády č. 527/2017 </w:t>
      </w:r>
      <w:r w:rsidR="00ED1C62">
        <w:rPr>
          <w:rFonts w:eastAsia="Calibri" w:cstheme="minorHAnsi"/>
        </w:rPr>
        <w:t xml:space="preserve">navazující </w:t>
      </w:r>
      <w:r w:rsidR="00ED1C62" w:rsidRPr="009B4E61">
        <w:rPr>
          <w:rFonts w:eastAsia="Calibri" w:cstheme="minorHAnsi"/>
        </w:rPr>
        <w:t>koncepce</w:t>
      </w:r>
      <w:r w:rsidR="00ED1C62" w:rsidRPr="00ED1C62">
        <w:rPr>
          <w:rFonts w:eastAsia="Calibri" w:cstheme="minorHAnsi"/>
        </w:rPr>
        <w:t xml:space="preserve"> </w:t>
      </w:r>
      <w:r w:rsidR="00ED1C62" w:rsidRPr="009B4E61">
        <w:rPr>
          <w:rFonts w:eastAsia="Calibri" w:cstheme="minorHAnsi"/>
        </w:rPr>
        <w:t>na období 2021</w:t>
      </w:r>
      <w:r w:rsidR="00B13A32">
        <w:rPr>
          <w:rFonts w:eastAsia="Calibri" w:cstheme="minorHAnsi"/>
        </w:rPr>
        <w:t>–</w:t>
      </w:r>
      <w:r w:rsidR="00ED1C62" w:rsidRPr="009B4E61">
        <w:rPr>
          <w:rFonts w:eastAsia="Calibri" w:cstheme="minorHAnsi"/>
        </w:rPr>
        <w:t>2023</w:t>
      </w:r>
      <w:r w:rsidR="00DD2418">
        <w:rPr>
          <w:rFonts w:eastAsia="Calibri" w:cstheme="minorHAnsi"/>
        </w:rPr>
        <w:t xml:space="preserve">. Na základě vyhodnocení koncepce </w:t>
      </w:r>
      <w:r w:rsidR="00ED1C62">
        <w:rPr>
          <w:rFonts w:eastAsia="Calibri" w:cstheme="minorHAnsi"/>
        </w:rPr>
        <w:t xml:space="preserve">mělo </w:t>
      </w:r>
      <w:r w:rsidR="00DD2418">
        <w:rPr>
          <w:rFonts w:eastAsia="Calibri" w:cstheme="minorHAnsi"/>
        </w:rPr>
        <w:t xml:space="preserve">MV také </w:t>
      </w:r>
      <w:r w:rsidR="00ED1C62">
        <w:rPr>
          <w:rFonts w:eastAsia="Calibri" w:cstheme="minorHAnsi"/>
        </w:rPr>
        <w:t>rozhodnout o realizaci</w:t>
      </w:r>
      <w:r w:rsidR="00ED1C62" w:rsidRPr="009B4E61">
        <w:rPr>
          <w:rFonts w:eastAsia="Calibri" w:cstheme="minorHAnsi"/>
        </w:rPr>
        <w:t xml:space="preserve"> investiční</w:t>
      </w:r>
      <w:r w:rsidR="00ED1C62">
        <w:rPr>
          <w:rFonts w:eastAsia="Calibri" w:cstheme="minorHAnsi"/>
        </w:rPr>
        <w:t>ch</w:t>
      </w:r>
      <w:r w:rsidR="00ED1C62" w:rsidRPr="009B4E61">
        <w:rPr>
          <w:rFonts w:eastAsia="Calibri" w:cstheme="minorHAnsi"/>
        </w:rPr>
        <w:t xml:space="preserve"> program</w:t>
      </w:r>
      <w:r w:rsidR="00ED1C62">
        <w:rPr>
          <w:rFonts w:eastAsia="Calibri" w:cstheme="minorHAnsi"/>
        </w:rPr>
        <w:t xml:space="preserve">ů. </w:t>
      </w:r>
      <w:r w:rsidR="00ED1C62" w:rsidRPr="009B4E61">
        <w:rPr>
          <w:rFonts w:eastAsia="Calibri" w:cstheme="minorHAnsi"/>
        </w:rPr>
        <w:t xml:space="preserve">Budování národního systému </w:t>
      </w:r>
      <w:r w:rsidR="00997B14">
        <w:rPr>
          <w:rFonts w:eastAsia="Calibri" w:cstheme="minorHAnsi"/>
        </w:rPr>
        <w:t xml:space="preserve">OMC </w:t>
      </w:r>
      <w:r w:rsidR="00ED1C62" w:rsidRPr="009B4E61">
        <w:rPr>
          <w:rFonts w:eastAsia="Calibri" w:cstheme="minorHAnsi"/>
        </w:rPr>
        <w:t>se tak zpožďuje.</w:t>
      </w:r>
    </w:p>
    <w:p w14:paraId="5ED4DA5B" w14:textId="025EBD6A" w:rsidR="00F83209" w:rsidRPr="00247673" w:rsidRDefault="00D701F1" w:rsidP="005B4E20">
      <w:pPr>
        <w:keepNext/>
        <w:shd w:val="clear" w:color="auto" w:fill="FFFFFF"/>
        <w:spacing w:before="240" w:after="120"/>
        <w:rPr>
          <w:rFonts w:eastAsia="Calibri" w:cs="Calibri"/>
          <w:b/>
        </w:rPr>
      </w:pPr>
      <w:r w:rsidRPr="00247673">
        <w:rPr>
          <w:rFonts w:eastAsia="Calibri" w:cs="Calibri"/>
          <w:b/>
        </w:rPr>
        <w:t xml:space="preserve">2. </w:t>
      </w:r>
      <w:r w:rsidR="00F83209" w:rsidRPr="00247673">
        <w:rPr>
          <w:rFonts w:eastAsia="Calibri" w:cs="Calibri"/>
          <w:b/>
        </w:rPr>
        <w:t xml:space="preserve">MV, MK a </w:t>
      </w:r>
      <w:proofErr w:type="spellStart"/>
      <w:r w:rsidR="00F83209" w:rsidRPr="00247673">
        <w:rPr>
          <w:rFonts w:eastAsia="Calibri" w:cs="Calibri"/>
          <w:b/>
        </w:rPr>
        <w:t>MZd</w:t>
      </w:r>
      <w:proofErr w:type="spellEnd"/>
      <w:r w:rsidR="00F83209" w:rsidRPr="00247673">
        <w:rPr>
          <w:rFonts w:eastAsia="Calibri" w:cs="Calibri"/>
          <w:b/>
        </w:rPr>
        <w:t xml:space="preserve"> nepostupoval</w:t>
      </w:r>
      <w:r w:rsidR="007F39D1" w:rsidRPr="00247673">
        <w:rPr>
          <w:rFonts w:eastAsia="Calibri" w:cs="Calibri"/>
          <w:b/>
        </w:rPr>
        <w:t>y</w:t>
      </w:r>
      <w:r w:rsidR="00F83209" w:rsidRPr="00247673">
        <w:rPr>
          <w:rFonts w:eastAsia="Calibri" w:cs="Calibri"/>
          <w:b/>
        </w:rPr>
        <w:t xml:space="preserve"> při </w:t>
      </w:r>
      <w:r w:rsidR="000A3E24" w:rsidRPr="00247673">
        <w:rPr>
          <w:rFonts w:eastAsia="Calibri" w:cs="Calibri"/>
          <w:b/>
        </w:rPr>
        <w:t>realizaci</w:t>
      </w:r>
      <w:r w:rsidR="00F83209" w:rsidRPr="00247673">
        <w:rPr>
          <w:rFonts w:eastAsia="Calibri" w:cs="Calibri"/>
          <w:b/>
        </w:rPr>
        <w:t xml:space="preserve"> </w:t>
      </w:r>
      <w:r w:rsidR="001D6878" w:rsidRPr="00247673">
        <w:rPr>
          <w:rFonts w:eastAsia="Calibri" w:cs="Calibri"/>
          <w:b/>
        </w:rPr>
        <w:t xml:space="preserve">neinvestičních </w:t>
      </w:r>
      <w:r w:rsidR="00F83209" w:rsidRPr="00247673">
        <w:rPr>
          <w:rFonts w:eastAsia="Calibri" w:cs="Calibri"/>
          <w:b/>
        </w:rPr>
        <w:t>programů účelně</w:t>
      </w:r>
    </w:p>
    <w:p w14:paraId="51745DA6" w14:textId="77777777" w:rsidR="008724FD" w:rsidRDefault="00EA108F" w:rsidP="00DD2418">
      <w:pPr>
        <w:spacing w:after="120"/>
        <w:jc w:val="both"/>
        <w:rPr>
          <w:rFonts w:cstheme="minorHAnsi"/>
        </w:rPr>
      </w:pPr>
      <w:r w:rsidRPr="009B4E61">
        <w:rPr>
          <w:rFonts w:cstheme="minorHAnsi"/>
        </w:rPr>
        <w:t xml:space="preserve">Předpokladem účelného </w:t>
      </w:r>
      <w:r w:rsidR="00342337" w:rsidRPr="009B4E61">
        <w:rPr>
          <w:rFonts w:cstheme="minorHAnsi"/>
        </w:rPr>
        <w:t>vynakládaní</w:t>
      </w:r>
      <w:r w:rsidRPr="009B4E61">
        <w:rPr>
          <w:rFonts w:cstheme="minorHAnsi"/>
        </w:rPr>
        <w:t xml:space="preserve"> peněžních prostředků státu v rámci </w:t>
      </w:r>
      <w:r w:rsidR="00CA07A4">
        <w:rPr>
          <w:rFonts w:cstheme="minorHAnsi"/>
        </w:rPr>
        <w:t xml:space="preserve">dotačního </w:t>
      </w:r>
      <w:r w:rsidRPr="009B4E61">
        <w:rPr>
          <w:rFonts w:cstheme="minorHAnsi"/>
        </w:rPr>
        <w:t xml:space="preserve">programu je </w:t>
      </w:r>
      <w:r w:rsidR="00342337" w:rsidRPr="009B4E61">
        <w:rPr>
          <w:rFonts w:cstheme="minorHAnsi"/>
        </w:rPr>
        <w:t>stanovení potřeb v dané oblasti.</w:t>
      </w:r>
      <w:r w:rsidR="001D6878" w:rsidRPr="009B4E61">
        <w:rPr>
          <w:rFonts w:cstheme="minorHAnsi"/>
        </w:rPr>
        <w:t xml:space="preserve"> </w:t>
      </w:r>
      <w:r w:rsidR="007F39D1">
        <w:rPr>
          <w:rFonts w:cstheme="minorHAnsi"/>
        </w:rPr>
        <w:t>Dle zjištěných</w:t>
      </w:r>
      <w:r w:rsidRPr="009B4E61">
        <w:rPr>
          <w:rFonts w:cstheme="minorHAnsi"/>
        </w:rPr>
        <w:t xml:space="preserve"> </w:t>
      </w:r>
      <w:r w:rsidR="001D6878" w:rsidRPr="009B4E61">
        <w:rPr>
          <w:rFonts w:cstheme="minorHAnsi"/>
        </w:rPr>
        <w:t xml:space="preserve">potřeb </w:t>
      </w:r>
      <w:r w:rsidRPr="009B4E61">
        <w:rPr>
          <w:rFonts w:cstheme="minorHAnsi"/>
        </w:rPr>
        <w:t xml:space="preserve">může </w:t>
      </w:r>
      <w:r w:rsidR="00930738">
        <w:rPr>
          <w:rFonts w:cstheme="minorHAnsi"/>
        </w:rPr>
        <w:t>poskytovatel dotací</w:t>
      </w:r>
      <w:r w:rsidRPr="009B4E61">
        <w:rPr>
          <w:rFonts w:cstheme="minorHAnsi"/>
        </w:rPr>
        <w:t xml:space="preserve"> </w:t>
      </w:r>
      <w:r w:rsidR="001D6878" w:rsidRPr="009B4E61">
        <w:rPr>
          <w:rFonts w:cstheme="minorHAnsi"/>
        </w:rPr>
        <w:t xml:space="preserve">poté </w:t>
      </w:r>
      <w:r w:rsidRPr="009B4E61">
        <w:rPr>
          <w:rFonts w:cstheme="minorHAnsi"/>
        </w:rPr>
        <w:t>nastavit program tak, aby byly peněžní prostředky státu směřovány účelně do oblastí, které zajistí optimální míru dosažení cílů při plnění stanovených úkolů.</w:t>
      </w:r>
    </w:p>
    <w:p w14:paraId="2F507114" w14:textId="07A4AECB" w:rsidR="00DD2418" w:rsidRPr="008724FD" w:rsidRDefault="00F34704" w:rsidP="00DD2418">
      <w:pPr>
        <w:spacing w:after="120"/>
        <w:jc w:val="both"/>
        <w:rPr>
          <w:rFonts w:cstheme="minorHAnsi"/>
        </w:rPr>
      </w:pPr>
      <w:r w:rsidRPr="009B4E61">
        <w:rPr>
          <w:rFonts w:eastAsia="Calibri" w:cstheme="minorHAnsi"/>
        </w:rPr>
        <w:t xml:space="preserve">MV před vyhlášením </w:t>
      </w:r>
      <w:r w:rsidR="0007520C">
        <w:rPr>
          <w:rFonts w:eastAsia="Calibri" w:cstheme="minorHAnsi"/>
        </w:rPr>
        <w:t>programu</w:t>
      </w:r>
      <w:r w:rsidRPr="009B4E61">
        <w:rPr>
          <w:rFonts w:eastAsia="Calibri" w:cstheme="minorHAnsi"/>
        </w:rPr>
        <w:t xml:space="preserve"> nevyhodnotilo </w:t>
      </w:r>
      <w:r w:rsidRPr="009B4E61">
        <w:rPr>
          <w:rFonts w:eastAsia="Calibri" w:cstheme="minorHAnsi"/>
          <w:color w:val="000000"/>
          <w:lang w:eastAsia="cs-CZ"/>
        </w:rPr>
        <w:t>aktuální stav a potřeby OMC, které by využilo při tvorbě cílů a nastavení indikátorů programu. MV nevyužilo např. veřejně dostupná statistická data týkající se počtu škol a školských zařízení</w:t>
      </w:r>
      <w:r w:rsidR="00434427" w:rsidRPr="009B4E61">
        <w:rPr>
          <w:rFonts w:eastAsia="Calibri" w:cstheme="minorHAnsi"/>
          <w:color w:val="000000"/>
          <w:lang w:eastAsia="cs-CZ"/>
        </w:rPr>
        <w:t xml:space="preserve">. </w:t>
      </w:r>
      <w:r w:rsidR="00AE6E13" w:rsidRPr="009B4E61">
        <w:rPr>
          <w:rFonts w:eastAsia="Calibri" w:cstheme="minorHAnsi"/>
        </w:rPr>
        <w:t xml:space="preserve">Alokovanou částku </w:t>
      </w:r>
      <w:r w:rsidR="0007520C">
        <w:rPr>
          <w:rFonts w:eastAsia="Calibri" w:cstheme="minorHAnsi"/>
        </w:rPr>
        <w:t>programu</w:t>
      </w:r>
      <w:r w:rsidR="00AE6E13" w:rsidRPr="009B4E61">
        <w:rPr>
          <w:rFonts w:eastAsia="Calibri" w:cstheme="minorHAnsi"/>
        </w:rPr>
        <w:t xml:space="preserve"> určilo pouze na základě disponibilních peněžních prostředků </w:t>
      </w:r>
      <w:r w:rsidR="00CB574A" w:rsidRPr="009B4E61">
        <w:rPr>
          <w:rFonts w:eastAsia="Calibri" w:cstheme="minorHAnsi"/>
        </w:rPr>
        <w:t xml:space="preserve">státu </w:t>
      </w:r>
      <w:r w:rsidR="00AE6E13" w:rsidRPr="009B4E61">
        <w:rPr>
          <w:rFonts w:eastAsia="Calibri" w:cstheme="minorHAnsi"/>
        </w:rPr>
        <w:t>v rozpočtové kapitole 314</w:t>
      </w:r>
      <w:r w:rsidR="00863E9E">
        <w:rPr>
          <w:rFonts w:eastAsia="Calibri" w:cstheme="minorHAnsi"/>
        </w:rPr>
        <w:t xml:space="preserve"> </w:t>
      </w:r>
      <w:r w:rsidR="00B13A32">
        <w:rPr>
          <w:rFonts w:eastAsia="Calibri" w:cstheme="minorHAnsi"/>
        </w:rPr>
        <w:t>–</w:t>
      </w:r>
      <w:r w:rsidR="00B4118C">
        <w:rPr>
          <w:rFonts w:eastAsia="Calibri" w:cstheme="minorHAnsi"/>
        </w:rPr>
        <w:t xml:space="preserve"> </w:t>
      </w:r>
      <w:r w:rsidR="00AE6E13" w:rsidRPr="009B4E61">
        <w:rPr>
          <w:rFonts w:eastAsia="Calibri" w:cstheme="minorHAnsi"/>
        </w:rPr>
        <w:t>MV.</w:t>
      </w:r>
      <w:r w:rsidR="00DB35DD" w:rsidRPr="009B4E61">
        <w:rPr>
          <w:rFonts w:eastAsia="Calibri" w:cstheme="minorHAnsi"/>
        </w:rPr>
        <w:t xml:space="preserve"> </w:t>
      </w:r>
      <w:r w:rsidR="00023C34" w:rsidRPr="009B4E61">
        <w:rPr>
          <w:rFonts w:eastAsia="Calibri" w:cstheme="minorHAnsi"/>
        </w:rPr>
        <w:t xml:space="preserve">Na nedostatečné zdůvodnění alokované částky bylo MV upozorněno rovněž </w:t>
      </w:r>
      <w:r w:rsidR="00DB35DD" w:rsidRPr="009B4E61">
        <w:rPr>
          <w:rFonts w:eastAsia="Calibri" w:cstheme="minorHAnsi"/>
        </w:rPr>
        <w:t>v</w:t>
      </w:r>
      <w:r w:rsidR="008724FD">
        <w:rPr>
          <w:rFonts w:eastAsia="Calibri" w:cstheme="minorHAnsi"/>
        </w:rPr>
        <w:t> </w:t>
      </w:r>
      <w:r w:rsidR="00DB35DD" w:rsidRPr="009B4E61">
        <w:rPr>
          <w:rFonts w:eastAsia="Calibri" w:cstheme="minorHAnsi"/>
        </w:rPr>
        <w:t>rámci</w:t>
      </w:r>
      <w:r w:rsidR="008724FD">
        <w:rPr>
          <w:rFonts w:eastAsia="Calibri" w:cstheme="minorHAnsi"/>
        </w:rPr>
        <w:t xml:space="preserve"> </w:t>
      </w:r>
      <w:r w:rsidR="00DB35DD" w:rsidRPr="009B4E61">
        <w:rPr>
          <w:rFonts w:eastAsia="Calibri" w:cstheme="minorHAnsi"/>
        </w:rPr>
        <w:t>připomínkové</w:t>
      </w:r>
      <w:r w:rsidR="00046C27">
        <w:rPr>
          <w:rFonts w:eastAsia="Calibri" w:cstheme="minorHAnsi"/>
        </w:rPr>
        <w:t>ho</w:t>
      </w:r>
      <w:r w:rsidR="00DB35DD" w:rsidRPr="009B4E61">
        <w:rPr>
          <w:rFonts w:eastAsia="Calibri" w:cstheme="minorHAnsi"/>
        </w:rPr>
        <w:t xml:space="preserve"> řízení k návrhům dotačních </w:t>
      </w:r>
      <w:r w:rsidR="0007520C">
        <w:rPr>
          <w:rFonts w:eastAsia="Calibri" w:cstheme="minorHAnsi"/>
        </w:rPr>
        <w:t>programů</w:t>
      </w:r>
      <w:r w:rsidR="00967029">
        <w:rPr>
          <w:rStyle w:val="Znakapoznpodarou"/>
          <w:rFonts w:eastAsia="Calibri" w:cstheme="minorHAnsi"/>
        </w:rPr>
        <w:footnoteReference w:id="13"/>
      </w:r>
      <w:r w:rsidR="00DB35DD" w:rsidRPr="009B4E61">
        <w:rPr>
          <w:rFonts w:eastAsia="Calibri" w:cstheme="minorHAnsi"/>
        </w:rPr>
        <w:t xml:space="preserve">. </w:t>
      </w:r>
      <w:r w:rsidR="00023C34" w:rsidRPr="009B4E61">
        <w:rPr>
          <w:rFonts w:eastAsia="Calibri" w:cstheme="minorHAnsi"/>
        </w:rPr>
        <w:t xml:space="preserve">Kontrolou NKÚ bylo zjištěno, že rozpočet </w:t>
      </w:r>
      <w:r w:rsidR="0007520C">
        <w:rPr>
          <w:rFonts w:eastAsia="Calibri" w:cstheme="minorHAnsi"/>
        </w:rPr>
        <w:t>programu</w:t>
      </w:r>
      <w:r w:rsidR="00023C34" w:rsidRPr="009B4E61">
        <w:rPr>
          <w:rFonts w:eastAsia="Calibri" w:cstheme="minorHAnsi"/>
        </w:rPr>
        <w:t xml:space="preserve"> neodpovíd</w:t>
      </w:r>
      <w:r w:rsidR="00DB35DD" w:rsidRPr="009B4E61">
        <w:rPr>
          <w:rFonts w:eastAsia="Calibri" w:cstheme="minorHAnsi"/>
        </w:rPr>
        <w:t xml:space="preserve">al </w:t>
      </w:r>
      <w:r w:rsidR="00DD2418">
        <w:rPr>
          <w:rFonts w:eastAsia="Calibri" w:cstheme="minorHAnsi"/>
        </w:rPr>
        <w:t>skutečným</w:t>
      </w:r>
      <w:r w:rsidR="00023C34" w:rsidRPr="009B4E61">
        <w:rPr>
          <w:rFonts w:eastAsia="Calibri" w:cstheme="minorHAnsi"/>
        </w:rPr>
        <w:t xml:space="preserve"> potřebám</w:t>
      </w:r>
      <w:r w:rsidR="00DB35DD" w:rsidRPr="009B4E61">
        <w:rPr>
          <w:rFonts w:eastAsia="Calibri" w:cstheme="minorHAnsi"/>
        </w:rPr>
        <w:t>,</w:t>
      </w:r>
      <w:r w:rsidR="00196D18" w:rsidRPr="009B4E61">
        <w:rPr>
          <w:rFonts w:eastAsia="Calibri" w:cstheme="minorHAnsi"/>
        </w:rPr>
        <w:t xml:space="preserve"> </w:t>
      </w:r>
      <w:r w:rsidR="00DB35DD" w:rsidRPr="009B4E61">
        <w:rPr>
          <w:rFonts w:eastAsia="Calibri" w:cstheme="minorHAnsi"/>
        </w:rPr>
        <w:t>v</w:t>
      </w:r>
      <w:r w:rsidR="00023C34" w:rsidRPr="009B4E61">
        <w:rPr>
          <w:rFonts w:eastAsia="Calibri" w:cstheme="minorHAnsi"/>
        </w:rPr>
        <w:t xml:space="preserve"> rámci </w:t>
      </w:r>
      <w:r w:rsidR="003345B3" w:rsidRPr="009B4E61">
        <w:rPr>
          <w:rFonts w:eastAsia="Calibri" w:cstheme="minorHAnsi"/>
        </w:rPr>
        <w:t>podprogramu</w:t>
      </w:r>
      <w:r w:rsidR="00023C34" w:rsidRPr="009B4E61">
        <w:rPr>
          <w:rFonts w:eastAsia="Calibri" w:cstheme="minorHAnsi"/>
        </w:rPr>
        <w:t xml:space="preserve"> </w:t>
      </w:r>
      <w:r w:rsidR="00B13A32">
        <w:rPr>
          <w:rFonts w:eastAsia="Calibri" w:cstheme="minorHAnsi"/>
        </w:rPr>
        <w:t xml:space="preserve">pro </w:t>
      </w:r>
      <w:r w:rsidR="00023C34" w:rsidRPr="009B4E61">
        <w:rPr>
          <w:rFonts w:eastAsia="Calibri" w:cstheme="minorHAnsi"/>
        </w:rPr>
        <w:t xml:space="preserve">školy bylo </w:t>
      </w:r>
      <w:r w:rsidR="00023C34" w:rsidRPr="00B13A32">
        <w:rPr>
          <w:rFonts w:eastAsia="Calibri" w:cstheme="minorHAnsi"/>
          <w:spacing w:val="4"/>
        </w:rPr>
        <w:t>v letech 2019 až 2021 čerpáno 48 % z celkového schváleného rozpočtu</w:t>
      </w:r>
      <w:r w:rsidR="0007520C" w:rsidRPr="00B13A32">
        <w:rPr>
          <w:rFonts w:eastAsia="Calibri" w:cstheme="minorHAnsi"/>
          <w:spacing w:val="4"/>
        </w:rPr>
        <w:t xml:space="preserve"> a </w:t>
      </w:r>
      <w:r w:rsidR="00023C34" w:rsidRPr="00B13A32">
        <w:rPr>
          <w:rFonts w:eastAsia="Calibri" w:cstheme="minorHAnsi"/>
          <w:spacing w:val="4"/>
        </w:rPr>
        <w:t xml:space="preserve">v rámci </w:t>
      </w:r>
      <w:r w:rsidR="003345B3" w:rsidRPr="00B13A32">
        <w:rPr>
          <w:rFonts w:eastAsia="Calibri" w:cstheme="minorHAnsi"/>
          <w:spacing w:val="4"/>
        </w:rPr>
        <w:t>podprogramu</w:t>
      </w:r>
      <w:r w:rsidR="00023C34" w:rsidRPr="00B13A32">
        <w:rPr>
          <w:rFonts w:eastAsia="Calibri" w:cstheme="minorHAnsi"/>
          <w:spacing w:val="4"/>
        </w:rPr>
        <w:t xml:space="preserve"> </w:t>
      </w:r>
      <w:r w:rsidR="00B13A32">
        <w:rPr>
          <w:rFonts w:eastAsia="Calibri" w:cstheme="minorHAnsi"/>
          <w:spacing w:val="4"/>
        </w:rPr>
        <w:t xml:space="preserve">pro </w:t>
      </w:r>
      <w:r w:rsidR="00023C34" w:rsidRPr="009B4E61">
        <w:rPr>
          <w:rFonts w:eastAsia="Calibri" w:cstheme="minorHAnsi"/>
        </w:rPr>
        <w:t xml:space="preserve">veřejná prostranství pouze necelých 11 % prostředků. </w:t>
      </w:r>
    </w:p>
    <w:p w14:paraId="2B48E515" w14:textId="3EE373A6" w:rsidR="00AD03A5" w:rsidRDefault="00AD03A5" w:rsidP="00AD03A5">
      <w:pPr>
        <w:spacing w:before="240"/>
        <w:jc w:val="both"/>
        <w:rPr>
          <w:rFonts w:eastAsia="Calibri" w:cstheme="minorHAnsi"/>
          <w:noProof/>
        </w:rPr>
      </w:pPr>
      <w:r w:rsidRPr="009B4E61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0" wp14:anchorId="27D9F662" wp14:editId="38B36026">
                <wp:simplePos x="0" y="0"/>
                <wp:positionH relativeFrom="margin">
                  <wp:align>left</wp:align>
                </wp:positionH>
                <wp:positionV relativeFrom="paragraph">
                  <wp:posOffset>1790700</wp:posOffset>
                </wp:positionV>
                <wp:extent cx="5753100" cy="2447290"/>
                <wp:effectExtent l="0" t="0" r="19050" b="10160"/>
                <wp:wrapSquare wrapText="bothSides"/>
                <wp:docPr id="37" name="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447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08155" w14:textId="47A51DF3" w:rsidR="00F27C4A" w:rsidRDefault="00F27C4A" w:rsidP="00967029">
                            <w:pPr>
                              <w:jc w:val="both"/>
                              <w:rPr>
                                <w:rStyle w:val="A4"/>
                                <w:rFonts w:ascii="Calibri" w:hAnsi="Calibri" w:cs="Calibri"/>
                                <w:b/>
                                <w:color w:val="0070C0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Style w:val="A4"/>
                                <w:rFonts w:ascii="Calibri" w:hAnsi="Calibri" w:cs="Calibri"/>
                                <w:b/>
                                <w:color w:val="0070C0"/>
                                <w:sz w:val="24"/>
                                <w:szCs w:val="40"/>
                              </w:rPr>
                              <w:t>Příklad č. 1</w:t>
                            </w:r>
                          </w:p>
                          <w:p w14:paraId="0FE2D950" w14:textId="56A7AB9E" w:rsidR="008F5CFB" w:rsidRPr="005C6137" w:rsidRDefault="008F5CFB" w:rsidP="005C6137">
                            <w:pPr>
                              <w:spacing w:after="120"/>
                              <w:jc w:val="both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5C6137">
                              <w:rPr>
                                <w:i/>
                              </w:rPr>
                              <w:t xml:space="preserve">MK při přípravě </w:t>
                            </w:r>
                            <w:r>
                              <w:rPr>
                                <w:i/>
                              </w:rPr>
                              <w:t>Programu</w:t>
                            </w:r>
                            <w:r w:rsidRPr="005C6137">
                              <w:rPr>
                                <w:i/>
                              </w:rPr>
                              <w:t xml:space="preserve"> OMCK provedlo průzkum, v jehož průběhu od organizačních útvarů MK získalo informace, na jejichž základě sestavilo seznam 57 prioritních MC v oblasti kultury včetně odhadovaných finančních potřeb. </w:t>
                            </w:r>
                          </w:p>
                          <w:p w14:paraId="3EDBAE41" w14:textId="1FD77373" w:rsidR="000F6FFD" w:rsidRDefault="000F6FFD" w:rsidP="00967029">
                            <w:pPr>
                              <w:spacing w:after="120"/>
                              <w:jc w:val="both"/>
                            </w:pPr>
                            <w:r w:rsidRPr="00224168">
                              <w:rPr>
                                <w:rFonts w:cstheme="minorHAnsi"/>
                                <w:i/>
                                <w:iCs/>
                              </w:rPr>
                              <w:t>MZd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  <w:r w:rsidRPr="00224168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identifikovalo jako příjemce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neinvestičního programu </w:t>
                            </w:r>
                            <w:r w:rsidRPr="00224168">
                              <w:rPr>
                                <w:rFonts w:cstheme="minorHAnsi"/>
                                <w:i/>
                                <w:iCs/>
                              </w:rPr>
                              <w:t>nemocnice, neboť se jedná o</w:t>
                            </w:r>
                            <w:r w:rsidR="005B4E20">
                              <w:rPr>
                                <w:rFonts w:cstheme="minorHAnsi"/>
                                <w:i/>
                                <w:iCs/>
                              </w:rPr>
                              <w:t> </w:t>
                            </w:r>
                            <w:r w:rsidRPr="00224168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veřejně přístupná místa s možností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nepřetržitého </w:t>
                            </w:r>
                            <w:r w:rsidRPr="00224168">
                              <w:rPr>
                                <w:rFonts w:cstheme="minorHAnsi"/>
                                <w:i/>
                                <w:iCs/>
                              </w:rPr>
                              <w:t>vstupu. Většina nemocnic se nachází v</w:t>
                            </w:r>
                            <w:r w:rsidR="005B4E20">
                              <w:rPr>
                                <w:rFonts w:cstheme="minorHAnsi"/>
                                <w:i/>
                                <w:iCs/>
                              </w:rPr>
                              <w:t> </w:t>
                            </w:r>
                            <w:r w:rsidRPr="00224168">
                              <w:rPr>
                                <w:rFonts w:cstheme="minorHAnsi"/>
                                <w:i/>
                                <w:iCs/>
                              </w:rPr>
                              <w:t>rozlehlých areálech s komplexy budov a přidruženými prostory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,</w:t>
                            </w:r>
                            <w:r w:rsidRPr="00224168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v nemocnicích se pohybuje velké množství zdravotnických pracovníků a návštěvníků. MZd vybralo nemocnice, které poskytují akutní lůžkovou péči s počtem akutních lůžek vyšším než 500 </w:t>
                            </w:r>
                            <w:r w:rsidR="00637307">
                              <w:rPr>
                                <w:rFonts w:cstheme="minorHAnsi"/>
                                <w:i/>
                                <w:iCs/>
                              </w:rPr>
                              <w:t>–</w:t>
                            </w:r>
                            <w:r w:rsidRPr="00224168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kategorie I. typu (tj. 22 nemocnic) a s počty akutních lůžek 350 až 500 </w:t>
                            </w:r>
                            <w:r w:rsidR="00637307">
                              <w:rPr>
                                <w:rFonts w:cstheme="minorHAnsi"/>
                                <w:i/>
                                <w:iCs/>
                              </w:rPr>
                              <w:t>–</w:t>
                            </w:r>
                            <w:r w:rsidRPr="00224168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kategorie II. typu (tj. 24 nemocnic). Na základě tohoto počtu (46 nemocnic) a předpokládané nákladovosti opatření stanovilo MZd plánovanou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alokaci neinvestičního programu </w:t>
                            </w:r>
                            <w:r w:rsidRPr="00224168">
                              <w:rPr>
                                <w:rFonts w:cstheme="minorHAnsi"/>
                                <w:i/>
                                <w:iCs/>
                                <w:lang w:eastAsia="cs-CZ"/>
                              </w:rPr>
                              <w:t>na zvýšení OMC v resortu zdravotnictví.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9F662" id="Obdélník 37" o:spid="_x0000_s1027" style="position:absolute;left:0;text-align:left;margin-left:0;margin-top:141pt;width:453pt;height:192.7pt;z-index:-251622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" o:allowoverlap="f" fillcolor="white [3201]" strokecolor="black [3200]" strokeweight="1pt">
                <v:textbox>
                  <w:txbxContent>
                    <w:p w14:paraId="4B908155" w14:textId="47A51DF3" w:rsidR="00F27C4A" w:rsidRDefault="00F27C4A" w:rsidP="00967029">
                      <w:pPr>
                        <w:jc w:val="both"/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</w:pPr>
                      <w:r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  <w:t>Příklad č. 1</w:t>
                      </w:r>
                    </w:p>
                    <w:p w14:paraId="0FE2D950" w14:textId="56A7AB9E" w:rsidR="008F5CFB" w:rsidRPr="005C6137" w:rsidRDefault="008F5CFB" w:rsidP="005C6137">
                      <w:pPr>
                        <w:spacing w:after="120"/>
                        <w:jc w:val="both"/>
                        <w:rPr>
                          <w:rFonts w:ascii="Calibri" w:hAnsi="Calibri"/>
                          <w:i/>
                        </w:rPr>
                      </w:pPr>
                      <w:r w:rsidRPr="005C6137">
                        <w:rPr>
                          <w:i/>
                        </w:rPr>
                        <w:t xml:space="preserve">MK při přípravě </w:t>
                      </w:r>
                      <w:r>
                        <w:rPr>
                          <w:i/>
                        </w:rPr>
                        <w:t>Programu</w:t>
                      </w:r>
                      <w:r w:rsidRPr="005C6137">
                        <w:rPr>
                          <w:i/>
                        </w:rPr>
                        <w:t xml:space="preserve"> OMCK provedlo průzkum, v jehož průběhu od organizačních útvarů MK získalo informace, na jejichž základě sestavilo seznam 57 prioritních MC v oblasti kultury včetně odhadovaných finančních potřeb. </w:t>
                      </w:r>
                    </w:p>
                    <w:p w14:paraId="3EDBAE41" w14:textId="1FD77373" w:rsidR="000F6FFD" w:rsidRDefault="000F6FFD" w:rsidP="00967029">
                      <w:pPr>
                        <w:spacing w:after="120"/>
                        <w:jc w:val="both"/>
                      </w:pPr>
                      <w:r w:rsidRPr="00224168">
                        <w:rPr>
                          <w:rFonts w:cstheme="minorHAnsi"/>
                          <w:i/>
                          <w:iCs/>
                        </w:rPr>
                        <w:t>MZd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 </w:t>
                      </w:r>
                      <w:r w:rsidRPr="00224168">
                        <w:rPr>
                          <w:rFonts w:cstheme="minorHAnsi"/>
                          <w:i/>
                          <w:iCs/>
                        </w:rPr>
                        <w:t xml:space="preserve">identifikovalo jako příjemce 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neinvestičního programu </w:t>
                      </w:r>
                      <w:r w:rsidRPr="00224168">
                        <w:rPr>
                          <w:rFonts w:cstheme="minorHAnsi"/>
                          <w:i/>
                          <w:iCs/>
                        </w:rPr>
                        <w:t>nemocnice, neboť se jedná o</w:t>
                      </w:r>
                      <w:r w:rsidR="005B4E20">
                        <w:rPr>
                          <w:rFonts w:cstheme="minorHAnsi"/>
                          <w:i/>
                          <w:iCs/>
                        </w:rPr>
                        <w:t> </w:t>
                      </w:r>
                      <w:r w:rsidRPr="00224168">
                        <w:rPr>
                          <w:rFonts w:cstheme="minorHAnsi"/>
                          <w:i/>
                          <w:iCs/>
                        </w:rPr>
                        <w:t xml:space="preserve">veřejně přístupná místa s možností 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nepřetržitého </w:t>
                      </w:r>
                      <w:r w:rsidRPr="00224168">
                        <w:rPr>
                          <w:rFonts w:cstheme="minorHAnsi"/>
                          <w:i/>
                          <w:iCs/>
                        </w:rPr>
                        <w:t>vstupu. Většina nemocnic se nachází v</w:t>
                      </w:r>
                      <w:r w:rsidR="005B4E20">
                        <w:rPr>
                          <w:rFonts w:cstheme="minorHAnsi"/>
                          <w:i/>
                          <w:iCs/>
                        </w:rPr>
                        <w:t> </w:t>
                      </w:r>
                      <w:r w:rsidRPr="00224168">
                        <w:rPr>
                          <w:rFonts w:cstheme="minorHAnsi"/>
                          <w:i/>
                          <w:iCs/>
                        </w:rPr>
                        <w:t>rozlehlých areálech s komplexy budov a přidruženými prostory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,</w:t>
                      </w:r>
                      <w:r w:rsidRPr="00224168">
                        <w:rPr>
                          <w:rFonts w:cstheme="minorHAnsi"/>
                          <w:i/>
                          <w:iCs/>
                        </w:rPr>
                        <w:t xml:space="preserve"> v nemocnicích se pohybuje velké množství zdravotnických pracovníků a návštěvníků. MZd vybralo nemocnice, které poskytují akutní lůžkovou péči s počtem akutních lůžek vyšším než 500 </w:t>
                      </w:r>
                      <w:r w:rsidR="00637307">
                        <w:rPr>
                          <w:rFonts w:cstheme="minorHAnsi"/>
                          <w:i/>
                          <w:iCs/>
                        </w:rPr>
                        <w:t>–</w:t>
                      </w:r>
                      <w:r w:rsidRPr="00224168">
                        <w:rPr>
                          <w:rFonts w:cstheme="minorHAnsi"/>
                          <w:i/>
                          <w:iCs/>
                        </w:rPr>
                        <w:t xml:space="preserve"> kategorie I. typu (tj. 22 nemocnic) a s počty akutních lůžek 350 až 500 </w:t>
                      </w:r>
                      <w:r w:rsidR="00637307">
                        <w:rPr>
                          <w:rFonts w:cstheme="minorHAnsi"/>
                          <w:i/>
                          <w:iCs/>
                        </w:rPr>
                        <w:t>–</w:t>
                      </w:r>
                      <w:r w:rsidRPr="00224168">
                        <w:rPr>
                          <w:rFonts w:cstheme="minorHAnsi"/>
                          <w:i/>
                          <w:iCs/>
                        </w:rPr>
                        <w:t xml:space="preserve"> kategorie II. typu (tj. 24 nemocnic). Na základě tohoto počtu (46 nemocnic) a předpokládané nákladovosti opatření stanovilo MZd plánovanou 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alokaci neinvestičního programu </w:t>
                      </w:r>
                      <w:r w:rsidRPr="00224168">
                        <w:rPr>
                          <w:rFonts w:cstheme="minorHAnsi"/>
                          <w:i/>
                          <w:iCs/>
                          <w:lang w:eastAsia="cs-CZ"/>
                        </w:rPr>
                        <w:t>na zvýšení OMC v resortu zdravotnictví.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DB35DD" w:rsidRPr="009B4E61">
        <w:rPr>
          <w:rFonts w:eastAsia="Calibri" w:cstheme="minorHAnsi"/>
          <w:color w:val="000000"/>
          <w:lang w:eastAsia="cs-CZ"/>
        </w:rPr>
        <w:t xml:space="preserve">MK i </w:t>
      </w:r>
      <w:proofErr w:type="spellStart"/>
      <w:r w:rsidR="00DB35DD" w:rsidRPr="009B4E61">
        <w:rPr>
          <w:rFonts w:eastAsia="Calibri" w:cstheme="minorHAnsi"/>
          <w:color w:val="000000"/>
          <w:lang w:eastAsia="cs-CZ"/>
        </w:rPr>
        <w:t>MZd</w:t>
      </w:r>
      <w:proofErr w:type="spellEnd"/>
      <w:r w:rsidR="00DB35DD" w:rsidRPr="009B4E61">
        <w:rPr>
          <w:rFonts w:eastAsia="Calibri" w:cstheme="minorHAnsi"/>
          <w:color w:val="000000"/>
          <w:lang w:eastAsia="cs-CZ"/>
        </w:rPr>
        <w:t xml:space="preserve"> nastavil</w:t>
      </w:r>
      <w:r w:rsidR="00D632B9">
        <w:rPr>
          <w:rFonts w:eastAsia="Calibri" w:cstheme="minorHAnsi"/>
          <w:color w:val="000000"/>
          <w:lang w:eastAsia="cs-CZ"/>
        </w:rPr>
        <w:t>y</w:t>
      </w:r>
      <w:r w:rsidR="00DB35DD" w:rsidRPr="009B4E61">
        <w:rPr>
          <w:rFonts w:eastAsia="Calibri" w:cstheme="minorHAnsi"/>
          <w:color w:val="000000"/>
          <w:lang w:eastAsia="cs-CZ"/>
        </w:rPr>
        <w:t xml:space="preserve"> </w:t>
      </w:r>
      <w:r w:rsidR="00F31FDE">
        <w:rPr>
          <w:rFonts w:eastAsia="Calibri" w:cstheme="minorHAnsi"/>
          <w:color w:val="000000"/>
          <w:lang w:eastAsia="cs-CZ"/>
        </w:rPr>
        <w:t xml:space="preserve">původně </w:t>
      </w:r>
      <w:r w:rsidR="00DB35DD" w:rsidRPr="009B4E61">
        <w:rPr>
          <w:rFonts w:eastAsia="Calibri" w:cstheme="minorHAnsi"/>
          <w:color w:val="000000"/>
          <w:lang w:eastAsia="cs-CZ"/>
        </w:rPr>
        <w:t xml:space="preserve">cíle </w:t>
      </w:r>
      <w:r w:rsidR="00641D30">
        <w:rPr>
          <w:rFonts w:eastAsia="Calibri" w:cstheme="minorHAnsi"/>
          <w:color w:val="000000"/>
          <w:lang w:eastAsia="cs-CZ"/>
        </w:rPr>
        <w:t xml:space="preserve">a alokovanou částku </w:t>
      </w:r>
      <w:r w:rsidR="00DB35DD" w:rsidRPr="009B4E61">
        <w:rPr>
          <w:rFonts w:eastAsia="Calibri" w:cstheme="minorHAnsi"/>
          <w:color w:val="000000"/>
          <w:lang w:eastAsia="cs-CZ"/>
        </w:rPr>
        <w:t xml:space="preserve">neinvestičních programů </w:t>
      </w:r>
      <w:r w:rsidR="00641D30">
        <w:rPr>
          <w:rFonts w:eastAsia="Calibri" w:cstheme="minorHAnsi"/>
          <w:color w:val="000000"/>
          <w:lang w:eastAsia="cs-CZ"/>
        </w:rPr>
        <w:t>před jejich vyhlášením</w:t>
      </w:r>
      <w:r w:rsidR="00DB35DD" w:rsidRPr="009B4E61">
        <w:rPr>
          <w:rFonts w:eastAsia="Calibri" w:cstheme="minorHAnsi"/>
          <w:color w:val="000000"/>
          <w:lang w:eastAsia="cs-CZ"/>
        </w:rPr>
        <w:t xml:space="preserve"> dle potřeb</w:t>
      </w:r>
      <w:r w:rsidR="00F31FDE">
        <w:rPr>
          <w:rFonts w:eastAsia="Calibri" w:cstheme="minorHAnsi"/>
          <w:color w:val="000000"/>
          <w:lang w:eastAsia="cs-CZ"/>
        </w:rPr>
        <w:t xml:space="preserve"> (</w:t>
      </w:r>
      <w:r w:rsidR="00B13A32">
        <w:rPr>
          <w:rFonts w:eastAsia="Calibri" w:cstheme="minorHAnsi"/>
          <w:color w:val="000000"/>
          <w:lang w:eastAsia="cs-CZ"/>
        </w:rPr>
        <w:t xml:space="preserve">viz </w:t>
      </w:r>
      <w:r w:rsidR="00F31FDE">
        <w:rPr>
          <w:rFonts w:eastAsia="Calibri" w:cstheme="minorHAnsi"/>
          <w:color w:val="000000"/>
          <w:lang w:eastAsia="cs-CZ"/>
        </w:rPr>
        <w:t>příklad č. 1)</w:t>
      </w:r>
      <w:r w:rsidR="00434427" w:rsidRPr="009B4E61">
        <w:rPr>
          <w:rFonts w:eastAsia="Calibri" w:cstheme="minorHAnsi"/>
          <w:color w:val="000000"/>
          <w:lang w:eastAsia="cs-CZ"/>
        </w:rPr>
        <w:t xml:space="preserve">. </w:t>
      </w:r>
      <w:r w:rsidR="00F31FDE">
        <w:rPr>
          <w:rFonts w:eastAsia="Calibri" w:cstheme="minorHAnsi"/>
          <w:color w:val="000000"/>
          <w:lang w:eastAsia="cs-CZ"/>
        </w:rPr>
        <w:t>Poté však toto nastavení změnily</w:t>
      </w:r>
      <w:r>
        <w:rPr>
          <w:rFonts w:eastAsia="Calibri" w:cstheme="minorHAnsi"/>
          <w:color w:val="000000"/>
          <w:lang w:eastAsia="cs-CZ"/>
        </w:rPr>
        <w:t xml:space="preserve"> </w:t>
      </w:r>
      <w:r w:rsidR="00F31FDE">
        <w:rPr>
          <w:rFonts w:eastAsia="Calibri" w:cstheme="minorHAnsi"/>
          <w:color w:val="000000"/>
          <w:lang w:eastAsia="cs-CZ"/>
        </w:rPr>
        <w:t>tím</w:t>
      </w:r>
      <w:r>
        <w:rPr>
          <w:rFonts w:eastAsia="Calibri" w:cstheme="minorHAnsi"/>
          <w:color w:val="000000"/>
          <w:lang w:eastAsia="cs-CZ"/>
        </w:rPr>
        <w:t>,</w:t>
      </w:r>
      <w:r w:rsidR="00F31FDE">
        <w:rPr>
          <w:rFonts w:eastAsia="Calibri" w:cstheme="minorHAnsi"/>
          <w:color w:val="000000"/>
          <w:lang w:eastAsia="cs-CZ"/>
        </w:rPr>
        <w:t xml:space="preserve"> že rozšířily </w:t>
      </w:r>
      <w:r w:rsidR="00F31FDE" w:rsidRPr="009B4E61">
        <w:rPr>
          <w:rFonts w:eastAsia="Calibri" w:cstheme="minorHAnsi"/>
          <w:color w:val="000000"/>
          <w:lang w:eastAsia="cs-CZ"/>
        </w:rPr>
        <w:t>okruh příjemců bez vazby na alokované peněžní prostředky státu</w:t>
      </w:r>
      <w:r w:rsidR="00F31FDE">
        <w:rPr>
          <w:rFonts w:eastAsia="Calibri" w:cstheme="minorHAnsi"/>
          <w:color w:val="000000"/>
          <w:lang w:eastAsia="cs-CZ"/>
        </w:rPr>
        <w:t xml:space="preserve">. </w:t>
      </w:r>
      <w:r w:rsidR="008E1849">
        <w:rPr>
          <w:rFonts w:eastAsia="Calibri" w:cstheme="minorHAnsi"/>
        </w:rPr>
        <w:t>P</w:t>
      </w:r>
      <w:r w:rsidR="003B3E19" w:rsidRPr="009B4E61">
        <w:rPr>
          <w:rFonts w:eastAsia="Calibri" w:cstheme="minorHAnsi"/>
        </w:rPr>
        <w:t xml:space="preserve">rostředky tak byly sice dostupné pro více potenciálních příjemců, zároveň však došlo </w:t>
      </w:r>
      <w:r w:rsidR="006F4C50" w:rsidRPr="009B4E61">
        <w:rPr>
          <w:rFonts w:eastAsia="Calibri" w:cstheme="minorHAnsi"/>
        </w:rPr>
        <w:t>u</w:t>
      </w:r>
      <w:r w:rsidR="003B3E19" w:rsidRPr="009B4E61">
        <w:rPr>
          <w:rFonts w:eastAsia="Calibri" w:cstheme="minorHAnsi"/>
        </w:rPr>
        <w:t xml:space="preserve"> obou </w:t>
      </w:r>
      <w:r w:rsidR="00930738">
        <w:rPr>
          <w:rFonts w:eastAsia="Calibri" w:cstheme="minorHAnsi"/>
        </w:rPr>
        <w:t>poskytovatelů</w:t>
      </w:r>
      <w:r w:rsidR="003B3E19" w:rsidRPr="009B4E61">
        <w:rPr>
          <w:rFonts w:eastAsia="Calibri" w:cstheme="minorHAnsi"/>
        </w:rPr>
        <w:t xml:space="preserve"> </w:t>
      </w:r>
      <w:r w:rsidR="005B573B">
        <w:rPr>
          <w:rFonts w:eastAsia="Calibri" w:cstheme="minorHAnsi"/>
        </w:rPr>
        <w:t xml:space="preserve">dotací </w:t>
      </w:r>
      <w:r w:rsidR="003B3E19" w:rsidRPr="009B4E61">
        <w:rPr>
          <w:rFonts w:eastAsia="Calibri" w:cstheme="minorHAnsi"/>
        </w:rPr>
        <w:t xml:space="preserve">k opuštění </w:t>
      </w:r>
      <w:r w:rsidR="00641D30">
        <w:rPr>
          <w:rFonts w:eastAsia="Calibri" w:cstheme="minorHAnsi"/>
        </w:rPr>
        <w:t>záměru</w:t>
      </w:r>
      <w:r w:rsidR="003B3E19" w:rsidRPr="009B4E61">
        <w:rPr>
          <w:rFonts w:eastAsia="Calibri" w:cstheme="minorHAnsi"/>
        </w:rPr>
        <w:t xml:space="preserve"> </w:t>
      </w:r>
      <w:r w:rsidR="006F4C50" w:rsidRPr="009B4E61">
        <w:rPr>
          <w:rFonts w:eastAsia="Calibri" w:cstheme="minorHAnsi"/>
        </w:rPr>
        <w:t>zvýš</w:t>
      </w:r>
      <w:r w:rsidR="00637307">
        <w:rPr>
          <w:rFonts w:eastAsia="Calibri" w:cstheme="minorHAnsi"/>
        </w:rPr>
        <w:t>it</w:t>
      </w:r>
      <w:r w:rsidR="006F4C50" w:rsidRPr="009B4E61">
        <w:rPr>
          <w:rFonts w:eastAsia="Calibri" w:cstheme="minorHAnsi"/>
        </w:rPr>
        <w:t xml:space="preserve"> ochran</w:t>
      </w:r>
      <w:r w:rsidR="00637307">
        <w:rPr>
          <w:rFonts w:eastAsia="Calibri" w:cstheme="minorHAnsi"/>
        </w:rPr>
        <w:t>u</w:t>
      </w:r>
      <w:r w:rsidR="003B3E19" w:rsidRPr="009B4E61">
        <w:rPr>
          <w:rFonts w:eastAsia="Calibri" w:cstheme="minorHAnsi"/>
        </w:rPr>
        <w:t xml:space="preserve"> prioritních </w:t>
      </w:r>
      <w:r w:rsidR="006F4C50" w:rsidRPr="009B4E61">
        <w:rPr>
          <w:rFonts w:eastAsia="Calibri" w:cstheme="minorHAnsi"/>
        </w:rPr>
        <w:t xml:space="preserve">měkkých cílů (46 nemocnic u </w:t>
      </w:r>
      <w:proofErr w:type="spellStart"/>
      <w:r w:rsidR="006F4C50" w:rsidRPr="009B4E61">
        <w:rPr>
          <w:rFonts w:eastAsia="Calibri" w:cstheme="minorHAnsi"/>
        </w:rPr>
        <w:t>MZd</w:t>
      </w:r>
      <w:proofErr w:type="spellEnd"/>
      <w:r w:rsidR="006F4C50" w:rsidRPr="009B4E61">
        <w:rPr>
          <w:rFonts w:eastAsia="Calibri" w:cstheme="minorHAnsi"/>
        </w:rPr>
        <w:t xml:space="preserve"> a 57 kulturních zařízení u</w:t>
      </w:r>
      <w:r w:rsidR="008563FD">
        <w:rPr>
          <w:rFonts w:eastAsia="Calibri" w:cstheme="minorHAnsi"/>
        </w:rPr>
        <w:t> </w:t>
      </w:r>
      <w:r w:rsidR="006F4C50" w:rsidRPr="009B4E61">
        <w:rPr>
          <w:rFonts w:eastAsia="Calibri" w:cstheme="minorHAnsi"/>
        </w:rPr>
        <w:t>MK).</w:t>
      </w:r>
      <w:r w:rsidR="003377C0" w:rsidRPr="009B4E61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Přesto nebyla č</w:t>
      </w:r>
      <w:r>
        <w:rPr>
          <w:rFonts w:eastAsia="Calibri" w:cstheme="minorHAnsi"/>
          <w:noProof/>
        </w:rPr>
        <w:t>ást poskytnutých prostředků v jednotlivých letech vyčerpána</w:t>
      </w:r>
      <w:r w:rsidR="00567108">
        <w:rPr>
          <w:rFonts w:eastAsia="Calibri" w:cstheme="minorHAnsi"/>
          <w:noProof/>
        </w:rPr>
        <w:t>.</w:t>
      </w:r>
      <w:r w:rsidR="005B4E20">
        <w:rPr>
          <w:rFonts w:eastAsia="Calibri" w:cstheme="minorHAnsi"/>
          <w:noProof/>
        </w:rPr>
        <w:t xml:space="preserve"> </w:t>
      </w:r>
      <w:r w:rsidR="008F5CFB">
        <w:rPr>
          <w:rFonts w:eastAsia="Calibri" w:cstheme="minorHAnsi"/>
          <w:noProof/>
        </w:rPr>
        <w:t>Např. MZd v</w:t>
      </w:r>
      <w:r>
        <w:rPr>
          <w:rFonts w:eastAsia="Calibri" w:cstheme="minorHAnsi"/>
          <w:noProof/>
        </w:rPr>
        <w:t xml:space="preserve">roce 2020 použilo nevyčerpané prostředky </w:t>
      </w:r>
      <w:r w:rsidRPr="00D278EF">
        <w:rPr>
          <w:rFonts w:cstheme="minorHAnsi"/>
          <w:iCs/>
        </w:rPr>
        <w:t>na úhradu nákladů spojených se školením zaměstnanců v oblasti psychosociální podpory a na upgrade, pořízení či pronájem svolávacího a varovného systému</w:t>
      </w:r>
      <w:r>
        <w:rPr>
          <w:rFonts w:cstheme="minorHAnsi"/>
          <w:iCs/>
        </w:rPr>
        <w:t>.</w:t>
      </w:r>
    </w:p>
    <w:p w14:paraId="3F2A26B8" w14:textId="5BB393BE" w:rsidR="00F83209" w:rsidRPr="00247673" w:rsidRDefault="00D701F1" w:rsidP="005B4E20">
      <w:pPr>
        <w:keepNext/>
        <w:spacing w:before="240" w:after="120"/>
        <w:rPr>
          <w:rFonts w:cstheme="minorHAnsi"/>
          <w:b/>
        </w:rPr>
      </w:pPr>
      <w:r w:rsidRPr="00247673">
        <w:rPr>
          <w:rFonts w:cstheme="minorHAnsi"/>
          <w:b/>
        </w:rPr>
        <w:t xml:space="preserve">3. </w:t>
      </w:r>
      <w:r w:rsidR="00F83209" w:rsidRPr="00247673">
        <w:rPr>
          <w:rFonts w:cstheme="minorHAnsi"/>
          <w:b/>
        </w:rPr>
        <w:t xml:space="preserve">MV, MK a </w:t>
      </w:r>
      <w:proofErr w:type="spellStart"/>
      <w:r w:rsidR="00F83209" w:rsidRPr="00247673">
        <w:rPr>
          <w:rFonts w:cstheme="minorHAnsi"/>
          <w:b/>
        </w:rPr>
        <w:t>MZd</w:t>
      </w:r>
      <w:proofErr w:type="spellEnd"/>
      <w:r w:rsidR="00F83209" w:rsidRPr="00247673">
        <w:rPr>
          <w:rFonts w:cstheme="minorHAnsi"/>
          <w:b/>
        </w:rPr>
        <w:t xml:space="preserve"> nestanovil</w:t>
      </w:r>
      <w:r w:rsidR="00D632B9" w:rsidRPr="00247673">
        <w:rPr>
          <w:rFonts w:cstheme="minorHAnsi"/>
          <w:b/>
        </w:rPr>
        <w:t>y</w:t>
      </w:r>
      <w:r w:rsidR="00F83209" w:rsidRPr="00247673">
        <w:rPr>
          <w:rFonts w:cstheme="minorHAnsi"/>
          <w:b/>
        </w:rPr>
        <w:t xml:space="preserve"> v </w:t>
      </w:r>
      <w:r w:rsidR="00196D18" w:rsidRPr="00247673">
        <w:rPr>
          <w:rFonts w:cstheme="minorHAnsi"/>
          <w:b/>
        </w:rPr>
        <w:t xml:space="preserve">neinvestičních </w:t>
      </w:r>
      <w:r w:rsidR="00F83209" w:rsidRPr="00247673">
        <w:rPr>
          <w:rFonts w:cstheme="minorHAnsi"/>
          <w:b/>
        </w:rPr>
        <w:t>programech</w:t>
      </w:r>
      <w:r w:rsidR="00B22883" w:rsidRPr="00247673">
        <w:rPr>
          <w:rFonts w:cstheme="minorHAnsi"/>
          <w:b/>
        </w:rPr>
        <w:t xml:space="preserve"> m</w:t>
      </w:r>
      <w:r w:rsidR="00F83209" w:rsidRPr="00247673">
        <w:rPr>
          <w:rFonts w:cstheme="minorHAnsi"/>
          <w:b/>
        </w:rPr>
        <w:t>ěřiteln</w:t>
      </w:r>
      <w:r w:rsidR="00637307">
        <w:rPr>
          <w:rFonts w:cstheme="minorHAnsi"/>
          <w:b/>
        </w:rPr>
        <w:t>é cíle</w:t>
      </w:r>
      <w:r w:rsidR="00F83209" w:rsidRPr="00247673">
        <w:rPr>
          <w:rFonts w:cstheme="minorHAnsi"/>
          <w:b/>
        </w:rPr>
        <w:t xml:space="preserve"> </w:t>
      </w:r>
    </w:p>
    <w:p w14:paraId="4F1C3B5B" w14:textId="7EC219E7" w:rsidR="00F83209" w:rsidRPr="009B4E61" w:rsidRDefault="00AD03A5" w:rsidP="009B4E61">
      <w:pPr>
        <w:spacing w:after="120"/>
        <w:jc w:val="both"/>
        <w:rPr>
          <w:rFonts w:eastAsia="Calibri" w:cstheme="minorHAnsi"/>
        </w:rPr>
      </w:pPr>
      <w:r>
        <w:rPr>
          <w:rFonts w:eastAsia="Calibri" w:cstheme="minorHAnsi"/>
        </w:rPr>
        <w:t>Jedním z předpokladů</w:t>
      </w:r>
      <w:r w:rsidR="00F83209" w:rsidRPr="009B4E61">
        <w:rPr>
          <w:rFonts w:eastAsia="Calibri" w:cstheme="minorHAnsi"/>
        </w:rPr>
        <w:t xml:space="preserve"> účelného vynaložení peněžních prostředků státu je nastavení měřitelného cíle programu, který zajistí dosažení předpokládaných výsledků a zamýšlených dopadů. </w:t>
      </w:r>
    </w:p>
    <w:p w14:paraId="6446AAF4" w14:textId="77777777" w:rsidR="00085B96" w:rsidRDefault="00D81011" w:rsidP="005C6137">
      <w:pPr>
        <w:spacing w:after="120"/>
        <w:jc w:val="both"/>
        <w:rPr>
          <w:rFonts w:cstheme="minorHAnsi"/>
        </w:rPr>
      </w:pPr>
      <w:r w:rsidRPr="009B4E61">
        <w:rPr>
          <w:rFonts w:eastAsia="Calibri" w:cstheme="minorHAnsi"/>
        </w:rPr>
        <w:t xml:space="preserve">MV a </w:t>
      </w:r>
      <w:proofErr w:type="spellStart"/>
      <w:r w:rsidRPr="009B4E61">
        <w:rPr>
          <w:rFonts w:eastAsia="Calibri" w:cstheme="minorHAnsi"/>
        </w:rPr>
        <w:t>MZd</w:t>
      </w:r>
      <w:proofErr w:type="spellEnd"/>
      <w:r w:rsidRPr="009B4E61">
        <w:rPr>
          <w:rFonts w:eastAsia="Calibri" w:cstheme="minorHAnsi"/>
        </w:rPr>
        <w:t xml:space="preserve"> </w:t>
      </w:r>
      <w:r w:rsidR="001310AA">
        <w:rPr>
          <w:rFonts w:eastAsia="Calibri" w:cstheme="minorHAnsi"/>
        </w:rPr>
        <w:t>určily</w:t>
      </w:r>
      <w:r w:rsidRPr="009B4E61">
        <w:rPr>
          <w:rFonts w:eastAsia="Calibri" w:cstheme="minorHAnsi"/>
        </w:rPr>
        <w:t xml:space="preserve">, že cíl neinvestičního programu je vázán na obecný cíl Koncepce OMC. </w:t>
      </w:r>
      <w:r w:rsidRPr="009B4E61">
        <w:rPr>
          <w:rFonts w:eastAsia="Calibri" w:cs="Calibri"/>
          <w:iCs/>
          <w:lang w:eastAsia="cs-CZ"/>
        </w:rPr>
        <w:t xml:space="preserve">Tím bylo </w:t>
      </w:r>
      <w:r w:rsidRPr="009B4E61">
        <w:rPr>
          <w:rFonts w:eastAsia="Calibri" w:cs="Times New Roman"/>
        </w:rPr>
        <w:t xml:space="preserve">vytvoření fungujícího národního systému OMC, díky kterému bude možné pružně, komplexně a rychle reagovat na hrozby útoků na </w:t>
      </w:r>
      <w:r w:rsidR="008E1849">
        <w:rPr>
          <w:rFonts w:eastAsia="Calibri" w:cs="Times New Roman"/>
        </w:rPr>
        <w:t>MC</w:t>
      </w:r>
      <w:r w:rsidRPr="009B4E61">
        <w:rPr>
          <w:rFonts w:eastAsia="Calibri" w:cs="Times New Roman"/>
        </w:rPr>
        <w:t xml:space="preserve"> vyplývající ze situace jak v zahraničí, tak v ČR.</w:t>
      </w:r>
      <w:r w:rsidRPr="009B4E61">
        <w:rPr>
          <w:rFonts w:eastAsia="Calibri" w:cstheme="minorHAnsi"/>
        </w:rPr>
        <w:t xml:space="preserve"> </w:t>
      </w:r>
      <w:r w:rsidRPr="009B4E61">
        <w:rPr>
          <w:rFonts w:cstheme="minorHAnsi"/>
        </w:rPr>
        <w:t xml:space="preserve">MK stanovilo obecný cíl zvýšit </w:t>
      </w:r>
      <w:r w:rsidRPr="009B4E61">
        <w:rPr>
          <w:rFonts w:eastAsia="Calibri" w:cs="Times New Roman"/>
        </w:rPr>
        <w:t>OMC</w:t>
      </w:r>
      <w:r w:rsidRPr="009B4E61">
        <w:rPr>
          <w:rFonts w:cstheme="minorHAnsi"/>
        </w:rPr>
        <w:t xml:space="preserve"> v oblasti kultury proti teroristickému nebo jinému násilnému útoku. Dalším cílem bylo zvýšení motivace vlastníků a provozovatelů </w:t>
      </w:r>
      <w:r w:rsidR="008E1849">
        <w:rPr>
          <w:rFonts w:cstheme="minorHAnsi"/>
        </w:rPr>
        <w:t>MC</w:t>
      </w:r>
      <w:r w:rsidRPr="009B4E61">
        <w:rPr>
          <w:rFonts w:cstheme="minorHAnsi"/>
        </w:rPr>
        <w:t>, aby se začali více zabývat objektovou bezpečností a podnikali kroky k jejímu efektivnímu zajištění.</w:t>
      </w:r>
    </w:p>
    <w:p w14:paraId="200BAC3F" w14:textId="6225737D" w:rsidR="005C6137" w:rsidRPr="00085B96" w:rsidRDefault="005B4E20" w:rsidP="00085B96">
      <w:pPr>
        <w:spacing w:after="120"/>
        <w:jc w:val="both"/>
        <w:rPr>
          <w:rFonts w:eastAsia="Calibri" w:cstheme="minorHAnsi"/>
        </w:rPr>
      </w:pPr>
      <w:r w:rsidRPr="009B4E61"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3445EA" wp14:editId="758CBC57">
                <wp:simplePos x="0" y="0"/>
                <wp:positionH relativeFrom="margin">
                  <wp:posOffset>-1905</wp:posOffset>
                </wp:positionH>
                <wp:positionV relativeFrom="paragraph">
                  <wp:posOffset>1398270</wp:posOffset>
                </wp:positionV>
                <wp:extent cx="5763260" cy="857885"/>
                <wp:effectExtent l="0" t="0" r="27940" b="18415"/>
                <wp:wrapSquare wrapText="bothSides"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260" cy="857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A81D0" w14:textId="0DC13AE8" w:rsidR="00F27C4A" w:rsidRDefault="00F27C4A" w:rsidP="00F27C4A">
                            <w:pPr>
                              <w:jc w:val="both"/>
                              <w:rPr>
                                <w:rStyle w:val="A4"/>
                                <w:rFonts w:ascii="Calibri" w:hAnsi="Calibri" w:cs="Calibri"/>
                                <w:b/>
                                <w:color w:val="0070C0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Style w:val="A4"/>
                                <w:rFonts w:ascii="Calibri" w:hAnsi="Calibri" w:cs="Calibri"/>
                                <w:b/>
                                <w:color w:val="0070C0"/>
                                <w:sz w:val="24"/>
                                <w:szCs w:val="40"/>
                              </w:rPr>
                              <w:t>Příklad č. 2</w:t>
                            </w:r>
                          </w:p>
                          <w:p w14:paraId="40A27F76" w14:textId="416667B0" w:rsidR="000F6FFD" w:rsidRPr="003E41DF" w:rsidRDefault="000F6FFD" w:rsidP="00AD03A5">
                            <w:pPr>
                              <w:spacing w:after="120"/>
                              <w:jc w:val="both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proofErr w:type="spellStart"/>
                            <w:r w:rsidRPr="003E41DF">
                              <w:rPr>
                                <w:rFonts w:cstheme="minorHAnsi"/>
                                <w:i/>
                                <w:iCs/>
                              </w:rPr>
                              <w:t>MZd</w:t>
                            </w:r>
                            <w:proofErr w:type="spellEnd"/>
                            <w:r w:rsidRPr="003E41DF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stanovilo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v roce 2019 v rámci závěrečného vyhodnocení </w:t>
                            </w:r>
                            <w:r w:rsidR="00567108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např. následující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měřitelné </w:t>
                            </w:r>
                            <w:r w:rsidRPr="003E41DF">
                              <w:rPr>
                                <w:rFonts w:cstheme="minorHAnsi"/>
                                <w:i/>
                                <w:iCs/>
                              </w:rPr>
                              <w:t>indikátory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  <w:r w:rsidRPr="003E41DF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hodnocení výsledků jednotlivých projektů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neinvestičního programu –</w:t>
                            </w:r>
                            <w:r w:rsidRPr="003E41DF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počet osob zúčastněných na cvičení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, počet osob proškolených na školení</w:t>
                            </w:r>
                            <w:r w:rsidRPr="003E41DF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apod. </w:t>
                            </w:r>
                          </w:p>
                          <w:p w14:paraId="3500BB84" w14:textId="77777777" w:rsidR="000F6FFD" w:rsidRDefault="000F6FFD" w:rsidP="00AD03A5">
                            <w:pPr>
                              <w:spacing w:after="12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445EA" id="Obdélník 1" o:spid="_x0000_s1028" style="position:absolute;left:0;text-align:left;margin-left:-.15pt;margin-top:110.1pt;width:453.8pt;height:67.5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" fillcolor="white [3201]" strokecolor="black [3200]" strokeweight="1pt">
                <v:textbox>
                  <w:txbxContent>
                    <w:p w14:paraId="33BA81D0" w14:textId="0DC13AE8" w:rsidR="00F27C4A" w:rsidRDefault="00F27C4A" w:rsidP="00F27C4A">
                      <w:pPr>
                        <w:jc w:val="both"/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</w:pPr>
                      <w:r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  <w:t>Příklad č. </w:t>
                      </w:r>
                      <w:r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  <w:t>2</w:t>
                      </w:r>
                    </w:p>
                    <w:p w14:paraId="40A27F76" w14:textId="416667B0" w:rsidR="000F6FFD" w:rsidRPr="003E41DF" w:rsidRDefault="000F6FFD" w:rsidP="00AD03A5">
                      <w:pPr>
                        <w:spacing w:after="120"/>
                        <w:jc w:val="both"/>
                        <w:rPr>
                          <w:rFonts w:cstheme="minorHAnsi"/>
                          <w:i/>
                          <w:iCs/>
                        </w:rPr>
                      </w:pPr>
                      <w:proofErr w:type="spellStart"/>
                      <w:r w:rsidRPr="003E41DF">
                        <w:rPr>
                          <w:rFonts w:cstheme="minorHAnsi"/>
                          <w:i/>
                          <w:iCs/>
                        </w:rPr>
                        <w:t>MZd</w:t>
                      </w:r>
                      <w:proofErr w:type="spellEnd"/>
                      <w:r w:rsidRPr="003E41DF">
                        <w:rPr>
                          <w:rFonts w:cstheme="minorHAnsi"/>
                          <w:i/>
                          <w:iCs/>
                        </w:rPr>
                        <w:t xml:space="preserve"> stanovilo 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v roce 2019 v rámci závěrečného vyhodnocení </w:t>
                      </w:r>
                      <w:r w:rsidR="00567108">
                        <w:rPr>
                          <w:rFonts w:cstheme="minorHAnsi"/>
                          <w:i/>
                          <w:iCs/>
                        </w:rPr>
                        <w:t xml:space="preserve">např. následující 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měřitelné </w:t>
                      </w:r>
                      <w:r w:rsidRPr="003E41DF">
                        <w:rPr>
                          <w:rFonts w:cstheme="minorHAnsi"/>
                          <w:i/>
                          <w:iCs/>
                        </w:rPr>
                        <w:t>indikátory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 </w:t>
                      </w:r>
                      <w:r w:rsidRPr="003E41DF">
                        <w:rPr>
                          <w:rFonts w:cstheme="minorHAnsi"/>
                          <w:i/>
                          <w:iCs/>
                        </w:rPr>
                        <w:t xml:space="preserve">hodnocení výsledků jednotlivých projektů 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neinvestičního programu –</w:t>
                      </w:r>
                      <w:r w:rsidRPr="003E41DF">
                        <w:rPr>
                          <w:rFonts w:cstheme="minorHAnsi"/>
                          <w:i/>
                          <w:iCs/>
                        </w:rPr>
                        <w:t xml:space="preserve"> počet osob zúčastněných na cvičení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, počet osob proškolených na školení</w:t>
                      </w:r>
                      <w:r w:rsidRPr="003E41DF">
                        <w:rPr>
                          <w:rFonts w:cstheme="minorHAnsi"/>
                          <w:i/>
                          <w:iCs/>
                        </w:rPr>
                        <w:t xml:space="preserve"> apod. </w:t>
                      </w:r>
                    </w:p>
                    <w:p w14:paraId="3500BB84" w14:textId="77777777" w:rsidR="000F6FFD" w:rsidRDefault="000F6FFD" w:rsidP="00AD03A5">
                      <w:pPr>
                        <w:spacing w:after="120"/>
                        <w:jc w:val="both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83209" w:rsidRPr="009B4E61">
        <w:rPr>
          <w:rFonts w:eastAsia="Calibri" w:cstheme="minorHAnsi"/>
        </w:rPr>
        <w:t xml:space="preserve">MV, MK a </w:t>
      </w:r>
      <w:proofErr w:type="spellStart"/>
      <w:r w:rsidR="00F83209" w:rsidRPr="009B4E61">
        <w:rPr>
          <w:rFonts w:eastAsia="Calibri" w:cstheme="minorHAnsi"/>
        </w:rPr>
        <w:t>MZd</w:t>
      </w:r>
      <w:proofErr w:type="spellEnd"/>
      <w:r w:rsidR="00F83209" w:rsidRPr="009B4E61">
        <w:rPr>
          <w:rFonts w:eastAsia="Calibri" w:cstheme="minorHAnsi"/>
        </w:rPr>
        <w:t xml:space="preserve"> nestanovil</w:t>
      </w:r>
      <w:r w:rsidR="00443C77">
        <w:rPr>
          <w:rFonts w:eastAsia="Calibri" w:cstheme="minorHAnsi"/>
        </w:rPr>
        <w:t>y</w:t>
      </w:r>
      <w:r w:rsidR="00F83209" w:rsidRPr="009B4E61">
        <w:rPr>
          <w:rFonts w:eastAsia="Calibri" w:cstheme="minorHAnsi"/>
        </w:rPr>
        <w:t xml:space="preserve"> konkrétní cíle </w:t>
      </w:r>
      <w:r w:rsidR="0004193A" w:rsidRPr="009B4E61">
        <w:rPr>
          <w:rFonts w:eastAsia="Calibri" w:cstheme="minorHAnsi"/>
        </w:rPr>
        <w:t>neinvestičních programů</w:t>
      </w:r>
      <w:r w:rsidR="00F83209" w:rsidRPr="009B4E61">
        <w:rPr>
          <w:rFonts w:eastAsia="Calibri" w:cstheme="minorHAnsi"/>
        </w:rPr>
        <w:t xml:space="preserve"> ani blíže nespecifikoval</w:t>
      </w:r>
      <w:r w:rsidR="00443C77">
        <w:rPr>
          <w:rFonts w:eastAsia="Calibri" w:cstheme="minorHAnsi"/>
        </w:rPr>
        <w:t>y</w:t>
      </w:r>
      <w:r w:rsidR="00F83209" w:rsidRPr="009B4E61">
        <w:rPr>
          <w:rFonts w:eastAsia="Calibri" w:cstheme="minorHAnsi"/>
        </w:rPr>
        <w:t xml:space="preserve"> způsob jejich vyhodnocení, předpokládané výsledky a dopady.</w:t>
      </w:r>
      <w:r w:rsidR="0004193A" w:rsidRPr="009B4E61">
        <w:rPr>
          <w:rFonts w:eastAsia="Calibri" w:cstheme="minorHAnsi"/>
        </w:rPr>
        <w:t xml:space="preserve"> </w:t>
      </w:r>
      <w:r w:rsidR="00275C8E">
        <w:rPr>
          <w:rFonts w:eastAsia="Calibri" w:cstheme="minorHAnsi"/>
        </w:rPr>
        <w:t>N</w:t>
      </w:r>
      <w:r w:rsidR="00F83209" w:rsidRPr="009B4E61">
        <w:rPr>
          <w:rFonts w:eastAsia="Calibri" w:cstheme="minorHAnsi"/>
        </w:rPr>
        <w:t>eurčil</w:t>
      </w:r>
      <w:r w:rsidR="00311B3A">
        <w:rPr>
          <w:rFonts w:eastAsia="Calibri" w:cstheme="minorHAnsi"/>
        </w:rPr>
        <w:t>y</w:t>
      </w:r>
      <w:r w:rsidR="00F83209" w:rsidRPr="009B4E61">
        <w:rPr>
          <w:rFonts w:eastAsia="Calibri" w:cstheme="minorHAnsi"/>
        </w:rPr>
        <w:t xml:space="preserve"> </w:t>
      </w:r>
      <w:r w:rsidR="00637307">
        <w:rPr>
          <w:rFonts w:eastAsia="Calibri" w:cstheme="minorHAnsi"/>
        </w:rPr>
        <w:t>ani</w:t>
      </w:r>
      <w:r w:rsidR="00F83209" w:rsidRPr="009B4E61">
        <w:rPr>
          <w:rFonts w:eastAsia="Calibri" w:cstheme="minorHAnsi"/>
        </w:rPr>
        <w:t xml:space="preserve"> cílové hodnoty, kterých </w:t>
      </w:r>
      <w:r w:rsidR="00E55AA7" w:rsidRPr="009B4E61">
        <w:rPr>
          <w:rFonts w:eastAsia="Calibri" w:cstheme="minorHAnsi"/>
        </w:rPr>
        <w:t xml:space="preserve">předpokládají </w:t>
      </w:r>
      <w:r w:rsidR="00F83209" w:rsidRPr="009B4E61">
        <w:rPr>
          <w:rFonts w:eastAsia="Calibri" w:cstheme="minorHAnsi"/>
        </w:rPr>
        <w:t xml:space="preserve">dosáhnout, ani měřitelné indikátory, </w:t>
      </w:r>
      <w:r w:rsidR="00637307">
        <w:rPr>
          <w:rFonts w:eastAsia="Calibri" w:cstheme="minorHAnsi"/>
        </w:rPr>
        <w:t xml:space="preserve">jejichž </w:t>
      </w:r>
      <w:r w:rsidR="00F83209" w:rsidRPr="009B4E61">
        <w:rPr>
          <w:rFonts w:eastAsia="Calibri" w:cstheme="minorHAnsi"/>
        </w:rPr>
        <w:t>prostřednictvím by bylo možno míru naplnění cíl</w:t>
      </w:r>
      <w:r w:rsidR="00E55AA7" w:rsidRPr="009B4E61">
        <w:rPr>
          <w:rFonts w:eastAsia="Calibri" w:cstheme="minorHAnsi"/>
        </w:rPr>
        <w:t>ů</w:t>
      </w:r>
      <w:r w:rsidR="00F83209" w:rsidRPr="009B4E61">
        <w:rPr>
          <w:rFonts w:eastAsia="Calibri" w:cstheme="minorHAnsi"/>
        </w:rPr>
        <w:t xml:space="preserve"> vyhodnotit.</w:t>
      </w:r>
      <w:r w:rsidR="0004193A" w:rsidRPr="009B4E61">
        <w:rPr>
          <w:rFonts w:eastAsia="Calibri" w:cstheme="minorHAnsi"/>
        </w:rPr>
        <w:t xml:space="preserve"> </w:t>
      </w:r>
      <w:r w:rsidR="00AD03A5" w:rsidRPr="009B4E61">
        <w:rPr>
          <w:rFonts w:eastAsia="Calibri" w:cstheme="minorHAnsi"/>
        </w:rPr>
        <w:t xml:space="preserve">MV, MK a </w:t>
      </w:r>
      <w:proofErr w:type="spellStart"/>
      <w:r w:rsidR="00AD03A5" w:rsidRPr="009B4E61">
        <w:rPr>
          <w:rFonts w:eastAsia="Calibri" w:cstheme="minorHAnsi"/>
        </w:rPr>
        <w:t>MZd</w:t>
      </w:r>
      <w:proofErr w:type="spellEnd"/>
      <w:r w:rsidR="00AD03A5" w:rsidRPr="009B4E61">
        <w:rPr>
          <w:rFonts w:eastAsia="Calibri" w:cstheme="minorHAnsi"/>
        </w:rPr>
        <w:t xml:space="preserve"> tak nebudou moci vyhodnotit, zda byly peněžní prostředky</w:t>
      </w:r>
      <w:r w:rsidR="00AD03A5">
        <w:rPr>
          <w:rFonts w:eastAsia="Calibri" w:cstheme="minorHAnsi"/>
        </w:rPr>
        <w:t xml:space="preserve"> státu </w:t>
      </w:r>
      <w:r w:rsidR="00AD03A5" w:rsidRPr="009B4E61">
        <w:rPr>
          <w:rFonts w:eastAsia="Calibri" w:cstheme="minorHAnsi"/>
        </w:rPr>
        <w:t>vynaloženy účelně.</w:t>
      </w:r>
      <w:r w:rsidR="00067180">
        <w:rPr>
          <w:rFonts w:eastAsia="Calibri" w:cstheme="minorHAnsi"/>
        </w:rPr>
        <w:t xml:space="preserve"> Přitom </w:t>
      </w:r>
      <w:r w:rsidR="003E41DF" w:rsidRPr="009B4E61">
        <w:rPr>
          <w:rFonts w:eastAsia="Calibri" w:cstheme="minorHAnsi"/>
        </w:rPr>
        <w:t>např. indikátor</w:t>
      </w:r>
      <w:r w:rsidR="00067180">
        <w:rPr>
          <w:rFonts w:eastAsia="Calibri" w:cstheme="minorHAnsi"/>
        </w:rPr>
        <w:t>y</w:t>
      </w:r>
      <w:r w:rsidR="003E41DF" w:rsidRPr="009B4E61">
        <w:rPr>
          <w:rFonts w:eastAsia="Calibri" w:cstheme="minorHAnsi"/>
        </w:rPr>
        <w:t xml:space="preserve"> výsledků </w:t>
      </w:r>
      <w:r w:rsidR="00067180" w:rsidRPr="009B4E61">
        <w:rPr>
          <w:rFonts w:eastAsia="Calibri" w:cstheme="minorHAnsi"/>
        </w:rPr>
        <w:t>s ohledem na podporované oblasti (aktivity)</w:t>
      </w:r>
      <w:r w:rsidR="00067180">
        <w:rPr>
          <w:rFonts w:eastAsia="Calibri" w:cstheme="minorHAnsi"/>
        </w:rPr>
        <w:t xml:space="preserve"> </w:t>
      </w:r>
      <w:r w:rsidR="00067180" w:rsidRPr="009B4E61">
        <w:rPr>
          <w:rFonts w:eastAsia="Calibri" w:cstheme="minorHAnsi"/>
        </w:rPr>
        <w:t>neinvestičních programů</w:t>
      </w:r>
      <w:r w:rsidR="00067180">
        <w:rPr>
          <w:rFonts w:eastAsia="Calibri" w:cstheme="minorHAnsi"/>
        </w:rPr>
        <w:t xml:space="preserve"> </w:t>
      </w:r>
      <w:proofErr w:type="spellStart"/>
      <w:r w:rsidR="00067180">
        <w:rPr>
          <w:rFonts w:eastAsia="Calibri" w:cstheme="minorHAnsi"/>
        </w:rPr>
        <w:t>MZd</w:t>
      </w:r>
      <w:proofErr w:type="spellEnd"/>
      <w:r w:rsidR="00067180">
        <w:rPr>
          <w:rFonts w:eastAsia="Calibri" w:cstheme="minorHAnsi"/>
        </w:rPr>
        <w:t xml:space="preserve"> nastavilo </w:t>
      </w:r>
      <w:r w:rsidR="00067180" w:rsidRPr="00067180">
        <w:rPr>
          <w:rFonts w:eastAsia="Calibri" w:cstheme="minorHAnsi"/>
        </w:rPr>
        <w:t xml:space="preserve">v roce 2019 </w:t>
      </w:r>
      <w:r w:rsidR="00067180">
        <w:rPr>
          <w:rFonts w:eastAsia="Calibri" w:cstheme="minorHAnsi"/>
        </w:rPr>
        <w:t xml:space="preserve">v rámci </w:t>
      </w:r>
      <w:r w:rsidR="00067180" w:rsidRPr="00067180">
        <w:rPr>
          <w:rFonts w:eastAsia="Calibri" w:cstheme="minorHAnsi"/>
        </w:rPr>
        <w:t>závěrečné</w:t>
      </w:r>
      <w:r w:rsidR="005C6137">
        <w:rPr>
          <w:rFonts w:eastAsia="Calibri" w:cstheme="minorHAnsi"/>
        </w:rPr>
        <w:t>ho</w:t>
      </w:r>
      <w:r w:rsidR="00067180" w:rsidRPr="00067180">
        <w:rPr>
          <w:rFonts w:eastAsia="Calibri" w:cstheme="minorHAnsi"/>
        </w:rPr>
        <w:t xml:space="preserve"> vyhodnocení projektů</w:t>
      </w:r>
      <w:r w:rsidR="00067180">
        <w:rPr>
          <w:rFonts w:eastAsia="Calibri" w:cstheme="minorHAnsi"/>
        </w:rPr>
        <w:t xml:space="preserve"> (</w:t>
      </w:r>
      <w:r w:rsidR="00637307">
        <w:rPr>
          <w:rFonts w:eastAsia="Calibri" w:cstheme="minorHAnsi"/>
        </w:rPr>
        <w:t xml:space="preserve">viz </w:t>
      </w:r>
      <w:r w:rsidR="00067180">
        <w:rPr>
          <w:rFonts w:eastAsia="Calibri" w:cstheme="minorHAnsi"/>
        </w:rPr>
        <w:t>příklad č. 2).</w:t>
      </w:r>
    </w:p>
    <w:p w14:paraId="50C55DC0" w14:textId="67BFE8E0" w:rsidR="00B974D7" w:rsidRPr="00637307" w:rsidRDefault="00D701F1" w:rsidP="00247673">
      <w:pPr>
        <w:keepNext/>
        <w:spacing w:before="240" w:after="120"/>
        <w:rPr>
          <w:rFonts w:cstheme="minorHAnsi"/>
          <w:b/>
        </w:rPr>
      </w:pPr>
      <w:r w:rsidRPr="00637307">
        <w:rPr>
          <w:rFonts w:cstheme="minorHAnsi"/>
          <w:b/>
        </w:rPr>
        <w:t xml:space="preserve">4. </w:t>
      </w:r>
      <w:r w:rsidR="00B974D7" w:rsidRPr="00637307">
        <w:rPr>
          <w:rFonts w:cstheme="minorHAnsi"/>
          <w:b/>
        </w:rPr>
        <w:t>MV</w:t>
      </w:r>
      <w:r w:rsidR="00E47DB1" w:rsidRPr="00637307">
        <w:rPr>
          <w:rFonts w:cstheme="minorHAnsi"/>
          <w:b/>
        </w:rPr>
        <w:t xml:space="preserve"> </w:t>
      </w:r>
      <w:r w:rsidR="00535087" w:rsidRPr="00637307">
        <w:rPr>
          <w:rFonts w:cstheme="minorHAnsi"/>
          <w:b/>
        </w:rPr>
        <w:t>a</w:t>
      </w:r>
      <w:r w:rsidR="00B974D7" w:rsidRPr="00637307">
        <w:rPr>
          <w:rFonts w:cstheme="minorHAnsi"/>
          <w:b/>
        </w:rPr>
        <w:t xml:space="preserve"> MK </w:t>
      </w:r>
      <w:r w:rsidR="008668C0" w:rsidRPr="00637307">
        <w:rPr>
          <w:rFonts w:cstheme="minorHAnsi"/>
          <w:b/>
        </w:rPr>
        <w:t xml:space="preserve">jednoznačně </w:t>
      </w:r>
      <w:r w:rsidR="009753DE" w:rsidRPr="00637307">
        <w:rPr>
          <w:rFonts w:cstheme="minorHAnsi"/>
          <w:b/>
        </w:rPr>
        <w:t>ne</w:t>
      </w:r>
      <w:r w:rsidR="008668C0" w:rsidRPr="00637307">
        <w:rPr>
          <w:rFonts w:cstheme="minorHAnsi"/>
          <w:b/>
        </w:rPr>
        <w:t>nastav</w:t>
      </w:r>
      <w:r w:rsidR="00EB3E36" w:rsidRPr="00637307">
        <w:rPr>
          <w:rFonts w:cstheme="minorHAnsi"/>
          <w:b/>
        </w:rPr>
        <w:t>ily</w:t>
      </w:r>
      <w:r w:rsidR="008668C0" w:rsidRPr="00637307">
        <w:rPr>
          <w:rFonts w:cstheme="minorHAnsi"/>
          <w:b/>
        </w:rPr>
        <w:t xml:space="preserve"> pravidla pro transparentní výběr projektů </w:t>
      </w:r>
    </w:p>
    <w:p w14:paraId="3A5143ED" w14:textId="442FD105" w:rsidR="00493B5E" w:rsidRPr="009B4E61" w:rsidRDefault="009430B2" w:rsidP="009B4E61">
      <w:pPr>
        <w:tabs>
          <w:tab w:val="left" w:pos="8820"/>
          <w:tab w:val="left" w:pos="9720"/>
        </w:tabs>
        <w:autoSpaceDE w:val="0"/>
        <w:autoSpaceDN w:val="0"/>
        <w:adjustRightInd w:val="0"/>
        <w:spacing w:after="120"/>
        <w:jc w:val="both"/>
      </w:pPr>
      <w:r w:rsidRPr="009B4E61">
        <w:t xml:space="preserve">Proces hodnocení a výběru projektů by měl být nastaven </w:t>
      </w:r>
      <w:r w:rsidR="00930738">
        <w:t>poskytovateli dotací</w:t>
      </w:r>
      <w:r w:rsidRPr="009B4E61">
        <w:t xml:space="preserve"> takovým způsobem, aby byl prostřednictvím doložitelné auditní stopy zpětně ověřitelný</w:t>
      </w:r>
      <w:r w:rsidR="00275C8E">
        <w:t xml:space="preserve"> </w:t>
      </w:r>
      <w:r w:rsidRPr="009B4E61">
        <w:t>a tím i</w:t>
      </w:r>
      <w:r w:rsidR="005B4E20">
        <w:t> </w:t>
      </w:r>
      <w:r w:rsidRPr="009B4E61">
        <w:t>transparentní.</w:t>
      </w:r>
    </w:p>
    <w:p w14:paraId="798FEA3D" w14:textId="2CDE3CAB" w:rsidR="00E87252" w:rsidRPr="009B4E61" w:rsidRDefault="00D04DDC" w:rsidP="009B4E61">
      <w:pPr>
        <w:tabs>
          <w:tab w:val="left" w:pos="8820"/>
          <w:tab w:val="left" w:pos="9720"/>
        </w:tabs>
        <w:autoSpaceDE w:val="0"/>
        <w:autoSpaceDN w:val="0"/>
        <w:adjustRightInd w:val="0"/>
        <w:spacing w:after="120"/>
        <w:jc w:val="both"/>
        <w:rPr>
          <w:rFonts w:eastAsia="Calibri" w:cstheme="minorHAnsi"/>
        </w:rPr>
      </w:pPr>
      <w:r w:rsidRPr="009B4E6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D69411" wp14:editId="05955DEE">
                <wp:simplePos x="0" y="0"/>
                <wp:positionH relativeFrom="margin">
                  <wp:align>left</wp:align>
                </wp:positionH>
                <wp:positionV relativeFrom="paragraph">
                  <wp:posOffset>1545590</wp:posOffset>
                </wp:positionV>
                <wp:extent cx="5763260" cy="1764665"/>
                <wp:effectExtent l="0" t="0" r="27940" b="26035"/>
                <wp:wrapSquare wrapText="bothSides"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260" cy="1764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D99A4" w14:textId="37A7A104" w:rsidR="00F27C4A" w:rsidRDefault="00F27C4A" w:rsidP="00F27C4A">
                            <w:pPr>
                              <w:jc w:val="both"/>
                              <w:rPr>
                                <w:rStyle w:val="A4"/>
                                <w:rFonts w:ascii="Calibri" w:hAnsi="Calibri" w:cs="Calibri"/>
                                <w:b/>
                                <w:color w:val="0070C0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Style w:val="A4"/>
                                <w:rFonts w:ascii="Calibri" w:hAnsi="Calibri" w:cs="Calibri"/>
                                <w:b/>
                                <w:color w:val="0070C0"/>
                                <w:sz w:val="24"/>
                                <w:szCs w:val="40"/>
                              </w:rPr>
                              <w:t>Příklad č. 3</w:t>
                            </w:r>
                          </w:p>
                          <w:p w14:paraId="27D6B7FC" w14:textId="0C975477" w:rsidR="000F6FFD" w:rsidRPr="00D04DDC" w:rsidRDefault="000F6FFD" w:rsidP="00E87252">
                            <w:pPr>
                              <w:spacing w:after="120"/>
                              <w:jc w:val="both"/>
                              <w:rPr>
                                <w:rFonts w:cstheme="minorHAnsi"/>
                                <w:bCs/>
                                <w:i/>
                                <w:iCs/>
                              </w:rPr>
                            </w:pPr>
                            <w:r w:rsidRPr="00E702F0">
                              <w:rPr>
                                <w:rFonts w:cstheme="minorHAnsi"/>
                                <w:bCs/>
                                <w:i/>
                                <w:iCs/>
                              </w:rPr>
                              <w:t xml:space="preserve">Příjemce prostředků </w:t>
                            </w:r>
                            <w:r w:rsidRPr="00E702F0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neinvestičního programu MK </w:t>
                            </w:r>
                            <w:r w:rsidRPr="00E702F0">
                              <w:rPr>
                                <w:rFonts w:cstheme="minorHAnsi"/>
                                <w:bCs/>
                                <w:i/>
                                <w:iCs/>
                              </w:rPr>
                              <w:t xml:space="preserve">v rámci projektu č. 134V811000089 žádal o dotaci na bezpečnostní studii zabezpečení čtyř divadelních objektů. Náklady na projekt v žádosti vyčíslil pouze souhrnnou celkovou částkou 1,4 mil. Kč bez dalšího podrobného zdůvodnění položky. </w:t>
                            </w:r>
                            <w:r w:rsidR="007A0C9A">
                              <w:rPr>
                                <w:rFonts w:cstheme="minorHAnsi"/>
                                <w:bCs/>
                                <w:i/>
                                <w:iCs/>
                              </w:rPr>
                              <w:t>Přesto h</w:t>
                            </w:r>
                            <w:r w:rsidRPr="00E702F0">
                              <w:rPr>
                                <w:rFonts w:cstheme="minorHAnsi"/>
                                <w:bCs/>
                                <w:i/>
                                <w:iCs/>
                              </w:rPr>
                              <w:t xml:space="preserve">odnotitel </w:t>
                            </w:r>
                            <w:r w:rsidR="007A0C9A" w:rsidRPr="00E702F0">
                              <w:rPr>
                                <w:rFonts w:cstheme="minorHAnsi"/>
                                <w:bCs/>
                                <w:i/>
                                <w:iCs/>
                              </w:rPr>
                              <w:t xml:space="preserve">pouze </w:t>
                            </w:r>
                            <w:r w:rsidRPr="00E702F0">
                              <w:rPr>
                                <w:rFonts w:cstheme="minorHAnsi"/>
                                <w:bCs/>
                                <w:i/>
                                <w:iCs/>
                              </w:rPr>
                              <w:t>na základě této informace doporučil projekt schválit v požadované výši, když ve stanovisku uvedl: „Doporučuji žádost ke schválení vzhledem k potřebě zvýšené ochrany MC v konkrétním případě. Krácení dotace nenavrhuji, náklady na realizaci projektu považuji za přiměřené. Jedná se o analýzu rizik pro 4 objekty.“</w:t>
                            </w:r>
                            <w:r>
                              <w:rPr>
                                <w:rFonts w:cstheme="minorHAnsi"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MK na základě doporučení hodnotitele schválilo dotaci v navržené výši.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69411" id="Obdélník 3" o:spid="_x0000_s1029" style="position:absolute;left:0;text-align:left;margin-left:0;margin-top:121.7pt;width:453.8pt;height:138.9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" fillcolor="white [3201]" strokecolor="black [3200]" strokeweight="1pt">
                <v:textbox>
                  <w:txbxContent>
                    <w:p w14:paraId="48FD99A4" w14:textId="37A7A104" w:rsidR="00F27C4A" w:rsidRDefault="00F27C4A" w:rsidP="00F27C4A">
                      <w:pPr>
                        <w:jc w:val="both"/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</w:pPr>
                      <w:r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  <w:t>Příklad č. 3</w:t>
                      </w:r>
                    </w:p>
                    <w:p w14:paraId="27D6B7FC" w14:textId="0C975477" w:rsidR="000F6FFD" w:rsidRPr="00D04DDC" w:rsidRDefault="000F6FFD" w:rsidP="00E87252">
                      <w:pPr>
                        <w:spacing w:after="120"/>
                        <w:jc w:val="both"/>
                        <w:rPr>
                          <w:rFonts w:cstheme="minorHAnsi"/>
                          <w:bCs/>
                          <w:i/>
                          <w:iCs/>
                        </w:rPr>
                      </w:pPr>
                      <w:r w:rsidRPr="00E702F0">
                        <w:rPr>
                          <w:rFonts w:cstheme="minorHAnsi"/>
                          <w:bCs/>
                          <w:i/>
                          <w:iCs/>
                        </w:rPr>
                        <w:t xml:space="preserve">Příjemce prostředků </w:t>
                      </w:r>
                      <w:r w:rsidRPr="00E702F0">
                        <w:rPr>
                          <w:rFonts w:eastAsia="Calibri" w:cstheme="minorHAnsi"/>
                          <w:i/>
                          <w:iCs/>
                        </w:rPr>
                        <w:t xml:space="preserve">neinvestičního programu MK </w:t>
                      </w:r>
                      <w:r w:rsidRPr="00E702F0">
                        <w:rPr>
                          <w:rFonts w:cstheme="minorHAnsi"/>
                          <w:bCs/>
                          <w:i/>
                          <w:iCs/>
                        </w:rPr>
                        <w:t xml:space="preserve">v rámci projektu č. 134V811000089 žádal o dotaci na bezpečnostní studii zabezpečení čtyř divadelních objektů. Náklady na projekt v žádosti vyčíslil pouze souhrnnou celkovou částkou 1,4 mil. Kč bez dalšího podrobného zdůvodnění položky. </w:t>
                      </w:r>
                      <w:r w:rsidR="007A0C9A">
                        <w:rPr>
                          <w:rFonts w:cstheme="minorHAnsi"/>
                          <w:bCs/>
                          <w:i/>
                          <w:iCs/>
                        </w:rPr>
                        <w:t>Přesto h</w:t>
                      </w:r>
                      <w:r w:rsidRPr="00E702F0">
                        <w:rPr>
                          <w:rFonts w:cstheme="minorHAnsi"/>
                          <w:bCs/>
                          <w:i/>
                          <w:iCs/>
                        </w:rPr>
                        <w:t xml:space="preserve">odnotitel </w:t>
                      </w:r>
                      <w:r w:rsidR="007A0C9A" w:rsidRPr="00E702F0">
                        <w:rPr>
                          <w:rFonts w:cstheme="minorHAnsi"/>
                          <w:bCs/>
                          <w:i/>
                          <w:iCs/>
                        </w:rPr>
                        <w:t xml:space="preserve">pouze </w:t>
                      </w:r>
                      <w:r w:rsidRPr="00E702F0">
                        <w:rPr>
                          <w:rFonts w:cstheme="minorHAnsi"/>
                          <w:bCs/>
                          <w:i/>
                          <w:iCs/>
                        </w:rPr>
                        <w:t>na základě této informace doporučil projekt schválit v požadované výši, když ve stanovisku uvedl: „Doporučuji žádost ke schválení vzhledem k potřebě zvýšené ochrany MC v konkrétním případě. Krácení dotace nenavrhuji, náklady na realizaci projektu považuji za přiměřené. Jedná se o analýzu rizik pro 4 objekty.“</w:t>
                      </w:r>
                      <w:r>
                        <w:rPr>
                          <w:rFonts w:cstheme="minorHAnsi"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 xml:space="preserve">MK na základě doporučení hodnotitele schválilo dotaci v navržené výši.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430B2" w:rsidRPr="009B4E61">
        <w:rPr>
          <w:rFonts w:eastAsia="Calibri" w:cs="Calibri"/>
        </w:rPr>
        <w:t>MV</w:t>
      </w:r>
      <w:r w:rsidR="009753DE">
        <w:rPr>
          <w:rFonts w:eastAsia="Calibri" w:cs="Calibri"/>
        </w:rPr>
        <w:t xml:space="preserve"> a</w:t>
      </w:r>
      <w:r w:rsidR="009430B2" w:rsidRPr="009B4E61">
        <w:rPr>
          <w:rFonts w:eastAsia="Calibri" w:cs="Calibri"/>
        </w:rPr>
        <w:t xml:space="preserve"> MK neměl</w:t>
      </w:r>
      <w:r w:rsidR="00CF1810">
        <w:rPr>
          <w:rFonts w:eastAsia="Calibri" w:cs="Calibri"/>
        </w:rPr>
        <w:t>y</w:t>
      </w:r>
      <w:r w:rsidR="009430B2" w:rsidRPr="009B4E61">
        <w:rPr>
          <w:rFonts w:eastAsia="Calibri" w:cs="Calibri"/>
        </w:rPr>
        <w:t xml:space="preserve"> jednoznačně nastaven</w:t>
      </w:r>
      <w:r w:rsidR="00C7031E">
        <w:rPr>
          <w:rFonts w:eastAsia="Calibri" w:cs="Calibri"/>
        </w:rPr>
        <w:t>a</w:t>
      </w:r>
      <w:r w:rsidR="009430B2" w:rsidRPr="009B4E61">
        <w:rPr>
          <w:rFonts w:eastAsia="Calibri" w:cs="Calibri"/>
        </w:rPr>
        <w:t xml:space="preserve"> pravidla pro transparentní výběr projektů. </w:t>
      </w:r>
      <w:r w:rsidR="009430B2" w:rsidRPr="009B4E61">
        <w:rPr>
          <w:rFonts w:eastAsia="Calibri" w:cstheme="minorHAnsi"/>
        </w:rPr>
        <w:t>MK jasně nespecifikovalo způsob rozdělení konkrétního počtu bodů mezi jednotlivé hodnot</w:t>
      </w:r>
      <w:r w:rsidR="00637307">
        <w:rPr>
          <w:rFonts w:eastAsia="Calibri" w:cstheme="minorHAnsi"/>
        </w:rPr>
        <w:t>i</w:t>
      </w:r>
      <w:r w:rsidR="009430B2" w:rsidRPr="009B4E61">
        <w:rPr>
          <w:rFonts w:eastAsia="Calibri" w:cstheme="minorHAnsi"/>
        </w:rPr>
        <w:t xml:space="preserve">cí ukazatele projektů. Hodnotitelé tak přidělovali body pro jednotlivé ukazatele bez předem daných pravidel. </w:t>
      </w:r>
      <w:r w:rsidR="00CE5F0C" w:rsidRPr="004D1E67">
        <w:rPr>
          <w:rFonts w:cstheme="minorHAnsi"/>
        </w:rPr>
        <w:t>MV a MK neuložily hodnotitelům povinnost doplnit</w:t>
      </w:r>
      <w:r w:rsidR="00CE5F0C" w:rsidRPr="009B4E61" w:rsidDel="00CE5F0C">
        <w:rPr>
          <w:rFonts w:eastAsia="Calibri" w:cstheme="minorHAnsi"/>
        </w:rPr>
        <w:t xml:space="preserve"> </w:t>
      </w:r>
      <w:r w:rsidR="009430B2" w:rsidRPr="009B4E61">
        <w:rPr>
          <w:rFonts w:eastAsia="Calibri" w:cstheme="minorHAnsi"/>
        </w:rPr>
        <w:t>hodnocení o slovní zdůvodnění přiděleného počtu bodů.</w:t>
      </w:r>
      <w:r>
        <w:rPr>
          <w:rFonts w:eastAsia="Calibri" w:cstheme="minorHAnsi"/>
        </w:rPr>
        <w:t xml:space="preserve"> </w:t>
      </w:r>
      <w:r w:rsidRPr="009B4E61">
        <w:rPr>
          <w:rFonts w:cstheme="minorHAnsi"/>
        </w:rPr>
        <w:t>Bez</w:t>
      </w:r>
      <w:r>
        <w:rPr>
          <w:rFonts w:cstheme="minorHAnsi"/>
        </w:rPr>
        <w:t xml:space="preserve"> </w:t>
      </w:r>
      <w:r w:rsidRPr="009B4E61">
        <w:rPr>
          <w:rFonts w:cstheme="minorHAnsi"/>
        </w:rPr>
        <w:t>doložení slovního</w:t>
      </w:r>
      <w:r>
        <w:rPr>
          <w:rFonts w:cstheme="minorHAnsi"/>
        </w:rPr>
        <w:t xml:space="preserve"> </w:t>
      </w:r>
      <w:r w:rsidRPr="009B4E61">
        <w:rPr>
          <w:rFonts w:cstheme="minorHAnsi"/>
        </w:rPr>
        <w:t>vysvětlení</w:t>
      </w:r>
      <w:r>
        <w:rPr>
          <w:rFonts w:cstheme="minorHAnsi"/>
        </w:rPr>
        <w:t xml:space="preserve"> </w:t>
      </w:r>
      <w:r w:rsidRPr="009B4E61">
        <w:rPr>
          <w:rFonts w:cstheme="minorHAnsi"/>
        </w:rPr>
        <w:t>nebylo</w:t>
      </w:r>
      <w:r>
        <w:rPr>
          <w:rFonts w:cstheme="minorHAnsi"/>
        </w:rPr>
        <w:t xml:space="preserve"> </w:t>
      </w:r>
      <w:r w:rsidRPr="009B4E61">
        <w:rPr>
          <w:rFonts w:cstheme="minorHAnsi"/>
        </w:rPr>
        <w:t>jednoznačně zajištěno</w:t>
      </w:r>
      <w:r w:rsidR="00637307">
        <w:rPr>
          <w:rFonts w:cstheme="minorHAnsi"/>
        </w:rPr>
        <w:t xml:space="preserve"> </w:t>
      </w:r>
      <w:r w:rsidRPr="009B4E61">
        <w:rPr>
          <w:rFonts w:cstheme="minorHAnsi"/>
        </w:rPr>
        <w:t>zpětně ověřitelné zdůvodnění jejich hodnocení (tzv. auditní stopa</w:t>
      </w:r>
      <w:r>
        <w:rPr>
          <w:rFonts w:cstheme="minorHAnsi"/>
        </w:rPr>
        <w:t xml:space="preserve">). </w:t>
      </w:r>
      <w:r w:rsidR="00067180">
        <w:rPr>
          <w:rFonts w:eastAsia="Calibri" w:cstheme="minorHAnsi"/>
        </w:rPr>
        <w:t xml:space="preserve">MK </w:t>
      </w:r>
      <w:r w:rsidR="005C6137">
        <w:rPr>
          <w:rFonts w:eastAsia="Calibri" w:cstheme="minorHAnsi"/>
        </w:rPr>
        <w:t xml:space="preserve">i přesto </w:t>
      </w:r>
      <w:r w:rsidR="00067180">
        <w:rPr>
          <w:rFonts w:eastAsia="Calibri" w:cstheme="minorHAnsi"/>
        </w:rPr>
        <w:t xml:space="preserve">stanovilo povinnost hodnotitelům </w:t>
      </w:r>
      <w:r w:rsidR="00975776">
        <w:rPr>
          <w:rFonts w:eastAsia="Calibri" w:cstheme="minorHAnsi"/>
        </w:rPr>
        <w:t xml:space="preserve">se </w:t>
      </w:r>
      <w:r w:rsidR="00067180">
        <w:rPr>
          <w:rFonts w:eastAsia="Calibri" w:cstheme="minorHAnsi"/>
        </w:rPr>
        <w:t xml:space="preserve">vyjádřit </w:t>
      </w:r>
      <w:r w:rsidR="00067180" w:rsidRPr="00E702F0">
        <w:rPr>
          <w:rFonts w:eastAsia="Calibri" w:cstheme="minorHAnsi"/>
        </w:rPr>
        <w:t>k přiměřenosti nákladů</w:t>
      </w:r>
      <w:r w:rsidR="00067180">
        <w:rPr>
          <w:rFonts w:eastAsia="Calibri" w:cstheme="minorHAnsi"/>
        </w:rPr>
        <w:t xml:space="preserve">, ačkoliv </w:t>
      </w:r>
      <w:r w:rsidR="000B70EB">
        <w:rPr>
          <w:rFonts w:eastAsia="Calibri" w:cstheme="minorHAnsi"/>
        </w:rPr>
        <w:t xml:space="preserve">v žádostech nepožadovalo </w:t>
      </w:r>
      <w:r w:rsidR="00975776">
        <w:rPr>
          <w:rFonts w:eastAsia="Calibri" w:cstheme="minorHAnsi"/>
        </w:rPr>
        <w:t>po příjemcích podrobné údaje pro toto posouzení</w:t>
      </w:r>
      <w:r>
        <w:rPr>
          <w:rFonts w:eastAsia="Calibri" w:cstheme="minorHAnsi"/>
        </w:rPr>
        <w:t xml:space="preserve"> (</w:t>
      </w:r>
      <w:r w:rsidR="00637307">
        <w:rPr>
          <w:rFonts w:eastAsia="Calibri" w:cstheme="minorHAnsi"/>
        </w:rPr>
        <w:t xml:space="preserve">viz </w:t>
      </w:r>
      <w:r>
        <w:rPr>
          <w:rFonts w:eastAsia="Calibri" w:cstheme="minorHAnsi"/>
        </w:rPr>
        <w:t>příklad č. 3).</w:t>
      </w:r>
    </w:p>
    <w:p w14:paraId="0F6A1313" w14:textId="5D081EF0" w:rsidR="00F83209" w:rsidRPr="00247673" w:rsidRDefault="00D701F1" w:rsidP="00247673">
      <w:pPr>
        <w:keepNext/>
        <w:spacing w:before="240" w:after="120"/>
        <w:ind w:left="227" w:hanging="227"/>
        <w:rPr>
          <w:rFonts w:cstheme="minorHAnsi"/>
          <w:b/>
        </w:rPr>
      </w:pPr>
      <w:r w:rsidRPr="00247673">
        <w:rPr>
          <w:rFonts w:cstheme="minorHAnsi"/>
          <w:b/>
        </w:rPr>
        <w:t>5.</w:t>
      </w:r>
      <w:r w:rsidR="005B4E20" w:rsidRPr="00247673">
        <w:rPr>
          <w:rFonts w:cstheme="minorHAnsi"/>
          <w:b/>
        </w:rPr>
        <w:tab/>
      </w:r>
      <w:r w:rsidR="00F83209" w:rsidRPr="00247673">
        <w:rPr>
          <w:rFonts w:cstheme="minorHAnsi"/>
          <w:b/>
        </w:rPr>
        <w:t xml:space="preserve">MK a </w:t>
      </w:r>
      <w:proofErr w:type="spellStart"/>
      <w:r w:rsidR="00F83209" w:rsidRPr="00247673">
        <w:rPr>
          <w:rFonts w:cstheme="minorHAnsi"/>
          <w:b/>
        </w:rPr>
        <w:t>MZd</w:t>
      </w:r>
      <w:proofErr w:type="spellEnd"/>
      <w:r w:rsidR="00F83209" w:rsidRPr="00247673">
        <w:rPr>
          <w:rFonts w:cstheme="minorHAnsi"/>
          <w:b/>
        </w:rPr>
        <w:t xml:space="preserve"> nestanovil</w:t>
      </w:r>
      <w:r w:rsidR="00CF1810" w:rsidRPr="00247673">
        <w:rPr>
          <w:rFonts w:cstheme="minorHAnsi"/>
          <w:b/>
        </w:rPr>
        <w:t>y</w:t>
      </w:r>
      <w:r w:rsidR="00F83209" w:rsidRPr="00247673">
        <w:rPr>
          <w:rFonts w:cstheme="minorHAnsi"/>
          <w:b/>
        </w:rPr>
        <w:t xml:space="preserve"> podmínky </w:t>
      </w:r>
      <w:r w:rsidR="00311B3A" w:rsidRPr="00247673">
        <w:rPr>
          <w:rFonts w:cstheme="minorHAnsi"/>
          <w:b/>
        </w:rPr>
        <w:t>r</w:t>
      </w:r>
      <w:r w:rsidR="00F83209" w:rsidRPr="00247673">
        <w:rPr>
          <w:rFonts w:cstheme="minorHAnsi"/>
          <w:b/>
        </w:rPr>
        <w:t>ozhodnutí o poskytnutí dotace tak, aby mohl</w:t>
      </w:r>
      <w:r w:rsidR="00660B46" w:rsidRPr="00247673">
        <w:rPr>
          <w:rFonts w:cstheme="minorHAnsi"/>
          <w:b/>
        </w:rPr>
        <w:t>y</w:t>
      </w:r>
      <w:r w:rsidR="00F83209" w:rsidRPr="00247673">
        <w:rPr>
          <w:rFonts w:cstheme="minorHAnsi"/>
          <w:b/>
        </w:rPr>
        <w:t xml:space="preserve"> vyhodnotit, zda příjemc</w:t>
      </w:r>
      <w:r w:rsidR="00E06862" w:rsidRPr="00247673">
        <w:rPr>
          <w:rFonts w:cstheme="minorHAnsi"/>
          <w:b/>
        </w:rPr>
        <w:t>i</w:t>
      </w:r>
      <w:r w:rsidR="00F83209" w:rsidRPr="00247673">
        <w:rPr>
          <w:rFonts w:cstheme="minorHAnsi"/>
          <w:b/>
        </w:rPr>
        <w:t xml:space="preserve"> postupoval</w:t>
      </w:r>
      <w:r w:rsidR="00660B46" w:rsidRPr="00247673">
        <w:rPr>
          <w:rFonts w:cstheme="minorHAnsi"/>
          <w:b/>
        </w:rPr>
        <w:t>i</w:t>
      </w:r>
      <w:r w:rsidR="00F83209" w:rsidRPr="00247673">
        <w:rPr>
          <w:rFonts w:cstheme="minorHAnsi"/>
          <w:b/>
        </w:rPr>
        <w:t xml:space="preserve"> při realizaci projekt</w:t>
      </w:r>
      <w:r w:rsidR="00711C82" w:rsidRPr="00247673">
        <w:rPr>
          <w:rFonts w:cstheme="minorHAnsi"/>
          <w:b/>
        </w:rPr>
        <w:t>ů</w:t>
      </w:r>
      <w:r w:rsidR="00F83209" w:rsidRPr="00247673">
        <w:rPr>
          <w:rFonts w:cstheme="minorHAnsi"/>
          <w:b/>
        </w:rPr>
        <w:t xml:space="preserve"> účelně a hospodárně </w:t>
      </w:r>
    </w:p>
    <w:p w14:paraId="41F77711" w14:textId="5E1F47C6" w:rsidR="00C86DAC" w:rsidRPr="00C86DAC" w:rsidRDefault="00C86DAC" w:rsidP="00C86DAC">
      <w:pPr>
        <w:autoSpaceDE w:val="0"/>
        <w:autoSpaceDN w:val="0"/>
        <w:adjustRightInd w:val="0"/>
        <w:spacing w:after="120"/>
        <w:jc w:val="both"/>
        <w:rPr>
          <w:rFonts w:eastAsia="Calibri" w:cstheme="minorHAnsi"/>
          <w:color w:val="000000" w:themeColor="text1"/>
        </w:rPr>
      </w:pPr>
      <w:r w:rsidRPr="00C86DAC">
        <w:rPr>
          <w:rFonts w:eastAsia="Calibri" w:cstheme="minorHAnsi"/>
          <w:color w:val="000000" w:themeColor="text1"/>
        </w:rPr>
        <w:t>V žádosti o dotaci by měl žadatel na základě požadavků poskytovatel</w:t>
      </w:r>
      <w:r w:rsidR="005C6137">
        <w:rPr>
          <w:rFonts w:eastAsia="Calibri" w:cstheme="minorHAnsi"/>
          <w:color w:val="000000" w:themeColor="text1"/>
        </w:rPr>
        <w:t>e</w:t>
      </w:r>
      <w:r w:rsidRPr="00C86DAC">
        <w:rPr>
          <w:rFonts w:eastAsia="Calibri" w:cstheme="minorHAnsi"/>
          <w:color w:val="000000" w:themeColor="text1"/>
        </w:rPr>
        <w:t xml:space="preserve"> dotací specifikovat realizované aktivity a předpokládaný rozpočet projektu tak, aby poskytovatel dotace mohl mj. posoudit účelnost a hospodárnost poskytovaných peněžních prostředků státu. Parametry pro účelnost a hospodárnost by pak měl poskytovatel dotace vymezit v ROPD. </w:t>
      </w:r>
    </w:p>
    <w:p w14:paraId="4D9F952D" w14:textId="24900C8F" w:rsidR="00C86DAC" w:rsidRDefault="00C86DAC" w:rsidP="00C86DAC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C86DAC">
        <w:rPr>
          <w:rFonts w:eastAsia="Calibri" w:cstheme="minorHAnsi"/>
          <w:color w:val="000000" w:themeColor="text1"/>
        </w:rPr>
        <w:t>MK</w:t>
      </w:r>
      <w:r w:rsidR="007120B4">
        <w:rPr>
          <w:rFonts w:eastAsia="Calibri" w:cstheme="minorHAnsi"/>
          <w:color w:val="000000" w:themeColor="text1"/>
        </w:rPr>
        <w:t xml:space="preserve"> </w:t>
      </w:r>
      <w:r w:rsidRPr="00C86DAC">
        <w:rPr>
          <w:rFonts w:eastAsia="Calibri" w:cstheme="minorHAnsi"/>
        </w:rPr>
        <w:t xml:space="preserve">v ROPD jednoznačně nevymezilo věcný rozsah činností v návaznosti na poskytnuté peněžní prostředky státu. </w:t>
      </w:r>
      <w:r w:rsidRPr="00C86DAC">
        <w:rPr>
          <w:rFonts w:eastAsia="Calibri" w:cstheme="minorHAnsi"/>
          <w:color w:val="000000" w:themeColor="text1"/>
        </w:rPr>
        <w:t xml:space="preserve">U dvou kontrolovaných projektů </w:t>
      </w:r>
      <w:r w:rsidR="007120B4" w:rsidRPr="00C86DAC">
        <w:t xml:space="preserve">podal </w:t>
      </w:r>
      <w:r w:rsidRPr="00C86DAC">
        <w:t xml:space="preserve">žadatel žádost o financování činnosti bezpečnostního manažera. MK v ROPD stanovilo celkovou částku na financování </w:t>
      </w:r>
      <w:r w:rsidR="007120B4">
        <w:t xml:space="preserve">této </w:t>
      </w:r>
      <w:r w:rsidRPr="00C86DAC">
        <w:t>činnosti ve výši 240 000 Kč</w:t>
      </w:r>
      <w:r w:rsidR="00711C82">
        <w:t>,</w:t>
      </w:r>
      <w:r w:rsidRPr="00C86DAC">
        <w:t xml:space="preserve"> resp. 320 000 Kč</w:t>
      </w:r>
      <w:r w:rsidR="007120B4">
        <w:t>, ne</w:t>
      </w:r>
      <w:r w:rsidR="00711C82">
        <w:t>určilo</w:t>
      </w:r>
      <w:r w:rsidR="007120B4">
        <w:t xml:space="preserve"> </w:t>
      </w:r>
      <w:r w:rsidRPr="00C86DAC">
        <w:t>hodinovou sazbu ani požadovaný počet odpracovaných hodin.</w:t>
      </w:r>
      <w:r w:rsidRPr="00C86DAC">
        <w:rPr>
          <w:rFonts w:eastAsia="Calibri" w:cstheme="minorHAnsi"/>
          <w:color w:val="000000" w:themeColor="text1"/>
        </w:rPr>
        <w:t xml:space="preserve"> </w:t>
      </w:r>
      <w:r w:rsidR="007A0C9A">
        <w:rPr>
          <w:rFonts w:eastAsia="Calibri" w:cstheme="minorHAnsi"/>
          <w:color w:val="000000" w:themeColor="text1"/>
        </w:rPr>
        <w:t>Protože</w:t>
      </w:r>
      <w:r w:rsidRPr="00C86DAC">
        <w:rPr>
          <w:rFonts w:eastAsia="Calibri" w:cstheme="minorHAnsi"/>
          <w:color w:val="000000" w:themeColor="text1"/>
        </w:rPr>
        <w:t xml:space="preserve"> </w:t>
      </w:r>
      <w:r w:rsidRPr="00C86DAC">
        <w:rPr>
          <w:rFonts w:cstheme="minorHAnsi"/>
          <w:iCs/>
        </w:rPr>
        <w:t>příjemci byli limitováni pouze celkovou výší prostředků</w:t>
      </w:r>
      <w:r w:rsidRPr="00C86DAC">
        <w:rPr>
          <w:rFonts w:eastAsia="Calibri" w:cstheme="minorHAnsi"/>
          <w:color w:val="000000" w:themeColor="text1"/>
        </w:rPr>
        <w:t xml:space="preserve">, </w:t>
      </w:r>
      <w:r w:rsidRPr="00C86DAC">
        <w:t>nemohlo MK vyhodnotit, zda</w:t>
      </w:r>
      <w:r w:rsidRPr="00C86DAC">
        <w:rPr>
          <w:rFonts w:cstheme="minorHAnsi"/>
          <w:b/>
          <w:i/>
        </w:rPr>
        <w:t xml:space="preserve"> </w:t>
      </w:r>
      <w:r w:rsidRPr="00C86DAC">
        <w:rPr>
          <w:rFonts w:cstheme="minorHAnsi"/>
        </w:rPr>
        <w:t xml:space="preserve">postupovali při realizaci projektů </w:t>
      </w:r>
      <w:r w:rsidR="00711C82">
        <w:rPr>
          <w:rFonts w:cstheme="minorHAnsi"/>
        </w:rPr>
        <w:t xml:space="preserve">účelně a </w:t>
      </w:r>
      <w:r w:rsidRPr="00C86DAC">
        <w:rPr>
          <w:rFonts w:cstheme="minorHAnsi"/>
        </w:rPr>
        <w:t>hospodárně.</w:t>
      </w:r>
    </w:p>
    <w:p w14:paraId="12B2CED2" w14:textId="058142BC" w:rsidR="00527651" w:rsidRPr="00527651" w:rsidRDefault="00C86DAC" w:rsidP="00527651">
      <w:pPr>
        <w:autoSpaceDE w:val="0"/>
        <w:autoSpaceDN w:val="0"/>
        <w:adjustRightInd w:val="0"/>
        <w:spacing w:before="240" w:after="120"/>
        <w:jc w:val="both"/>
        <w:rPr>
          <w:rFonts w:cstheme="minorHAnsi"/>
          <w:color w:val="000000" w:themeColor="text1"/>
        </w:rPr>
      </w:pPr>
      <w:proofErr w:type="spellStart"/>
      <w:r w:rsidRPr="00C86DAC">
        <w:rPr>
          <w:rFonts w:eastAsia="Calibri" w:cstheme="minorHAnsi"/>
        </w:rPr>
        <w:t>MZd</w:t>
      </w:r>
      <w:proofErr w:type="spellEnd"/>
      <w:r w:rsidRPr="00C86DAC">
        <w:rPr>
          <w:rFonts w:eastAsia="Calibri" w:cstheme="minorHAnsi"/>
        </w:rPr>
        <w:t xml:space="preserve"> </w:t>
      </w:r>
      <w:r w:rsidRPr="00C86DAC">
        <w:rPr>
          <w:rFonts w:cstheme="minorHAnsi"/>
          <w:color w:val="000000" w:themeColor="text1"/>
        </w:rPr>
        <w:t xml:space="preserve">stanovilo v ROPD vydaných pro rok 2019 v části rozpočet pouze jednu položku </w:t>
      </w:r>
      <w:r w:rsidR="007A0C9A">
        <w:rPr>
          <w:rFonts w:cstheme="minorHAnsi"/>
          <w:i/>
          <w:color w:val="000000" w:themeColor="text1"/>
        </w:rPr>
        <w:t>s</w:t>
      </w:r>
      <w:r w:rsidRPr="00C86DAC">
        <w:rPr>
          <w:rFonts w:cstheme="minorHAnsi"/>
          <w:i/>
          <w:color w:val="000000" w:themeColor="text1"/>
        </w:rPr>
        <w:t xml:space="preserve">lužby </w:t>
      </w:r>
      <w:r w:rsidRPr="00C86DAC">
        <w:rPr>
          <w:rFonts w:cstheme="minorHAnsi"/>
          <w:color w:val="000000" w:themeColor="text1"/>
        </w:rPr>
        <w:t>s příslušnou schválenou celkovou částkou dotace bez bližšího rozdělení na jednotlivé položky, přestože v žádosti o dotaci požadovalo rozepsat požadované prostředky na jednotlivé položky.</w:t>
      </w:r>
      <w:r w:rsidR="00527651">
        <w:rPr>
          <w:rFonts w:cstheme="minorHAnsi"/>
          <w:color w:val="000000" w:themeColor="text1"/>
        </w:rPr>
        <w:t xml:space="preserve"> </w:t>
      </w:r>
      <w:r w:rsidRPr="00C86DAC">
        <w:rPr>
          <w:rFonts w:cstheme="minorHAnsi"/>
          <w:color w:val="000000" w:themeColor="text1"/>
        </w:rPr>
        <w:t>V rámci ROPD vydaných pro rok 2020 zjistil NKÚ nejednotnost obsahu.</w:t>
      </w:r>
      <w:r w:rsidR="00527651">
        <w:rPr>
          <w:rFonts w:cstheme="minorHAnsi"/>
          <w:color w:val="000000" w:themeColor="text1"/>
        </w:rPr>
        <w:t xml:space="preserve"> </w:t>
      </w:r>
      <w:r w:rsidRPr="00C86DAC">
        <w:rPr>
          <w:rFonts w:cstheme="minorHAnsi"/>
          <w:color w:val="000000" w:themeColor="text1"/>
        </w:rPr>
        <w:t xml:space="preserve">Např. </w:t>
      </w:r>
      <w:r w:rsidR="00527651">
        <w:rPr>
          <w:rFonts w:cstheme="minorHAnsi"/>
          <w:color w:val="000000" w:themeColor="text1"/>
        </w:rPr>
        <w:t xml:space="preserve">u jednoho kontrolovaného projektu </w:t>
      </w:r>
      <w:proofErr w:type="spellStart"/>
      <w:r w:rsidR="00527651" w:rsidRPr="00C86DAC">
        <w:rPr>
          <w:rFonts w:cstheme="minorHAnsi"/>
          <w:color w:val="000000" w:themeColor="text1"/>
        </w:rPr>
        <w:t>MZd</w:t>
      </w:r>
      <w:proofErr w:type="spellEnd"/>
      <w:r w:rsidR="00527651" w:rsidRPr="00C86DAC">
        <w:rPr>
          <w:rFonts w:cstheme="minorHAnsi"/>
          <w:color w:val="000000" w:themeColor="text1"/>
        </w:rPr>
        <w:t xml:space="preserve"> </w:t>
      </w:r>
      <w:r w:rsidRPr="00C86DAC">
        <w:rPr>
          <w:rFonts w:cstheme="minorHAnsi"/>
          <w:color w:val="000000" w:themeColor="text1"/>
        </w:rPr>
        <w:t xml:space="preserve">v ROPD u položky </w:t>
      </w:r>
      <w:r w:rsidR="007A0C9A">
        <w:rPr>
          <w:rFonts w:cstheme="minorHAnsi"/>
          <w:i/>
          <w:iCs/>
          <w:color w:val="000000" w:themeColor="text1"/>
        </w:rPr>
        <w:t>n</w:t>
      </w:r>
      <w:r w:rsidRPr="00C86DAC">
        <w:rPr>
          <w:rFonts w:cstheme="minorHAnsi"/>
          <w:i/>
          <w:iCs/>
          <w:color w:val="000000" w:themeColor="text1"/>
        </w:rPr>
        <w:t>einvestiční hmotný majetek</w:t>
      </w:r>
      <w:r w:rsidRPr="00C86DAC">
        <w:rPr>
          <w:rFonts w:cstheme="minorHAnsi"/>
          <w:color w:val="000000" w:themeColor="text1"/>
        </w:rPr>
        <w:t xml:space="preserve"> specifikovalo počet kusů, v jiných případech uvedlo pouze výčet majetku. Obdobné nedostatky zjistil NKÚ i</w:t>
      </w:r>
      <w:r w:rsidR="00247673">
        <w:rPr>
          <w:rFonts w:cstheme="minorHAnsi"/>
          <w:color w:val="000000" w:themeColor="text1"/>
        </w:rPr>
        <w:t> </w:t>
      </w:r>
      <w:r w:rsidRPr="00C86DAC">
        <w:rPr>
          <w:rFonts w:cstheme="minorHAnsi"/>
          <w:color w:val="000000" w:themeColor="text1"/>
        </w:rPr>
        <w:t xml:space="preserve">u položky </w:t>
      </w:r>
      <w:r w:rsidR="007A0C9A">
        <w:rPr>
          <w:rFonts w:cstheme="minorHAnsi"/>
          <w:i/>
          <w:color w:val="000000" w:themeColor="text1"/>
        </w:rPr>
        <w:t>s</w:t>
      </w:r>
      <w:r w:rsidRPr="00C86DAC">
        <w:rPr>
          <w:rFonts w:cstheme="minorHAnsi"/>
          <w:i/>
          <w:color w:val="000000" w:themeColor="text1"/>
        </w:rPr>
        <w:t>lužby</w:t>
      </w:r>
      <w:r w:rsidR="00527651">
        <w:rPr>
          <w:rFonts w:cstheme="minorHAnsi"/>
          <w:i/>
          <w:color w:val="000000" w:themeColor="text1"/>
        </w:rPr>
        <w:t>.</w:t>
      </w:r>
      <w:r w:rsidR="00527651">
        <w:rPr>
          <w:rFonts w:cstheme="minorHAnsi"/>
          <w:color w:val="000000" w:themeColor="text1"/>
        </w:rPr>
        <w:t xml:space="preserve"> </w:t>
      </w:r>
      <w:proofErr w:type="spellStart"/>
      <w:r w:rsidR="00527651">
        <w:t>MZd</w:t>
      </w:r>
      <w:proofErr w:type="spellEnd"/>
      <w:r w:rsidR="00527651">
        <w:t xml:space="preserve"> tak nemohlo </w:t>
      </w:r>
      <w:r w:rsidR="00527651" w:rsidRPr="00C86DAC">
        <w:t>vyhodnotit, zda</w:t>
      </w:r>
      <w:r w:rsidR="00527651" w:rsidRPr="00C86DAC">
        <w:rPr>
          <w:rFonts w:cstheme="minorHAnsi"/>
          <w:b/>
          <w:i/>
        </w:rPr>
        <w:t xml:space="preserve"> </w:t>
      </w:r>
      <w:r w:rsidR="00527651" w:rsidRPr="00527651">
        <w:rPr>
          <w:rFonts w:cstheme="minorHAnsi"/>
        </w:rPr>
        <w:t>příjemci</w:t>
      </w:r>
      <w:r w:rsidR="00527651">
        <w:rPr>
          <w:rFonts w:cstheme="minorHAnsi"/>
          <w:b/>
          <w:i/>
        </w:rPr>
        <w:t xml:space="preserve"> </w:t>
      </w:r>
      <w:r w:rsidR="00527651" w:rsidRPr="00C86DAC">
        <w:rPr>
          <w:rFonts w:cstheme="minorHAnsi"/>
        </w:rPr>
        <w:t xml:space="preserve">postupovali při realizaci projektů </w:t>
      </w:r>
      <w:r w:rsidR="00527651">
        <w:rPr>
          <w:rFonts w:cstheme="minorHAnsi"/>
        </w:rPr>
        <w:t xml:space="preserve">účelně a </w:t>
      </w:r>
      <w:r w:rsidR="00527651" w:rsidRPr="00C86DAC">
        <w:rPr>
          <w:rFonts w:cstheme="minorHAnsi"/>
        </w:rPr>
        <w:t>hospodárně.</w:t>
      </w:r>
    </w:p>
    <w:p w14:paraId="40781731" w14:textId="780BD8A1" w:rsidR="00527651" w:rsidRPr="00247673" w:rsidRDefault="00F72B97" w:rsidP="00247673">
      <w:pPr>
        <w:keepNext/>
        <w:spacing w:before="240" w:after="120"/>
        <w:ind w:left="227" w:hanging="227"/>
        <w:rPr>
          <w:rFonts w:cstheme="minorHAnsi"/>
          <w:b/>
        </w:rPr>
      </w:pPr>
      <w:r w:rsidRPr="00247673">
        <w:rPr>
          <w:rFonts w:cstheme="minorHAnsi"/>
          <w:b/>
        </w:rPr>
        <w:t>6.</w:t>
      </w:r>
      <w:r w:rsidR="00247673" w:rsidRPr="00247673">
        <w:rPr>
          <w:rFonts w:cstheme="minorHAnsi"/>
          <w:b/>
        </w:rPr>
        <w:tab/>
      </w:r>
      <w:r w:rsidR="00527651" w:rsidRPr="00247673">
        <w:rPr>
          <w:rFonts w:cstheme="minorHAnsi"/>
          <w:b/>
        </w:rPr>
        <w:t xml:space="preserve">MK a </w:t>
      </w:r>
      <w:proofErr w:type="spellStart"/>
      <w:r w:rsidR="00527651" w:rsidRPr="00247673">
        <w:rPr>
          <w:rFonts w:cstheme="minorHAnsi"/>
          <w:b/>
        </w:rPr>
        <w:t>MZd</w:t>
      </w:r>
      <w:proofErr w:type="spellEnd"/>
      <w:r w:rsidR="00527651" w:rsidRPr="00247673">
        <w:rPr>
          <w:rFonts w:cstheme="minorHAnsi"/>
          <w:b/>
        </w:rPr>
        <w:t xml:space="preserve"> nestanovily v roce 2019 např. na základě průzkumu trhu maximální finanční limity, snížení hospodárnosti </w:t>
      </w:r>
      <w:r w:rsidR="00567108" w:rsidRPr="00247673">
        <w:rPr>
          <w:rFonts w:cstheme="minorHAnsi"/>
          <w:b/>
        </w:rPr>
        <w:t xml:space="preserve">peněžních prostředků státu </w:t>
      </w:r>
      <w:r w:rsidR="00527651" w:rsidRPr="00247673">
        <w:rPr>
          <w:rFonts w:cstheme="minorHAnsi"/>
          <w:b/>
        </w:rPr>
        <w:t xml:space="preserve">u MK a </w:t>
      </w:r>
      <w:proofErr w:type="spellStart"/>
      <w:r w:rsidR="00527651" w:rsidRPr="00247673">
        <w:rPr>
          <w:rFonts w:cstheme="minorHAnsi"/>
          <w:b/>
        </w:rPr>
        <w:t>MZd</w:t>
      </w:r>
      <w:proofErr w:type="spellEnd"/>
      <w:r w:rsidR="00527651" w:rsidRPr="00247673">
        <w:rPr>
          <w:rFonts w:cstheme="minorHAnsi"/>
          <w:b/>
        </w:rPr>
        <w:t xml:space="preserve"> dokládá NKÚ i</w:t>
      </w:r>
      <w:r w:rsidR="00247673" w:rsidRPr="00247673">
        <w:rPr>
          <w:rFonts w:cstheme="minorHAnsi"/>
          <w:b/>
        </w:rPr>
        <w:t> </w:t>
      </w:r>
      <w:r w:rsidR="00527651" w:rsidRPr="00247673">
        <w:rPr>
          <w:rFonts w:cstheme="minorHAnsi"/>
          <w:b/>
        </w:rPr>
        <w:t xml:space="preserve">výraznými rozdíly v jednotkových cenách </w:t>
      </w:r>
    </w:p>
    <w:p w14:paraId="0FB7FE1B" w14:textId="77777777" w:rsidR="00527651" w:rsidRDefault="00F72B97" w:rsidP="009B4E61">
      <w:pPr>
        <w:autoSpaceDE w:val="0"/>
        <w:autoSpaceDN w:val="0"/>
        <w:adjustRightInd w:val="0"/>
        <w:spacing w:after="120"/>
        <w:jc w:val="both"/>
        <w:rPr>
          <w:rFonts w:eastAsia="Calibri" w:cstheme="minorHAnsi"/>
        </w:rPr>
      </w:pPr>
      <w:r w:rsidRPr="009B4E61">
        <w:rPr>
          <w:rFonts w:eastAsia="Calibri" w:cstheme="minorHAnsi"/>
        </w:rPr>
        <w:t xml:space="preserve">Předpokladem pro hospodárné vynaložení peněžních prostředků státu na podporované </w:t>
      </w:r>
      <w:r w:rsidR="00FA7CE5" w:rsidRPr="009B4E61">
        <w:rPr>
          <w:rFonts w:eastAsia="Calibri" w:cstheme="minorHAnsi"/>
        </w:rPr>
        <w:t>oblasti</w:t>
      </w:r>
      <w:r w:rsidRPr="009B4E61">
        <w:rPr>
          <w:rFonts w:eastAsia="Calibri" w:cstheme="minorHAnsi"/>
        </w:rPr>
        <w:t xml:space="preserve"> je při </w:t>
      </w:r>
      <w:r w:rsidRPr="009B4E61">
        <w:t xml:space="preserve">dodržení odpovídající kvality </w:t>
      </w:r>
      <w:r w:rsidRPr="009B4E61">
        <w:rPr>
          <w:rFonts w:eastAsia="Calibri" w:cstheme="minorHAnsi"/>
        </w:rPr>
        <w:t xml:space="preserve">stanovení maximální ceny, za kterou lze </w:t>
      </w:r>
      <w:r w:rsidR="00FA7CE5" w:rsidRPr="009B4E61">
        <w:rPr>
          <w:rFonts w:eastAsia="Calibri" w:cstheme="minorHAnsi"/>
        </w:rPr>
        <w:t>jednotlivé činnosti</w:t>
      </w:r>
      <w:r w:rsidRPr="009B4E61">
        <w:rPr>
          <w:rFonts w:eastAsia="Calibri" w:cstheme="minorHAnsi"/>
        </w:rPr>
        <w:t xml:space="preserve"> </w:t>
      </w:r>
      <w:r w:rsidR="00FA7CE5" w:rsidRPr="009B4E61">
        <w:rPr>
          <w:rFonts w:eastAsia="Calibri" w:cstheme="minorHAnsi"/>
        </w:rPr>
        <w:t>podporované oblasti uskutečnit</w:t>
      </w:r>
      <w:r w:rsidRPr="009B4E61">
        <w:rPr>
          <w:rFonts w:eastAsia="Calibri" w:cstheme="minorHAnsi"/>
        </w:rPr>
        <w:t xml:space="preserve">. </w:t>
      </w:r>
    </w:p>
    <w:p w14:paraId="6F7509E8" w14:textId="4AE9D2BB" w:rsidR="000F6FFD" w:rsidRDefault="000F6FFD" w:rsidP="000F6FFD">
      <w:pPr>
        <w:autoSpaceDE w:val="0"/>
        <w:autoSpaceDN w:val="0"/>
        <w:adjustRightInd w:val="0"/>
        <w:spacing w:after="240"/>
        <w:jc w:val="both"/>
        <w:rPr>
          <w:lang w:eastAsia="cs-CZ"/>
        </w:rPr>
      </w:pPr>
      <w:r w:rsidRPr="009B4E6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BB79DB" wp14:editId="4C866CCC">
                <wp:simplePos x="0" y="0"/>
                <wp:positionH relativeFrom="margin">
                  <wp:posOffset>4445</wp:posOffset>
                </wp:positionH>
                <wp:positionV relativeFrom="paragraph">
                  <wp:posOffset>1371600</wp:posOffset>
                </wp:positionV>
                <wp:extent cx="5762625" cy="897890"/>
                <wp:effectExtent l="0" t="0" r="28575" b="16510"/>
                <wp:wrapSquare wrapText="bothSides"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897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41488" w14:textId="2E549441" w:rsidR="000F6FFD" w:rsidRDefault="00F27C4A" w:rsidP="00C86DAC">
                            <w:pPr>
                              <w:jc w:val="both"/>
                              <w:rPr>
                                <w:rStyle w:val="A4"/>
                                <w:rFonts w:ascii="Calibri" w:hAnsi="Calibri" w:cs="Calibri"/>
                                <w:b/>
                                <w:color w:val="0070C0"/>
                                <w:sz w:val="24"/>
                                <w:szCs w:val="40"/>
                              </w:rPr>
                            </w:pPr>
                            <w:bookmarkStart w:id="4" w:name="_Hlk103935594"/>
                            <w:bookmarkStart w:id="5" w:name="_Hlk103935595"/>
                            <w:r>
                              <w:rPr>
                                <w:rStyle w:val="A4"/>
                                <w:rFonts w:ascii="Calibri" w:hAnsi="Calibri" w:cs="Calibri"/>
                                <w:b/>
                                <w:color w:val="0070C0"/>
                                <w:sz w:val="24"/>
                                <w:szCs w:val="40"/>
                              </w:rPr>
                              <w:t>Příklad č. 4</w:t>
                            </w:r>
                          </w:p>
                          <w:bookmarkEnd w:id="4"/>
                          <w:bookmarkEnd w:id="5"/>
                          <w:p w14:paraId="56D4792D" w14:textId="30DA607F" w:rsidR="000F6FFD" w:rsidRDefault="000F6FFD" w:rsidP="000F6FFD">
                            <w:pPr>
                              <w:jc w:val="both"/>
                            </w:pPr>
                            <w:proofErr w:type="spellStart"/>
                            <w:r w:rsidRPr="000F6FFD">
                              <w:t>MZd</w:t>
                            </w:r>
                            <w:proofErr w:type="spellEnd"/>
                            <w:r w:rsidRPr="000F6FFD">
                              <w:t xml:space="preserve"> </w:t>
                            </w:r>
                            <w:r w:rsidRPr="000F6FFD">
                              <w:rPr>
                                <w:rFonts w:cstheme="minorHAnsi"/>
                                <w:i/>
                              </w:rPr>
                              <w:t xml:space="preserve">stanovilo v ROPD na projekt </w:t>
                            </w:r>
                            <w:r w:rsidRPr="000F6FFD">
                              <w:t xml:space="preserve">č. </w:t>
                            </w:r>
                            <w:r w:rsidRPr="000F6FFD">
                              <w:rPr>
                                <w:rFonts w:cstheme="minorHAnsi"/>
                                <w:i/>
                              </w:rPr>
                              <w:t xml:space="preserve">OKP/18/1109/2019 částku 1,33 mil. Kč bez DPH na zpracování podkladů pro zvýšení ochrany a bezpečnosti měkkého cíle. </w:t>
                            </w:r>
                            <w:r w:rsidR="00567108">
                              <w:rPr>
                                <w:i/>
                              </w:rPr>
                              <w:t>Skutečná</w:t>
                            </w:r>
                            <w:r w:rsidR="00567108" w:rsidRPr="000F6FFD">
                              <w:rPr>
                                <w:i/>
                              </w:rPr>
                              <w:t xml:space="preserve"> </w:t>
                            </w:r>
                            <w:r w:rsidRPr="000F6FFD">
                              <w:rPr>
                                <w:i/>
                              </w:rPr>
                              <w:t>cena pak dosáhla pouze 0,63 mil. Kč bez DPH, tj. 48 % předpokládané hodnoty.</w:t>
                            </w:r>
                          </w:p>
                          <w:p w14:paraId="33C2C73A" w14:textId="24AD5289" w:rsidR="000F6FFD" w:rsidRPr="007A191B" w:rsidRDefault="000F6FFD" w:rsidP="004340A5">
                            <w:pPr>
                              <w:spacing w:after="120"/>
                              <w:jc w:val="both"/>
                              <w:rPr>
                                <w:rFonts w:cstheme="minorHAnsi"/>
                                <w:b/>
                                <w:color w:val="00459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B79DB" id="Obdélník 8" o:spid="_x0000_s1030" style="position:absolute;left:0;text-align:left;margin-left:.35pt;margin-top:108pt;width:453.75pt;height:70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" fillcolor="white [3201]" strokecolor="black [3200]" strokeweight="1pt">
                <v:textbox>
                  <w:txbxContent>
                    <w:p w14:paraId="28441488" w14:textId="2E549441" w:rsidR="000F6FFD" w:rsidRDefault="00F27C4A" w:rsidP="00C86DAC">
                      <w:pPr>
                        <w:jc w:val="both"/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</w:pPr>
                      <w:bookmarkStart w:id="164" w:name="_Hlk103935594"/>
                      <w:bookmarkStart w:id="165" w:name="_Hlk103935595"/>
                      <w:r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  <w:t>Příklad č. </w:t>
                      </w:r>
                      <w:r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  <w:t>4</w:t>
                      </w:r>
                    </w:p>
                    <w:bookmarkEnd w:id="164"/>
                    <w:bookmarkEnd w:id="165"/>
                    <w:p w14:paraId="56D4792D" w14:textId="30DA607F" w:rsidR="000F6FFD" w:rsidRDefault="000F6FFD" w:rsidP="000F6FFD">
                      <w:pPr>
                        <w:jc w:val="both"/>
                      </w:pPr>
                      <w:proofErr w:type="spellStart"/>
                      <w:r w:rsidRPr="000F6FFD">
                        <w:t>MZd</w:t>
                      </w:r>
                      <w:proofErr w:type="spellEnd"/>
                      <w:r w:rsidRPr="000F6FFD">
                        <w:t xml:space="preserve"> </w:t>
                      </w:r>
                      <w:r w:rsidRPr="000F6FFD">
                        <w:rPr>
                          <w:rFonts w:cstheme="minorHAnsi"/>
                          <w:i/>
                        </w:rPr>
                        <w:t xml:space="preserve">stanovilo v ROPD na projekt </w:t>
                      </w:r>
                      <w:r w:rsidRPr="000F6FFD">
                        <w:t xml:space="preserve">č. </w:t>
                      </w:r>
                      <w:r w:rsidRPr="000F6FFD">
                        <w:rPr>
                          <w:rFonts w:cstheme="minorHAnsi"/>
                          <w:i/>
                        </w:rPr>
                        <w:t xml:space="preserve">OKP/18/1109/2019 částku 1,33 mil. Kč bez DPH na zpracování podkladů pro zvýšení ochrany a bezpečnosti měkkého cíle. </w:t>
                      </w:r>
                      <w:r w:rsidR="00567108">
                        <w:rPr>
                          <w:i/>
                        </w:rPr>
                        <w:t>Skutečná</w:t>
                      </w:r>
                      <w:r w:rsidR="00567108" w:rsidRPr="000F6FFD">
                        <w:rPr>
                          <w:i/>
                        </w:rPr>
                        <w:t xml:space="preserve"> </w:t>
                      </w:r>
                      <w:r w:rsidRPr="000F6FFD">
                        <w:rPr>
                          <w:i/>
                        </w:rPr>
                        <w:t>cena pak dosáhla pouze 0,63 mil. Kč bez DPH, tj. 48 % předpokládané hodnoty.</w:t>
                      </w:r>
                    </w:p>
                    <w:p w14:paraId="33C2C73A" w14:textId="24AD5289" w:rsidR="000F6FFD" w:rsidRPr="007A191B" w:rsidRDefault="000F6FFD" w:rsidP="004340A5">
                      <w:pPr>
                        <w:spacing w:after="120"/>
                        <w:jc w:val="both"/>
                        <w:rPr>
                          <w:rFonts w:cstheme="minorHAnsi"/>
                          <w:b/>
                          <w:color w:val="004595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E5328" w:rsidRPr="009B4E61">
        <w:rPr>
          <w:rFonts w:eastAsia="Calibri" w:cstheme="minorHAnsi"/>
        </w:rPr>
        <w:t xml:space="preserve">MK a </w:t>
      </w:r>
      <w:proofErr w:type="spellStart"/>
      <w:r w:rsidR="006E5328" w:rsidRPr="009B4E61">
        <w:rPr>
          <w:rFonts w:eastAsia="Calibri" w:cstheme="minorHAnsi"/>
        </w:rPr>
        <w:t>MZd</w:t>
      </w:r>
      <w:proofErr w:type="spellEnd"/>
      <w:r w:rsidR="006E5328" w:rsidRPr="009B4E61">
        <w:rPr>
          <w:rFonts w:eastAsia="Calibri" w:cstheme="minorHAnsi"/>
        </w:rPr>
        <w:t xml:space="preserve"> nenastavil</w:t>
      </w:r>
      <w:r w:rsidR="00DB47DD">
        <w:rPr>
          <w:rFonts w:eastAsia="Calibri" w:cstheme="minorHAnsi"/>
        </w:rPr>
        <w:t>y</w:t>
      </w:r>
      <w:r w:rsidR="006E5328" w:rsidRPr="009B4E61">
        <w:rPr>
          <w:rFonts w:eastAsia="Calibri" w:cstheme="minorHAnsi"/>
        </w:rPr>
        <w:t xml:space="preserve"> v roce 2019 </w:t>
      </w:r>
      <w:r w:rsidR="00527651" w:rsidRPr="009B4E61">
        <w:rPr>
          <w:rFonts w:eastAsia="Calibri" w:cstheme="minorHAnsi"/>
        </w:rPr>
        <w:t xml:space="preserve">např. na základě průzkumu trhu </w:t>
      </w:r>
      <w:r w:rsidR="006E5328" w:rsidRPr="009B4E61">
        <w:rPr>
          <w:rFonts w:eastAsia="Calibri" w:cstheme="minorHAnsi"/>
        </w:rPr>
        <w:t xml:space="preserve">maximální finanční limity. </w:t>
      </w:r>
      <w:r w:rsidR="006E5328" w:rsidRPr="009B4E61">
        <w:rPr>
          <w:lang w:eastAsia="cs-CZ"/>
        </w:rPr>
        <w:t xml:space="preserve">Současně </w:t>
      </w:r>
      <w:r w:rsidR="008C2E3E">
        <w:rPr>
          <w:lang w:eastAsia="cs-CZ"/>
        </w:rPr>
        <w:t>věcně</w:t>
      </w:r>
      <w:r w:rsidR="008C2E3E" w:rsidRPr="009B4E61">
        <w:rPr>
          <w:lang w:eastAsia="cs-CZ"/>
        </w:rPr>
        <w:t xml:space="preserve"> </w:t>
      </w:r>
      <w:r w:rsidR="006E5328" w:rsidRPr="009B4E61">
        <w:rPr>
          <w:lang w:eastAsia="cs-CZ"/>
        </w:rPr>
        <w:t>neposuzoval</w:t>
      </w:r>
      <w:r w:rsidR="00DB47DD">
        <w:rPr>
          <w:lang w:eastAsia="cs-CZ"/>
        </w:rPr>
        <w:t>y</w:t>
      </w:r>
      <w:r w:rsidR="006E5328" w:rsidRPr="009B4E61">
        <w:rPr>
          <w:lang w:eastAsia="cs-CZ"/>
        </w:rPr>
        <w:t xml:space="preserve"> přiměřenost </w:t>
      </w:r>
      <w:r w:rsidR="00527651">
        <w:rPr>
          <w:lang w:eastAsia="cs-CZ"/>
        </w:rPr>
        <w:t xml:space="preserve">jednotkových </w:t>
      </w:r>
      <w:r w:rsidR="006E5328" w:rsidRPr="009B4E61">
        <w:rPr>
          <w:lang w:eastAsia="cs-CZ"/>
        </w:rPr>
        <w:t>cen při hodnocení žádostí</w:t>
      </w:r>
      <w:r w:rsidR="00C74811">
        <w:rPr>
          <w:lang w:eastAsia="cs-CZ"/>
        </w:rPr>
        <w:t xml:space="preserve">. Docházelo k situacím, kdy hodnotitel posuzoval </w:t>
      </w:r>
      <w:r w:rsidR="00527651">
        <w:rPr>
          <w:lang w:eastAsia="cs-CZ"/>
        </w:rPr>
        <w:t>výši</w:t>
      </w:r>
      <w:r w:rsidR="00C74811">
        <w:rPr>
          <w:lang w:eastAsia="cs-CZ"/>
        </w:rPr>
        <w:t xml:space="preserve"> ceny, ačkoliv neměl dostatek informací k tomuto posouzení</w:t>
      </w:r>
      <w:r w:rsidR="006E5328" w:rsidRPr="009B4E61">
        <w:rPr>
          <w:lang w:eastAsia="cs-CZ"/>
        </w:rPr>
        <w:t xml:space="preserve"> (viz příklad č. </w:t>
      </w:r>
      <w:r w:rsidR="00527651">
        <w:rPr>
          <w:lang w:eastAsia="cs-CZ"/>
        </w:rPr>
        <w:t>3</w:t>
      </w:r>
      <w:r w:rsidR="006E5328" w:rsidRPr="009B4E61">
        <w:rPr>
          <w:lang w:eastAsia="cs-CZ"/>
        </w:rPr>
        <w:t xml:space="preserve">). </w:t>
      </w:r>
      <w:r w:rsidR="00E47DB1">
        <w:rPr>
          <w:lang w:eastAsia="cs-CZ"/>
        </w:rPr>
        <w:t>Následně</w:t>
      </w:r>
      <w:r w:rsidR="006E5328" w:rsidRPr="009B4E61">
        <w:rPr>
          <w:lang w:eastAsia="cs-CZ"/>
        </w:rPr>
        <w:t xml:space="preserve"> příjemci vraceli část přidělených prostředků z důvodu </w:t>
      </w:r>
      <w:r>
        <w:rPr>
          <w:lang w:eastAsia="cs-CZ"/>
        </w:rPr>
        <w:t xml:space="preserve">dosažení </w:t>
      </w:r>
      <w:r w:rsidR="006E5328" w:rsidRPr="009B4E61">
        <w:rPr>
          <w:lang w:eastAsia="cs-CZ"/>
        </w:rPr>
        <w:t xml:space="preserve">významně nižších cen oproti cenám plánovaným a schváleným </w:t>
      </w:r>
      <w:r w:rsidR="00930738">
        <w:rPr>
          <w:lang w:eastAsia="cs-CZ"/>
        </w:rPr>
        <w:t>poskytovateli dotací</w:t>
      </w:r>
      <w:r w:rsidR="0004099B">
        <w:rPr>
          <w:lang w:eastAsia="cs-CZ"/>
        </w:rPr>
        <w:t xml:space="preserve"> (</w:t>
      </w:r>
      <w:r w:rsidR="007A0C9A">
        <w:rPr>
          <w:lang w:eastAsia="cs-CZ"/>
        </w:rPr>
        <w:t xml:space="preserve">viz </w:t>
      </w:r>
      <w:r w:rsidR="0004099B">
        <w:rPr>
          <w:lang w:eastAsia="cs-CZ"/>
        </w:rPr>
        <w:t xml:space="preserve">příklad č. </w:t>
      </w:r>
      <w:r>
        <w:rPr>
          <w:lang w:eastAsia="cs-CZ"/>
        </w:rPr>
        <w:t xml:space="preserve">4), např. </w:t>
      </w:r>
      <w:r w:rsidR="00567108">
        <w:rPr>
          <w:lang w:eastAsia="cs-CZ"/>
        </w:rPr>
        <w:t xml:space="preserve">celkem </w:t>
      </w:r>
      <w:r>
        <w:rPr>
          <w:lang w:eastAsia="cs-CZ"/>
        </w:rPr>
        <w:t xml:space="preserve">do rozpočtu </w:t>
      </w:r>
      <w:proofErr w:type="spellStart"/>
      <w:r>
        <w:rPr>
          <w:lang w:eastAsia="cs-CZ"/>
        </w:rPr>
        <w:t>MZd</w:t>
      </w:r>
      <w:proofErr w:type="spellEnd"/>
      <w:r>
        <w:rPr>
          <w:lang w:eastAsia="cs-CZ"/>
        </w:rPr>
        <w:t xml:space="preserve"> prostředky ve výši cca 11,2</w:t>
      </w:r>
      <w:r w:rsidR="00247673">
        <w:rPr>
          <w:lang w:eastAsia="cs-CZ"/>
        </w:rPr>
        <w:t> </w:t>
      </w:r>
      <w:r>
        <w:rPr>
          <w:lang w:eastAsia="cs-CZ"/>
        </w:rPr>
        <w:t>mil.</w:t>
      </w:r>
      <w:r w:rsidR="00247673">
        <w:rPr>
          <w:lang w:eastAsia="cs-CZ"/>
        </w:rPr>
        <w:t> </w:t>
      </w:r>
      <w:r>
        <w:rPr>
          <w:lang w:eastAsia="cs-CZ"/>
        </w:rPr>
        <w:t>Kč,</w:t>
      </w:r>
      <w:r w:rsidRPr="000F6FFD">
        <w:rPr>
          <w:lang w:eastAsia="cs-CZ"/>
        </w:rPr>
        <w:t xml:space="preserve"> </w:t>
      </w:r>
      <w:r>
        <w:rPr>
          <w:lang w:eastAsia="cs-CZ"/>
        </w:rPr>
        <w:t xml:space="preserve">což bylo více než </w:t>
      </w:r>
      <w:r w:rsidR="007A0C9A">
        <w:rPr>
          <w:rFonts w:cstheme="minorHAnsi"/>
          <w:lang w:eastAsia="cs-CZ"/>
        </w:rPr>
        <w:t>⅓</w:t>
      </w:r>
      <w:r>
        <w:rPr>
          <w:lang w:eastAsia="cs-CZ"/>
        </w:rPr>
        <w:t xml:space="preserve"> celkové poskytnuté dotace neinvestičního programu. </w:t>
      </w:r>
    </w:p>
    <w:p w14:paraId="1207668B" w14:textId="7CE09EB8" w:rsidR="00F72B97" w:rsidRPr="00447C9B" w:rsidRDefault="00A4268C" w:rsidP="000F6FFD">
      <w:pPr>
        <w:autoSpaceDE w:val="0"/>
        <w:autoSpaceDN w:val="0"/>
        <w:adjustRightInd w:val="0"/>
        <w:spacing w:before="120" w:after="240"/>
        <w:jc w:val="both"/>
        <w:rPr>
          <w:lang w:eastAsia="cs-CZ"/>
        </w:rPr>
      </w:pPr>
      <w:r w:rsidRPr="009B4E6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D11FA8" wp14:editId="04A2E278">
                <wp:simplePos x="0" y="0"/>
                <wp:positionH relativeFrom="margin">
                  <wp:align>left</wp:align>
                </wp:positionH>
                <wp:positionV relativeFrom="paragraph">
                  <wp:posOffset>1457618</wp:posOffset>
                </wp:positionV>
                <wp:extent cx="5763260" cy="2070735"/>
                <wp:effectExtent l="0" t="0" r="27940" b="24765"/>
                <wp:wrapSquare wrapText="bothSides"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260" cy="2070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0D876" w14:textId="28C22640" w:rsidR="00F27C4A" w:rsidRDefault="00F27C4A" w:rsidP="00F27C4A">
                            <w:pPr>
                              <w:jc w:val="both"/>
                              <w:rPr>
                                <w:rStyle w:val="A4"/>
                                <w:rFonts w:ascii="Calibri" w:hAnsi="Calibri" w:cs="Calibri"/>
                                <w:b/>
                                <w:color w:val="0070C0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Style w:val="A4"/>
                                <w:rFonts w:ascii="Calibri" w:hAnsi="Calibri" w:cs="Calibri"/>
                                <w:b/>
                                <w:color w:val="0070C0"/>
                                <w:sz w:val="24"/>
                                <w:szCs w:val="40"/>
                              </w:rPr>
                              <w:t>Příklad č. 5</w:t>
                            </w:r>
                          </w:p>
                          <w:p w14:paraId="2B577732" w14:textId="44B4BA68" w:rsidR="000F6FFD" w:rsidRDefault="000F6FFD" w:rsidP="00C86DAC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Fonts w:eastAsia="Calibri" w:cstheme="minorHAnsi"/>
                                <w:i/>
                                <w:iCs/>
                              </w:rPr>
                            </w:pPr>
                            <w:r w:rsidRPr="0025464D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MK poskytlo v roce 2019 dotaci ve výši 622 885 Kč na analýzu rizik divadelního objektu,</w:t>
                            </w:r>
                            <w:r w:rsidR="0025464D" w:rsidRPr="0025464D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 resp. </w:t>
                            </w:r>
                            <w:r w:rsidRPr="0025464D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částku 1 205 644 Kč na objekt knihovny. V roce 2020 stanovilo</w:t>
                            </w:r>
                            <w:r w:rsidR="00567108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 MK</w:t>
                            </w:r>
                            <w:r w:rsidRPr="0025464D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 maximální finanční limity na zpracování analýzy rizik ve výši 350 000 Kč pro všechny typy objekt</w:t>
                            </w:r>
                            <w:r w:rsidR="0025464D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ů a tento maximální finanční limit příjemci nepřekročili. </w:t>
                            </w:r>
                          </w:p>
                          <w:p w14:paraId="21AE2A55" w14:textId="195F8036" w:rsidR="000F7CEB" w:rsidRDefault="000F7CEB" w:rsidP="000F7CEB">
                            <w:pPr>
                              <w:jc w:val="both"/>
                              <w:rPr>
                                <w:rStyle w:val="A4"/>
                                <w:rFonts w:ascii="Calibri" w:hAnsi="Calibri" w:cs="Calibri"/>
                                <w:b/>
                                <w:color w:val="0070C0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Style w:val="A4"/>
                                <w:rFonts w:ascii="Calibri" w:hAnsi="Calibri" w:cs="Calibri"/>
                                <w:b/>
                                <w:color w:val="0070C0"/>
                                <w:sz w:val="24"/>
                                <w:szCs w:val="40"/>
                              </w:rPr>
                              <w:t>Příklad č. 6</w:t>
                            </w:r>
                          </w:p>
                          <w:p w14:paraId="2F2AED7C" w14:textId="2EC656BE" w:rsidR="000F6FFD" w:rsidRPr="009F50F3" w:rsidRDefault="000F6FFD" w:rsidP="00447C9B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Fonts w:eastAsia="Calibri" w:cstheme="minorHAnsi"/>
                                <w:i/>
                                <w:iCs/>
                              </w:rPr>
                            </w:pPr>
                            <w:proofErr w:type="spellStart"/>
                            <w:r w:rsidRPr="009F50F3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MZd</w:t>
                            </w:r>
                            <w:proofErr w:type="spellEnd"/>
                            <w:r w:rsidRPr="009F50F3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 poskytlo v roce 2019 dotaci dvěma nemocničním zařízením na zpracování analýzy hrozeb a rizik částku 1 942 000 Kč, resp. 1 766 000 Kč. Skutečné náklady </w:t>
                            </w:r>
                            <w:r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činily</w:t>
                            </w:r>
                            <w:r w:rsidRPr="009F50F3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 1 167 408 Kč, resp. 520 300 Kč. V roce 2020 se analýzy hrozeb a rizik pohybovaly u nemocničních zařízení pod stanoveným limitem 50 000 Kč na jeden </w:t>
                            </w:r>
                            <w:r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měkký cíl</w:t>
                            </w:r>
                            <w:r w:rsidRPr="009F50F3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. </w:t>
                            </w:r>
                          </w:p>
                          <w:p w14:paraId="1CE57036" w14:textId="77777777" w:rsidR="000F6FFD" w:rsidRDefault="000F6FFD" w:rsidP="00447C9B">
                            <w:pPr>
                              <w:jc w:val="both"/>
                              <w:rPr>
                                <w:rFonts w:cstheme="minorHAnsi"/>
                                <w:b/>
                                <w:color w:val="00459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11FA8" id="Obdélník 9" o:spid="_x0000_s1031" style="position:absolute;left:0;text-align:left;margin-left:0;margin-top:114.75pt;width:453.8pt;height:163.05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" fillcolor="white [3201]" strokecolor="black [3200]" strokeweight="1pt">
                <v:textbox>
                  <w:txbxContent>
                    <w:p w14:paraId="3D00D876" w14:textId="28C22640" w:rsidR="00F27C4A" w:rsidRDefault="00F27C4A" w:rsidP="00F27C4A">
                      <w:pPr>
                        <w:jc w:val="both"/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</w:pPr>
                      <w:r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  <w:t>Příklad č. </w:t>
                      </w:r>
                      <w:r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  <w:t>5</w:t>
                      </w:r>
                    </w:p>
                    <w:p w14:paraId="2B577732" w14:textId="44B4BA68" w:rsidR="000F6FFD" w:rsidRDefault="000F6FFD" w:rsidP="00C86DAC">
                      <w:pPr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Fonts w:eastAsia="Calibri" w:cstheme="minorHAnsi"/>
                          <w:i/>
                          <w:iCs/>
                        </w:rPr>
                      </w:pPr>
                      <w:r w:rsidRPr="0025464D">
                        <w:rPr>
                          <w:rFonts w:eastAsia="Calibri" w:cstheme="minorHAnsi"/>
                          <w:i/>
                          <w:iCs/>
                        </w:rPr>
                        <w:t>MK poskytlo v roce 2019 dotaci ve výši 622 885 Kč na analýzu rizik divadelního objektu,</w:t>
                      </w:r>
                      <w:r w:rsidR="0025464D" w:rsidRPr="0025464D">
                        <w:rPr>
                          <w:rFonts w:eastAsia="Calibri" w:cstheme="minorHAnsi"/>
                          <w:i/>
                          <w:iCs/>
                        </w:rPr>
                        <w:t xml:space="preserve"> resp. </w:t>
                      </w:r>
                      <w:r w:rsidRPr="0025464D">
                        <w:rPr>
                          <w:rFonts w:eastAsia="Calibri" w:cstheme="minorHAnsi"/>
                          <w:i/>
                          <w:iCs/>
                        </w:rPr>
                        <w:t>částku 1 205 644 Kč na objekt knihovny. V roce 2020 stanovilo</w:t>
                      </w:r>
                      <w:r w:rsidR="00567108">
                        <w:rPr>
                          <w:rFonts w:eastAsia="Calibri" w:cstheme="minorHAnsi"/>
                          <w:i/>
                          <w:iCs/>
                        </w:rPr>
                        <w:t xml:space="preserve"> MK</w:t>
                      </w:r>
                      <w:r w:rsidRPr="0025464D">
                        <w:rPr>
                          <w:rFonts w:eastAsia="Calibri" w:cstheme="minorHAnsi"/>
                          <w:i/>
                          <w:iCs/>
                        </w:rPr>
                        <w:t xml:space="preserve"> maximální finanční limity na zpracování analýzy rizik ve výši 350 000 Kč pro všechny typy objekt</w:t>
                      </w:r>
                      <w:r w:rsidR="0025464D">
                        <w:rPr>
                          <w:rFonts w:eastAsia="Calibri" w:cstheme="minorHAnsi"/>
                          <w:i/>
                          <w:iCs/>
                        </w:rPr>
                        <w:t xml:space="preserve">ů a tento maximální finanční limit příjemci nepřekročili. </w:t>
                      </w:r>
                    </w:p>
                    <w:p w14:paraId="21AE2A55" w14:textId="195F8036" w:rsidR="000F7CEB" w:rsidRDefault="000F7CEB" w:rsidP="000F7CEB">
                      <w:pPr>
                        <w:jc w:val="both"/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</w:pPr>
                      <w:r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  <w:t>Příklad č. </w:t>
                      </w:r>
                      <w:r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  <w:t>6</w:t>
                      </w:r>
                    </w:p>
                    <w:p w14:paraId="2F2AED7C" w14:textId="2EC656BE" w:rsidR="000F6FFD" w:rsidRPr="009F50F3" w:rsidRDefault="000F6FFD" w:rsidP="00447C9B">
                      <w:pPr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Fonts w:eastAsia="Calibri" w:cstheme="minorHAnsi"/>
                          <w:i/>
                          <w:iCs/>
                        </w:rPr>
                      </w:pPr>
                      <w:proofErr w:type="spellStart"/>
                      <w:r w:rsidRPr="009F50F3">
                        <w:rPr>
                          <w:rFonts w:eastAsia="Calibri" w:cstheme="minorHAnsi"/>
                          <w:i/>
                          <w:iCs/>
                        </w:rPr>
                        <w:t>MZd</w:t>
                      </w:r>
                      <w:proofErr w:type="spellEnd"/>
                      <w:r w:rsidRPr="009F50F3">
                        <w:rPr>
                          <w:rFonts w:eastAsia="Calibri" w:cstheme="minorHAnsi"/>
                          <w:i/>
                          <w:iCs/>
                        </w:rPr>
                        <w:t xml:space="preserve"> poskytlo v roce 2019 dotaci dvěma nemocničním zařízením na zpracování analýzy hrozeb a rizik částku 1 942 000 Kč, resp. 1 766 000 Kč. Skutečné náklady </w:t>
                      </w:r>
                      <w:r>
                        <w:rPr>
                          <w:rFonts w:eastAsia="Calibri" w:cstheme="minorHAnsi"/>
                          <w:i/>
                          <w:iCs/>
                        </w:rPr>
                        <w:t>činily</w:t>
                      </w:r>
                      <w:r w:rsidRPr="009F50F3">
                        <w:rPr>
                          <w:rFonts w:eastAsia="Calibri" w:cstheme="minorHAnsi"/>
                          <w:i/>
                          <w:iCs/>
                        </w:rPr>
                        <w:t xml:space="preserve"> 1 167 408 Kč, resp. 520 300 Kč. V roce 2020 se analýzy hrozeb a rizik pohybovaly u nemocničních zařízení pod stanoveným limitem 50 000 Kč na jeden </w:t>
                      </w:r>
                      <w:r>
                        <w:rPr>
                          <w:rFonts w:eastAsia="Calibri" w:cstheme="minorHAnsi"/>
                          <w:i/>
                          <w:iCs/>
                        </w:rPr>
                        <w:t>měkký cíl</w:t>
                      </w:r>
                      <w:r w:rsidRPr="009F50F3">
                        <w:rPr>
                          <w:rFonts w:eastAsia="Calibri" w:cstheme="minorHAnsi"/>
                          <w:i/>
                          <w:iCs/>
                        </w:rPr>
                        <w:t xml:space="preserve">. </w:t>
                      </w:r>
                    </w:p>
                    <w:p w14:paraId="1CE57036" w14:textId="77777777" w:rsidR="000F6FFD" w:rsidRDefault="000F6FFD" w:rsidP="00447C9B">
                      <w:pPr>
                        <w:jc w:val="both"/>
                        <w:rPr>
                          <w:rFonts w:cstheme="minorHAnsi"/>
                          <w:b/>
                          <w:color w:val="004595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04099B" w:rsidRPr="009B4E61">
        <w:rPr>
          <w:lang w:eastAsia="cs-CZ"/>
        </w:rPr>
        <w:t xml:space="preserve">To se v dalších letech již neopakovalo, neboť maximální finanční limity </w:t>
      </w:r>
      <w:r w:rsidR="00930738">
        <w:rPr>
          <w:lang w:eastAsia="cs-CZ"/>
        </w:rPr>
        <w:t>poskytovatelé dotací</w:t>
      </w:r>
      <w:r w:rsidR="00E21BE9">
        <w:rPr>
          <w:lang w:eastAsia="cs-CZ"/>
        </w:rPr>
        <w:t xml:space="preserve"> </w:t>
      </w:r>
      <w:r w:rsidR="0004099B" w:rsidRPr="009B4E61">
        <w:rPr>
          <w:lang w:eastAsia="cs-CZ"/>
        </w:rPr>
        <w:t xml:space="preserve">stanovili a na jejich základě došlo ke snížení </w:t>
      </w:r>
      <w:r w:rsidR="005C6137">
        <w:rPr>
          <w:lang w:eastAsia="cs-CZ"/>
        </w:rPr>
        <w:t xml:space="preserve">jednotkových </w:t>
      </w:r>
      <w:r w:rsidR="0004099B" w:rsidRPr="009B4E61">
        <w:rPr>
          <w:lang w:eastAsia="cs-CZ"/>
        </w:rPr>
        <w:t xml:space="preserve">cen </w:t>
      </w:r>
      <w:r w:rsidR="000F6FFD">
        <w:rPr>
          <w:lang w:eastAsia="cs-CZ"/>
        </w:rPr>
        <w:t>obdobných</w:t>
      </w:r>
      <w:r w:rsidR="0004099B" w:rsidRPr="009B4E61">
        <w:rPr>
          <w:lang w:eastAsia="cs-CZ"/>
        </w:rPr>
        <w:t xml:space="preserve"> projektů</w:t>
      </w:r>
      <w:r w:rsidR="000E0335">
        <w:rPr>
          <w:lang w:eastAsia="cs-CZ"/>
        </w:rPr>
        <w:t xml:space="preserve"> </w:t>
      </w:r>
      <w:r w:rsidR="00F72B97" w:rsidRPr="009B4E61">
        <w:rPr>
          <w:rFonts w:eastAsia="Calibri" w:cstheme="minorHAnsi"/>
        </w:rPr>
        <w:t>v meziročním srovnání let 2019 a 2020</w:t>
      </w:r>
      <w:r w:rsidR="00500F46">
        <w:rPr>
          <w:rFonts w:eastAsia="Calibri" w:cstheme="minorHAnsi"/>
        </w:rPr>
        <w:t xml:space="preserve"> (</w:t>
      </w:r>
      <w:r w:rsidR="007A0C9A">
        <w:rPr>
          <w:rFonts w:eastAsia="Calibri" w:cstheme="minorHAnsi"/>
        </w:rPr>
        <w:t xml:space="preserve">viz </w:t>
      </w:r>
      <w:r w:rsidR="00500F46">
        <w:rPr>
          <w:rFonts w:eastAsia="Calibri" w:cstheme="minorHAnsi"/>
        </w:rPr>
        <w:t>příklad</w:t>
      </w:r>
      <w:r w:rsidR="007A0C9A">
        <w:rPr>
          <w:rFonts w:eastAsia="Calibri" w:cstheme="minorHAnsi"/>
        </w:rPr>
        <w:t>y</w:t>
      </w:r>
      <w:r w:rsidR="00500F46">
        <w:rPr>
          <w:rFonts w:eastAsia="Calibri" w:cstheme="minorHAnsi"/>
        </w:rPr>
        <w:t xml:space="preserve"> č. </w:t>
      </w:r>
      <w:r w:rsidR="0025464D">
        <w:rPr>
          <w:rFonts w:eastAsia="Calibri" w:cstheme="minorHAnsi"/>
        </w:rPr>
        <w:t>5</w:t>
      </w:r>
      <w:r w:rsidR="00500F46">
        <w:rPr>
          <w:rFonts w:eastAsia="Calibri" w:cstheme="minorHAnsi"/>
        </w:rPr>
        <w:t xml:space="preserve"> a č. </w:t>
      </w:r>
      <w:r w:rsidR="0025464D">
        <w:rPr>
          <w:rFonts w:eastAsia="Calibri" w:cstheme="minorHAnsi"/>
        </w:rPr>
        <w:t>6</w:t>
      </w:r>
      <w:r w:rsidR="00500F46">
        <w:rPr>
          <w:rFonts w:eastAsia="Calibri" w:cstheme="minorHAnsi"/>
        </w:rPr>
        <w:t>).</w:t>
      </w:r>
      <w:r w:rsidR="00447C9B" w:rsidRPr="00447C9B">
        <w:rPr>
          <w:noProof/>
        </w:rPr>
        <w:t xml:space="preserve"> </w:t>
      </w:r>
    </w:p>
    <w:p w14:paraId="04C374C1" w14:textId="370BB1FD" w:rsidR="00EA1D1F" w:rsidRPr="00247673" w:rsidRDefault="00EA1D1F" w:rsidP="00247673">
      <w:pPr>
        <w:keepNext/>
        <w:spacing w:before="240" w:after="120"/>
        <w:rPr>
          <w:rFonts w:cstheme="minorHAnsi"/>
          <w:b/>
        </w:rPr>
      </w:pPr>
      <w:r w:rsidRPr="00247673">
        <w:rPr>
          <w:rFonts w:cstheme="minorHAnsi"/>
          <w:b/>
        </w:rPr>
        <w:t xml:space="preserve">7. MK a </w:t>
      </w:r>
      <w:proofErr w:type="spellStart"/>
      <w:r w:rsidRPr="00247673">
        <w:rPr>
          <w:rFonts w:cstheme="minorHAnsi"/>
          <w:b/>
        </w:rPr>
        <w:t>MZd</w:t>
      </w:r>
      <w:proofErr w:type="spellEnd"/>
      <w:r w:rsidRPr="00247673">
        <w:rPr>
          <w:rFonts w:cstheme="minorHAnsi"/>
          <w:b/>
        </w:rPr>
        <w:t xml:space="preserve"> neprováděl</w:t>
      </w:r>
      <w:r w:rsidR="00190D5A" w:rsidRPr="00247673">
        <w:rPr>
          <w:rFonts w:cstheme="minorHAnsi"/>
          <w:b/>
        </w:rPr>
        <w:t>y</w:t>
      </w:r>
      <w:r w:rsidRPr="00247673">
        <w:rPr>
          <w:rFonts w:cstheme="minorHAnsi"/>
          <w:b/>
        </w:rPr>
        <w:t xml:space="preserve"> veřejnosprávní kontroly dle zákona o finanční kontrole</w:t>
      </w:r>
    </w:p>
    <w:p w14:paraId="5962B6DA" w14:textId="6254965C" w:rsidR="00EA1D1F" w:rsidRPr="009B4E61" w:rsidRDefault="00EA1D1F" w:rsidP="009B4E61">
      <w:pPr>
        <w:autoSpaceDE w:val="0"/>
        <w:autoSpaceDN w:val="0"/>
        <w:adjustRightInd w:val="0"/>
        <w:spacing w:after="120"/>
        <w:jc w:val="both"/>
        <w:rPr>
          <w:rFonts w:eastAsia="Calibri" w:cstheme="minorHAnsi"/>
        </w:rPr>
      </w:pPr>
      <w:r w:rsidRPr="009B4E61">
        <w:rPr>
          <w:rFonts w:eastAsia="Calibri" w:cstheme="minorHAnsi"/>
        </w:rPr>
        <w:t xml:space="preserve">Při výkonu veřejnosprávní kontroly </w:t>
      </w:r>
      <w:r w:rsidR="00930738">
        <w:rPr>
          <w:rFonts w:eastAsia="Calibri" w:cstheme="minorHAnsi"/>
        </w:rPr>
        <w:t xml:space="preserve">poskytovatel dotací </w:t>
      </w:r>
      <w:r w:rsidRPr="009B4E61">
        <w:rPr>
          <w:rFonts w:eastAsia="Calibri" w:cstheme="minorHAnsi"/>
        </w:rPr>
        <w:t xml:space="preserve">ověřuje u příjemců mj. skutečnosti rozhodné pro </w:t>
      </w:r>
      <w:r w:rsidR="00DF6170">
        <w:rPr>
          <w:rFonts w:eastAsia="Calibri" w:cstheme="minorHAnsi"/>
        </w:rPr>
        <w:t>použití</w:t>
      </w:r>
      <w:r w:rsidRPr="009B4E61">
        <w:rPr>
          <w:rFonts w:eastAsia="Calibri" w:cstheme="minorHAnsi"/>
        </w:rPr>
        <w:t xml:space="preserve"> peněžních prostředků státu a soulad s právními předpisy, </w:t>
      </w:r>
      <w:r w:rsidR="009501E8">
        <w:rPr>
          <w:rFonts w:eastAsia="Calibri" w:cstheme="minorHAnsi"/>
        </w:rPr>
        <w:t xml:space="preserve">ale </w:t>
      </w:r>
      <w:r w:rsidR="00FA15CB" w:rsidRPr="009B4E61">
        <w:rPr>
          <w:rFonts w:eastAsia="Calibri" w:cstheme="minorHAnsi"/>
        </w:rPr>
        <w:t>i</w:t>
      </w:r>
      <w:r w:rsidR="00247673">
        <w:rPr>
          <w:rFonts w:eastAsia="Calibri" w:cstheme="minorHAnsi"/>
        </w:rPr>
        <w:t> </w:t>
      </w:r>
      <w:r w:rsidRPr="009B4E61">
        <w:rPr>
          <w:rFonts w:eastAsia="Calibri" w:cstheme="minorHAnsi"/>
        </w:rPr>
        <w:t xml:space="preserve">hospodárnost a účelnost při vynakládání peněžních prostředků státu. Jedná se o soustavnou činnost, která </w:t>
      </w:r>
      <w:r w:rsidR="00FA15CB" w:rsidRPr="009B4E61">
        <w:rPr>
          <w:rFonts w:eastAsia="Calibri" w:cstheme="minorHAnsi"/>
        </w:rPr>
        <w:t>má probíhat</w:t>
      </w:r>
      <w:r w:rsidRPr="009B4E61">
        <w:rPr>
          <w:rFonts w:eastAsia="Calibri" w:cstheme="minorHAnsi"/>
        </w:rPr>
        <w:t xml:space="preserve"> během celé realizace</w:t>
      </w:r>
      <w:r w:rsidR="00BC43B7">
        <w:rPr>
          <w:rFonts w:eastAsia="Calibri" w:cstheme="minorHAnsi"/>
        </w:rPr>
        <w:t xml:space="preserve"> </w:t>
      </w:r>
      <w:r w:rsidR="00FA15CB" w:rsidRPr="009B4E61">
        <w:rPr>
          <w:rFonts w:eastAsia="Calibri" w:cstheme="minorHAnsi"/>
        </w:rPr>
        <w:t xml:space="preserve">neinvestičních </w:t>
      </w:r>
      <w:r w:rsidRPr="009B4E61">
        <w:rPr>
          <w:rFonts w:eastAsia="Calibri" w:cstheme="minorHAnsi"/>
        </w:rPr>
        <w:t xml:space="preserve">programů a konkrétních projektů. </w:t>
      </w:r>
    </w:p>
    <w:p w14:paraId="3659F7F8" w14:textId="07461EC3" w:rsidR="00FA15CB" w:rsidRPr="009B4E61" w:rsidRDefault="00085B96" w:rsidP="009B4E61">
      <w:pPr>
        <w:autoSpaceDE w:val="0"/>
        <w:autoSpaceDN w:val="0"/>
        <w:adjustRightInd w:val="0"/>
        <w:spacing w:after="120"/>
        <w:jc w:val="both"/>
        <w:rPr>
          <w:rFonts w:eastAsia="Calibri" w:cstheme="minorHAnsi"/>
        </w:rPr>
      </w:pPr>
      <w:r w:rsidRPr="009B4E6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F0DEE6" wp14:editId="6F6DDAC3">
                <wp:simplePos x="0" y="0"/>
                <wp:positionH relativeFrom="margin">
                  <wp:posOffset>4445</wp:posOffset>
                </wp:positionH>
                <wp:positionV relativeFrom="paragraph">
                  <wp:posOffset>1194435</wp:posOffset>
                </wp:positionV>
                <wp:extent cx="5753100" cy="2540635"/>
                <wp:effectExtent l="0" t="0" r="19050" b="12065"/>
                <wp:wrapTopAndBottom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540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66384" w14:textId="7A891312" w:rsidR="000F7CEB" w:rsidRDefault="000F7CEB" w:rsidP="000F7CEB">
                            <w:pPr>
                              <w:jc w:val="both"/>
                              <w:rPr>
                                <w:rStyle w:val="A4"/>
                                <w:rFonts w:ascii="Calibri" w:hAnsi="Calibri" w:cs="Calibri"/>
                                <w:b/>
                                <w:color w:val="0070C0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Style w:val="A4"/>
                                <w:rFonts w:ascii="Calibri" w:hAnsi="Calibri" w:cs="Calibri"/>
                                <w:b/>
                                <w:color w:val="0070C0"/>
                                <w:sz w:val="24"/>
                                <w:szCs w:val="40"/>
                              </w:rPr>
                              <w:t>Příklad č. 7</w:t>
                            </w:r>
                          </w:p>
                          <w:p w14:paraId="267556E6" w14:textId="2816D59D" w:rsidR="000F6FFD" w:rsidRPr="00514ED1" w:rsidRDefault="000F6FFD" w:rsidP="00F472A9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Fonts w:eastAsia="Calibri" w:cstheme="minorHAnsi"/>
                                <w:i/>
                                <w:iCs/>
                              </w:rPr>
                            </w:pPr>
                            <w:r w:rsidRPr="00514ED1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Kontrolou NKÚ bylo u F</w:t>
                            </w:r>
                            <w:r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akultní nemocnice</w:t>
                            </w:r>
                            <w:r w:rsidRPr="00514ED1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 Bulovka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jako </w:t>
                            </w:r>
                            <w:r w:rsidRPr="00282947">
                              <w:rPr>
                                <w:rFonts w:cstheme="minorHAnsi"/>
                                <w:i/>
                                <w:iCs/>
                              </w:rPr>
                              <w:t>příjemc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e prostředků </w:t>
                            </w:r>
                            <w:r w:rsidRPr="00EC492A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neinvestiční</w:t>
                            </w:r>
                            <w:r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ho</w:t>
                            </w:r>
                            <w:r w:rsidRPr="00EC492A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 programu </w:t>
                            </w:r>
                            <w:r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MZd v rámci projektu č. </w:t>
                            </w:r>
                            <w:r w:rsidRPr="00D04E73">
                              <w:rPr>
                                <w:rFonts w:ascii="Calibri-Bold" w:hAnsi="Calibri-Bold" w:cs="Calibri-Bold"/>
                                <w:bCs/>
                              </w:rPr>
                              <w:t>OKP/18/1109/2019</w:t>
                            </w:r>
                            <w:r w:rsidRPr="00D04E73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 </w:t>
                            </w:r>
                            <w:r w:rsidRPr="00514ED1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zjištěno, že dodavatel vzdělávacích služeb nerealizoval </w:t>
                            </w:r>
                            <w:r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plánovaných </w:t>
                            </w:r>
                            <w:r w:rsidRPr="00514ED1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14 seminářů s minimálně 20 účastníky na jednom semináři (jak bylo uvedeno ve smlouvě) ale jen </w:t>
                            </w:r>
                            <w:r w:rsidR="007A0C9A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pět</w:t>
                            </w:r>
                            <w:r w:rsidRPr="00514ED1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 seminářů, kde bylo proškoleno celkem pouze 174</w:t>
                            </w:r>
                            <w:r w:rsidR="00247673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 </w:t>
                            </w:r>
                            <w:r w:rsidRPr="00514ED1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účastníků. </w:t>
                            </w:r>
                            <w:r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Příjemce </w:t>
                            </w:r>
                            <w:r w:rsidRPr="00514ED1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z údajů, kter</w:t>
                            </w:r>
                            <w:r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é</w:t>
                            </w:r>
                            <w:r w:rsidRPr="00514ED1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 vedl, věděl před zaplacením sjednaných služeb o</w:t>
                            </w:r>
                            <w:r w:rsidR="00247673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 </w:t>
                            </w:r>
                            <w:r w:rsidRPr="00514ED1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nedodržení smlouvy, přesto fakturu za služby uhradil v plné výši. Tím, že nebyl ze strany dodavatele dodržen rozsah sjednaných služeb, ale </w:t>
                            </w:r>
                            <w:r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příjemce</w:t>
                            </w:r>
                            <w:r w:rsidRPr="00514ED1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 zaplatil služby dle původního rozsahu, porušil podmínky čerpání dotace</w:t>
                            </w:r>
                            <w:r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,</w:t>
                            </w:r>
                            <w:r w:rsidRPr="00514ED1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 protože poskytnuté peněžní prostředky použil na úhradu dílčích aktivit, které nebyly realizovány. Nevyužil je tak hospodárně a účelně k dosažení stanoveného cíle. NKÚ to vyhodnotil jako skutečnost nasvědčující porušení rozpočtové kázně ve vztahu k peněžním prostředkům </w:t>
                            </w:r>
                            <w:r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státu</w:t>
                            </w:r>
                            <w:r w:rsidRPr="00514ED1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 ve výši 108 900 Kč ve smyslu ustanovení § 44 odst. 1 písm. b) zákona č. 218/2000 Sb.</w:t>
                            </w:r>
                          </w:p>
                          <w:p w14:paraId="298F4437" w14:textId="77777777" w:rsidR="000F6FFD" w:rsidRDefault="000F6FFD" w:rsidP="00514ED1">
                            <w:pPr>
                              <w:jc w:val="both"/>
                              <w:rPr>
                                <w:rFonts w:cstheme="minorHAnsi"/>
                                <w:b/>
                                <w:color w:val="00459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0DEE6" id="Obdélník 10" o:spid="_x0000_s1032" style="position:absolute;left:0;text-align:left;margin-left:.35pt;margin-top:94.05pt;width:453pt;height:200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" fillcolor="white [3201]" strokecolor="black [3200]" strokeweight="1pt">
                <v:textbox>
                  <w:txbxContent>
                    <w:p w14:paraId="7FC66384" w14:textId="7A891312" w:rsidR="000F7CEB" w:rsidRDefault="000F7CEB" w:rsidP="000F7CEB">
                      <w:pPr>
                        <w:jc w:val="both"/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</w:pPr>
                      <w:r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  <w:t>Příklad č. 7</w:t>
                      </w:r>
                    </w:p>
                    <w:p w14:paraId="267556E6" w14:textId="2816D59D" w:rsidR="000F6FFD" w:rsidRPr="00514ED1" w:rsidRDefault="000F6FFD" w:rsidP="00F472A9">
                      <w:pPr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Fonts w:eastAsia="Calibri" w:cstheme="minorHAnsi"/>
                          <w:i/>
                          <w:iCs/>
                        </w:rPr>
                      </w:pPr>
                      <w:r w:rsidRPr="00514ED1">
                        <w:rPr>
                          <w:rFonts w:eastAsia="Calibri" w:cstheme="minorHAnsi"/>
                          <w:i/>
                          <w:iCs/>
                        </w:rPr>
                        <w:t>Kontrolou NKÚ bylo u F</w:t>
                      </w:r>
                      <w:r>
                        <w:rPr>
                          <w:rFonts w:eastAsia="Calibri" w:cstheme="minorHAnsi"/>
                          <w:i/>
                          <w:iCs/>
                        </w:rPr>
                        <w:t>akultní nemocnice</w:t>
                      </w:r>
                      <w:r w:rsidRPr="00514ED1">
                        <w:rPr>
                          <w:rFonts w:eastAsia="Calibri" w:cstheme="minorHAnsi"/>
                          <w:i/>
                          <w:iCs/>
                        </w:rPr>
                        <w:t xml:space="preserve"> Bulovka 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jako </w:t>
                      </w:r>
                      <w:r w:rsidRPr="00282947">
                        <w:rPr>
                          <w:rFonts w:cstheme="minorHAnsi"/>
                          <w:i/>
                          <w:iCs/>
                        </w:rPr>
                        <w:t>příjemc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e prostředků </w:t>
                      </w:r>
                      <w:r w:rsidRPr="00EC492A">
                        <w:rPr>
                          <w:rFonts w:eastAsia="Calibri" w:cstheme="minorHAnsi"/>
                          <w:i/>
                          <w:iCs/>
                        </w:rPr>
                        <w:t>neinvestiční</w:t>
                      </w:r>
                      <w:r>
                        <w:rPr>
                          <w:rFonts w:eastAsia="Calibri" w:cstheme="minorHAnsi"/>
                          <w:i/>
                          <w:iCs/>
                        </w:rPr>
                        <w:t>ho</w:t>
                      </w:r>
                      <w:r w:rsidRPr="00EC492A">
                        <w:rPr>
                          <w:rFonts w:eastAsia="Calibri" w:cstheme="minorHAnsi"/>
                          <w:i/>
                          <w:iCs/>
                        </w:rPr>
                        <w:t xml:space="preserve"> programu </w:t>
                      </w:r>
                      <w:r>
                        <w:rPr>
                          <w:rFonts w:eastAsia="Calibri" w:cstheme="minorHAnsi"/>
                          <w:i/>
                          <w:iCs/>
                        </w:rPr>
                        <w:t xml:space="preserve">MZd v rámci projektu č. </w:t>
                      </w:r>
                      <w:r w:rsidRPr="00D04E73">
                        <w:rPr>
                          <w:rFonts w:ascii="Calibri-Bold" w:hAnsi="Calibri-Bold" w:cs="Calibri-Bold"/>
                          <w:bCs/>
                        </w:rPr>
                        <w:t>OKP/18/1109/2019</w:t>
                      </w:r>
                      <w:r w:rsidRPr="00D04E73">
                        <w:rPr>
                          <w:rFonts w:eastAsia="Calibri" w:cstheme="minorHAnsi"/>
                          <w:i/>
                          <w:iCs/>
                        </w:rPr>
                        <w:t xml:space="preserve"> </w:t>
                      </w:r>
                      <w:r w:rsidRPr="00514ED1">
                        <w:rPr>
                          <w:rFonts w:eastAsia="Calibri" w:cstheme="minorHAnsi"/>
                          <w:i/>
                          <w:iCs/>
                        </w:rPr>
                        <w:t xml:space="preserve">zjištěno, že dodavatel vzdělávacích služeb nerealizoval </w:t>
                      </w:r>
                      <w:r>
                        <w:rPr>
                          <w:rFonts w:eastAsia="Calibri" w:cstheme="minorHAnsi"/>
                          <w:i/>
                          <w:iCs/>
                        </w:rPr>
                        <w:t xml:space="preserve">plánovaných </w:t>
                      </w:r>
                      <w:r w:rsidRPr="00514ED1">
                        <w:rPr>
                          <w:rFonts w:eastAsia="Calibri" w:cstheme="minorHAnsi"/>
                          <w:i/>
                          <w:iCs/>
                        </w:rPr>
                        <w:t>14 seminářů s minimálně 20 účastníky na jednom semináři (jak bylo uvedeno ve smlouvě) al</w:t>
                      </w:r>
                      <w:r w:rsidRPr="00514ED1">
                        <w:rPr>
                          <w:rFonts w:eastAsia="Calibri" w:cstheme="minorHAnsi"/>
                          <w:i/>
                          <w:iCs/>
                        </w:rPr>
                        <w:t xml:space="preserve">e jen </w:t>
                      </w:r>
                      <w:r w:rsidR="007A0C9A">
                        <w:rPr>
                          <w:rFonts w:eastAsia="Calibri" w:cstheme="minorHAnsi"/>
                          <w:i/>
                          <w:iCs/>
                        </w:rPr>
                        <w:t>pět</w:t>
                      </w:r>
                      <w:r w:rsidRPr="00514ED1">
                        <w:rPr>
                          <w:rFonts w:eastAsia="Calibri" w:cstheme="minorHAnsi"/>
                          <w:i/>
                          <w:iCs/>
                        </w:rPr>
                        <w:t xml:space="preserve"> seminářů, </w:t>
                      </w:r>
                      <w:r w:rsidRPr="00514ED1">
                        <w:rPr>
                          <w:rFonts w:eastAsia="Calibri" w:cstheme="minorHAnsi"/>
                          <w:i/>
                          <w:iCs/>
                        </w:rPr>
                        <w:t>kde bylo proškoleno celkem pouze 174</w:t>
                      </w:r>
                      <w:r w:rsidR="00247673">
                        <w:rPr>
                          <w:rFonts w:eastAsia="Calibri" w:cstheme="minorHAnsi"/>
                          <w:i/>
                          <w:iCs/>
                        </w:rPr>
                        <w:t> </w:t>
                      </w:r>
                      <w:r w:rsidRPr="00514ED1">
                        <w:rPr>
                          <w:rFonts w:eastAsia="Calibri" w:cstheme="minorHAnsi"/>
                          <w:i/>
                          <w:iCs/>
                        </w:rPr>
                        <w:t xml:space="preserve">účastníků. </w:t>
                      </w:r>
                      <w:r>
                        <w:rPr>
                          <w:rFonts w:eastAsia="Calibri" w:cstheme="minorHAnsi"/>
                          <w:i/>
                          <w:iCs/>
                        </w:rPr>
                        <w:t xml:space="preserve">Příjemce </w:t>
                      </w:r>
                      <w:r w:rsidRPr="00514ED1">
                        <w:rPr>
                          <w:rFonts w:eastAsia="Calibri" w:cstheme="minorHAnsi"/>
                          <w:i/>
                          <w:iCs/>
                        </w:rPr>
                        <w:t>z údajů, kter</w:t>
                      </w:r>
                      <w:r>
                        <w:rPr>
                          <w:rFonts w:eastAsia="Calibri" w:cstheme="minorHAnsi"/>
                          <w:i/>
                          <w:iCs/>
                        </w:rPr>
                        <w:t>é</w:t>
                      </w:r>
                      <w:r w:rsidRPr="00514ED1">
                        <w:rPr>
                          <w:rFonts w:eastAsia="Calibri" w:cstheme="minorHAnsi"/>
                          <w:i/>
                          <w:iCs/>
                        </w:rPr>
                        <w:t xml:space="preserve"> vedl, věděl před zaplacením sjednaných služeb o</w:t>
                      </w:r>
                      <w:r w:rsidR="00247673">
                        <w:rPr>
                          <w:rFonts w:eastAsia="Calibri" w:cstheme="minorHAnsi"/>
                          <w:i/>
                          <w:iCs/>
                        </w:rPr>
                        <w:t> </w:t>
                      </w:r>
                      <w:r w:rsidRPr="00514ED1">
                        <w:rPr>
                          <w:rFonts w:eastAsia="Calibri" w:cstheme="minorHAnsi"/>
                          <w:i/>
                          <w:iCs/>
                        </w:rPr>
                        <w:t xml:space="preserve">nedodržení smlouvy, přesto fakturu za služby uhradil v plné výši. Tím, že nebyl ze strany dodavatele dodržen rozsah sjednaných služeb, ale </w:t>
                      </w:r>
                      <w:r>
                        <w:rPr>
                          <w:rFonts w:eastAsia="Calibri" w:cstheme="minorHAnsi"/>
                          <w:i/>
                          <w:iCs/>
                        </w:rPr>
                        <w:t>příjemce</w:t>
                      </w:r>
                      <w:r w:rsidRPr="00514ED1">
                        <w:rPr>
                          <w:rFonts w:eastAsia="Calibri" w:cstheme="minorHAnsi"/>
                          <w:i/>
                          <w:iCs/>
                        </w:rPr>
                        <w:t xml:space="preserve"> zaplatil služby dle původního rozsahu, porušil podmínky čerpání dotace</w:t>
                      </w:r>
                      <w:r>
                        <w:rPr>
                          <w:rFonts w:eastAsia="Calibri" w:cstheme="minorHAnsi"/>
                          <w:i/>
                          <w:iCs/>
                        </w:rPr>
                        <w:t>,</w:t>
                      </w:r>
                      <w:r w:rsidRPr="00514ED1">
                        <w:rPr>
                          <w:rFonts w:eastAsia="Calibri" w:cstheme="minorHAnsi"/>
                          <w:i/>
                          <w:iCs/>
                        </w:rPr>
                        <w:t xml:space="preserve"> protože poskytnuté peněžní prostředky použil na úhradu dílčích aktivit, které nebyly realizovány. Nevyužil je tak hospodárně a účelně k dosažení stanoveného cíle. NKÚ to vyhodnotil jako skutečnost nasvědčující porušení rozpočtové kázně ve vztahu k peněžním prostředkům </w:t>
                      </w:r>
                      <w:r>
                        <w:rPr>
                          <w:rFonts w:eastAsia="Calibri" w:cstheme="minorHAnsi"/>
                          <w:i/>
                          <w:iCs/>
                        </w:rPr>
                        <w:t>státu</w:t>
                      </w:r>
                      <w:r w:rsidRPr="00514ED1">
                        <w:rPr>
                          <w:rFonts w:eastAsia="Calibri" w:cstheme="minorHAnsi"/>
                          <w:i/>
                          <w:iCs/>
                        </w:rPr>
                        <w:t xml:space="preserve"> ve výši 108 900 Kč ve smyslu ustanovení § 44 odst. 1 písm. b) zákona č. 218/2000 Sb.</w:t>
                      </w:r>
                    </w:p>
                    <w:p w14:paraId="298F4437" w14:textId="77777777" w:rsidR="000F6FFD" w:rsidRDefault="000F6FFD" w:rsidP="00514ED1">
                      <w:pPr>
                        <w:jc w:val="both"/>
                        <w:rPr>
                          <w:rFonts w:cstheme="minorHAnsi"/>
                          <w:b/>
                          <w:color w:val="004595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FA15CB" w:rsidRPr="009B4E61">
        <w:rPr>
          <w:rFonts w:eastAsia="Calibri" w:cstheme="minorHAnsi"/>
        </w:rPr>
        <w:t xml:space="preserve">MK </w:t>
      </w:r>
      <w:r w:rsidR="000E0335">
        <w:rPr>
          <w:rFonts w:eastAsia="Calibri" w:cstheme="minorHAnsi"/>
        </w:rPr>
        <w:t>provádělo</w:t>
      </w:r>
      <w:r w:rsidR="00FA15CB" w:rsidRPr="009B4E61">
        <w:rPr>
          <w:rFonts w:eastAsia="Calibri" w:cstheme="minorHAnsi"/>
        </w:rPr>
        <w:t xml:space="preserve"> veřejnosprávní kontroly pouze v období říjen 2019 až únor 2020</w:t>
      </w:r>
      <w:r w:rsidR="000E0335">
        <w:rPr>
          <w:rFonts w:eastAsia="Calibri" w:cstheme="minorHAnsi"/>
        </w:rPr>
        <w:t xml:space="preserve"> </w:t>
      </w:r>
      <w:r w:rsidR="00FA15CB" w:rsidRPr="009B4E61">
        <w:rPr>
          <w:rFonts w:eastAsia="Calibri" w:cstheme="minorHAnsi"/>
        </w:rPr>
        <w:t xml:space="preserve">u devíti příjemců a neshledalo žádné porušení podmínek čerpání dotací. </w:t>
      </w:r>
      <w:proofErr w:type="spellStart"/>
      <w:r w:rsidR="00FA15CB" w:rsidRPr="009B4E61">
        <w:rPr>
          <w:rFonts w:eastAsia="Calibri" w:cstheme="minorHAnsi"/>
        </w:rPr>
        <w:t>MZd</w:t>
      </w:r>
      <w:proofErr w:type="spellEnd"/>
      <w:r w:rsidR="00FA15CB" w:rsidRPr="009B4E61">
        <w:rPr>
          <w:rFonts w:eastAsia="Calibri" w:cstheme="minorHAnsi"/>
        </w:rPr>
        <w:t xml:space="preserve"> neprovedlo </w:t>
      </w:r>
      <w:r w:rsidR="00514ED1" w:rsidRPr="009B4E61">
        <w:rPr>
          <w:rFonts w:eastAsia="Calibri" w:cstheme="minorHAnsi"/>
        </w:rPr>
        <w:t xml:space="preserve">u příjemců </w:t>
      </w:r>
      <w:r w:rsidR="00FA15CB" w:rsidRPr="009B4E61">
        <w:rPr>
          <w:rFonts w:eastAsia="Calibri" w:cstheme="minorHAnsi"/>
        </w:rPr>
        <w:t xml:space="preserve">v kontrolovaném období žádnou kontrolu. Neprováděním kontrol projektů tak </w:t>
      </w:r>
      <w:proofErr w:type="spellStart"/>
      <w:r w:rsidR="00FA15CB" w:rsidRPr="009B4E61">
        <w:rPr>
          <w:rFonts w:eastAsia="Calibri" w:cstheme="minorHAnsi"/>
        </w:rPr>
        <w:t>MZd</w:t>
      </w:r>
      <w:proofErr w:type="spellEnd"/>
      <w:r w:rsidR="00FA15CB" w:rsidRPr="009B4E61">
        <w:rPr>
          <w:rFonts w:eastAsia="Calibri" w:cstheme="minorHAnsi"/>
        </w:rPr>
        <w:t xml:space="preserve"> neodhalilo </w:t>
      </w:r>
      <w:r w:rsidR="00514ED1" w:rsidRPr="009B4E61">
        <w:rPr>
          <w:rFonts w:eastAsia="Calibri" w:cstheme="minorHAnsi"/>
        </w:rPr>
        <w:t xml:space="preserve">např. </w:t>
      </w:r>
      <w:r w:rsidR="00FA15CB" w:rsidRPr="009B4E61">
        <w:rPr>
          <w:rFonts w:eastAsia="Calibri" w:cstheme="minorHAnsi"/>
        </w:rPr>
        <w:t xml:space="preserve">nedostatky, které NKÚ zjistil u příjemce </w:t>
      </w:r>
      <w:r w:rsidR="009501E8">
        <w:rPr>
          <w:rFonts w:eastAsia="Calibri" w:cstheme="minorHAnsi"/>
        </w:rPr>
        <w:t>Fakultní nemocnice</w:t>
      </w:r>
      <w:r w:rsidR="00FA15CB" w:rsidRPr="009B4E61">
        <w:rPr>
          <w:rFonts w:eastAsia="Calibri" w:cstheme="minorHAnsi"/>
        </w:rPr>
        <w:t xml:space="preserve"> Bulovka, které</w:t>
      </w:r>
      <w:r w:rsidR="001058AC">
        <w:rPr>
          <w:rFonts w:eastAsia="Calibri" w:cstheme="minorHAnsi"/>
        </w:rPr>
        <w:t xml:space="preserve"> vyhodnotil jako </w:t>
      </w:r>
      <w:r w:rsidR="00FA15CB" w:rsidRPr="009B4E61">
        <w:rPr>
          <w:rFonts w:eastAsia="Calibri" w:cstheme="minorHAnsi"/>
        </w:rPr>
        <w:t>skutečnosti nasvědčující porušení rozpočtové kázně dle zákona č.</w:t>
      </w:r>
      <w:r w:rsidR="00247673">
        <w:rPr>
          <w:rFonts w:eastAsia="Calibri" w:cstheme="minorHAnsi"/>
        </w:rPr>
        <w:t> </w:t>
      </w:r>
      <w:r w:rsidR="00FA15CB" w:rsidRPr="009B4E61">
        <w:rPr>
          <w:rFonts w:eastAsia="Calibri" w:cstheme="minorHAnsi"/>
        </w:rPr>
        <w:t>218/2000</w:t>
      </w:r>
      <w:r w:rsidR="00247673">
        <w:rPr>
          <w:rFonts w:eastAsia="Calibri" w:cstheme="minorHAnsi"/>
        </w:rPr>
        <w:t> </w:t>
      </w:r>
      <w:r w:rsidR="00FA15CB" w:rsidRPr="009B4E61">
        <w:rPr>
          <w:rFonts w:eastAsia="Calibri" w:cstheme="minorHAnsi"/>
        </w:rPr>
        <w:t>Sb.</w:t>
      </w:r>
      <w:r w:rsidR="00500F46">
        <w:rPr>
          <w:rFonts w:eastAsia="Calibri" w:cstheme="minorHAnsi"/>
        </w:rPr>
        <w:t xml:space="preserve"> (</w:t>
      </w:r>
      <w:r w:rsidR="007A0C9A">
        <w:rPr>
          <w:rFonts w:eastAsia="Calibri" w:cstheme="minorHAnsi"/>
        </w:rPr>
        <w:t xml:space="preserve">viz </w:t>
      </w:r>
      <w:r w:rsidR="00500F46">
        <w:rPr>
          <w:rFonts w:eastAsia="Calibri" w:cstheme="minorHAnsi"/>
        </w:rPr>
        <w:t>příklad č.</w:t>
      </w:r>
      <w:r w:rsidR="00DD5BB1">
        <w:rPr>
          <w:rFonts w:eastAsia="Calibri" w:cstheme="minorHAnsi"/>
        </w:rPr>
        <w:t xml:space="preserve"> </w:t>
      </w:r>
      <w:r w:rsidR="00DF6170">
        <w:rPr>
          <w:rFonts w:eastAsia="Calibri" w:cstheme="minorHAnsi"/>
        </w:rPr>
        <w:t>7</w:t>
      </w:r>
      <w:r w:rsidR="00500F46">
        <w:rPr>
          <w:rFonts w:eastAsia="Calibri" w:cstheme="minorHAnsi"/>
        </w:rPr>
        <w:t>)</w:t>
      </w:r>
      <w:r w:rsidR="00311B3A">
        <w:rPr>
          <w:rFonts w:eastAsia="Calibri" w:cstheme="minorHAnsi"/>
        </w:rPr>
        <w:t>.</w:t>
      </w:r>
    </w:p>
    <w:p w14:paraId="25000E3E" w14:textId="43C6C1DC" w:rsidR="00FA15CB" w:rsidRPr="009B4E61" w:rsidRDefault="00514ED1" w:rsidP="00F472A9">
      <w:pPr>
        <w:autoSpaceDE w:val="0"/>
        <w:autoSpaceDN w:val="0"/>
        <w:adjustRightInd w:val="0"/>
        <w:spacing w:before="120" w:after="120"/>
        <w:jc w:val="both"/>
        <w:rPr>
          <w:rFonts w:eastAsia="Calibri" w:cstheme="minorHAnsi"/>
        </w:rPr>
      </w:pPr>
      <w:r w:rsidRPr="009B4E61">
        <w:rPr>
          <w:rFonts w:eastAsia="Calibri" w:cstheme="minorHAnsi"/>
        </w:rPr>
        <w:t xml:space="preserve">MK tak v období od března 2020 do prosince 2021 a </w:t>
      </w:r>
      <w:proofErr w:type="spellStart"/>
      <w:r w:rsidR="00E71370" w:rsidRPr="009B4E61">
        <w:rPr>
          <w:rFonts w:eastAsia="Calibri" w:cstheme="minorHAnsi"/>
        </w:rPr>
        <w:t>MZd</w:t>
      </w:r>
      <w:proofErr w:type="spellEnd"/>
      <w:r w:rsidR="00E71370" w:rsidRPr="009B4E61">
        <w:rPr>
          <w:rFonts w:eastAsia="Calibri" w:cstheme="minorHAnsi"/>
        </w:rPr>
        <w:t xml:space="preserve"> v celém kontrolovaném období nepostupovaly dle ustanovení § 5 odst. 1 písm. a), d) a e) zákona č. 320/2001 Sb. </w:t>
      </w:r>
      <w:r w:rsidR="00F94646">
        <w:rPr>
          <w:rFonts w:eastAsia="Calibri" w:cstheme="minorHAnsi"/>
        </w:rPr>
        <w:t>Skutečnosti zjištěné kontrolní činností jsou</w:t>
      </w:r>
      <w:r w:rsidR="00EA1D1F" w:rsidRPr="009B4E61">
        <w:rPr>
          <w:rFonts w:eastAsia="Calibri" w:cstheme="minorHAnsi"/>
        </w:rPr>
        <w:t xml:space="preserve"> zároveň podkladem pro zajištění </w:t>
      </w:r>
      <w:r w:rsidR="00E71370" w:rsidRPr="009B4E61">
        <w:rPr>
          <w:rFonts w:eastAsia="Calibri" w:cstheme="minorHAnsi"/>
        </w:rPr>
        <w:t xml:space="preserve">mj. </w:t>
      </w:r>
      <w:r w:rsidR="00EA1D1F" w:rsidRPr="009B4E61">
        <w:rPr>
          <w:rFonts w:eastAsia="Calibri" w:cstheme="minorHAnsi"/>
        </w:rPr>
        <w:t>hospodárného</w:t>
      </w:r>
      <w:r w:rsidR="00E71370" w:rsidRPr="009B4E61">
        <w:rPr>
          <w:rFonts w:eastAsia="Calibri" w:cstheme="minorHAnsi"/>
        </w:rPr>
        <w:t xml:space="preserve"> a </w:t>
      </w:r>
      <w:r w:rsidR="00EA1D1F" w:rsidRPr="009B4E61">
        <w:rPr>
          <w:rFonts w:eastAsia="Calibri" w:cstheme="minorHAnsi"/>
        </w:rPr>
        <w:t xml:space="preserve">účelného nakládání s peněžními prostředky státu. </w:t>
      </w:r>
    </w:p>
    <w:p w14:paraId="316287AD" w14:textId="281A1D9B" w:rsidR="00976291" w:rsidRPr="00247673" w:rsidRDefault="00976291" w:rsidP="00247673">
      <w:pPr>
        <w:keepNext/>
        <w:spacing w:before="240" w:after="120"/>
        <w:ind w:left="227" w:hanging="227"/>
        <w:rPr>
          <w:rFonts w:cstheme="minorHAnsi"/>
          <w:b/>
        </w:rPr>
      </w:pPr>
      <w:r w:rsidRPr="00247673">
        <w:rPr>
          <w:rFonts w:cstheme="minorHAnsi"/>
          <w:b/>
        </w:rPr>
        <w:t>8.</w:t>
      </w:r>
      <w:r w:rsidR="00247673" w:rsidRPr="00247673">
        <w:rPr>
          <w:rFonts w:cstheme="minorHAnsi"/>
          <w:b/>
        </w:rPr>
        <w:tab/>
      </w:r>
      <w:r w:rsidR="00723525" w:rsidRPr="00247673">
        <w:rPr>
          <w:rFonts w:cstheme="minorHAnsi"/>
          <w:b/>
        </w:rPr>
        <w:t xml:space="preserve">MV, MK a </w:t>
      </w:r>
      <w:proofErr w:type="spellStart"/>
      <w:r w:rsidR="00723525" w:rsidRPr="00247673">
        <w:rPr>
          <w:rFonts w:cstheme="minorHAnsi"/>
          <w:b/>
        </w:rPr>
        <w:t>MZd</w:t>
      </w:r>
      <w:proofErr w:type="spellEnd"/>
      <w:r w:rsidR="00723525" w:rsidRPr="00247673">
        <w:rPr>
          <w:rFonts w:cstheme="minorHAnsi"/>
          <w:b/>
        </w:rPr>
        <w:t xml:space="preserve"> nevyžadoval</w:t>
      </w:r>
      <w:r w:rsidR="00984A59" w:rsidRPr="00247673">
        <w:rPr>
          <w:rFonts w:cstheme="minorHAnsi"/>
          <w:b/>
        </w:rPr>
        <w:t>y</w:t>
      </w:r>
      <w:r w:rsidR="00723525" w:rsidRPr="00247673">
        <w:rPr>
          <w:rFonts w:cstheme="minorHAnsi"/>
          <w:b/>
        </w:rPr>
        <w:t xml:space="preserve"> od příjemců výstupy projektů</w:t>
      </w:r>
      <w:r w:rsidR="002F712A" w:rsidRPr="00247673">
        <w:rPr>
          <w:rFonts w:cstheme="minorHAnsi"/>
          <w:b/>
        </w:rPr>
        <w:t xml:space="preserve"> </w:t>
      </w:r>
      <w:r w:rsidR="00723525" w:rsidRPr="00247673">
        <w:rPr>
          <w:rFonts w:cstheme="minorHAnsi"/>
          <w:b/>
        </w:rPr>
        <w:t>a informace o jejich využití</w:t>
      </w:r>
      <w:r w:rsidRPr="00247673">
        <w:rPr>
          <w:rFonts w:cstheme="minorHAnsi"/>
          <w:b/>
        </w:rPr>
        <w:t xml:space="preserve">, </w:t>
      </w:r>
      <w:r w:rsidR="00251CF2" w:rsidRPr="00247673">
        <w:rPr>
          <w:rFonts w:cstheme="minorHAnsi"/>
          <w:b/>
        </w:rPr>
        <w:t xml:space="preserve">nesledovaly a </w:t>
      </w:r>
      <w:r w:rsidRPr="00247673">
        <w:rPr>
          <w:rFonts w:cstheme="minorHAnsi"/>
          <w:b/>
        </w:rPr>
        <w:t>nevyhodnocoval</w:t>
      </w:r>
      <w:r w:rsidR="00984A59" w:rsidRPr="00247673">
        <w:rPr>
          <w:rFonts w:cstheme="minorHAnsi"/>
          <w:b/>
        </w:rPr>
        <w:t>y</w:t>
      </w:r>
      <w:r w:rsidRPr="00247673">
        <w:rPr>
          <w:rFonts w:cstheme="minorHAnsi"/>
          <w:b/>
        </w:rPr>
        <w:t xml:space="preserve"> </w:t>
      </w:r>
      <w:r w:rsidR="00567108" w:rsidRPr="00247673">
        <w:rPr>
          <w:rFonts w:cstheme="minorHAnsi"/>
          <w:b/>
        </w:rPr>
        <w:t xml:space="preserve">tak </w:t>
      </w:r>
      <w:r w:rsidR="002C3DCC" w:rsidRPr="00247673">
        <w:rPr>
          <w:rFonts w:cstheme="minorHAnsi"/>
          <w:b/>
        </w:rPr>
        <w:t xml:space="preserve">účelnost a hospodárnost vynakládání peněžních prostředků </w:t>
      </w:r>
      <w:r w:rsidR="00251CF2" w:rsidRPr="00247673">
        <w:rPr>
          <w:rFonts w:cstheme="minorHAnsi"/>
          <w:b/>
        </w:rPr>
        <w:t xml:space="preserve">státu </w:t>
      </w:r>
      <w:r w:rsidR="002C3DCC" w:rsidRPr="00247673">
        <w:rPr>
          <w:rFonts w:cstheme="minorHAnsi"/>
          <w:b/>
        </w:rPr>
        <w:t>u projektů</w:t>
      </w:r>
      <w:r w:rsidRPr="00247673">
        <w:rPr>
          <w:rFonts w:cstheme="minorHAnsi"/>
          <w:b/>
        </w:rPr>
        <w:t xml:space="preserve"> dle § 39 odst. 3 zákona č. 218/2000 Sb.</w:t>
      </w:r>
    </w:p>
    <w:p w14:paraId="2F3167CE" w14:textId="5246C990" w:rsidR="00723525" w:rsidRDefault="002C3DCC" w:rsidP="009B4E61">
      <w:pPr>
        <w:shd w:val="clear" w:color="auto" w:fill="FFFFFF" w:themeFill="background1"/>
        <w:spacing w:after="12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Dle ustanovení § 39 odst. 3 zákona č. 218/2000 Sb. je správce </w:t>
      </w:r>
      <w:r w:rsidR="00911883">
        <w:rPr>
          <w:rFonts w:eastAsia="Calibri" w:cstheme="minorHAnsi"/>
        </w:rPr>
        <w:t xml:space="preserve">rozpočtové </w:t>
      </w:r>
      <w:r>
        <w:rPr>
          <w:rFonts w:eastAsia="Calibri" w:cstheme="minorHAnsi"/>
        </w:rPr>
        <w:t xml:space="preserve">kapitoly (tedy i MV, MK a </w:t>
      </w:r>
      <w:proofErr w:type="spellStart"/>
      <w:r>
        <w:rPr>
          <w:rFonts w:eastAsia="Calibri" w:cstheme="minorHAnsi"/>
        </w:rPr>
        <w:t>MZd</w:t>
      </w:r>
      <w:proofErr w:type="spellEnd"/>
      <w:r w:rsidR="008A453E">
        <w:rPr>
          <w:rFonts w:eastAsia="Calibri" w:cstheme="minorHAnsi"/>
        </w:rPr>
        <w:t>) povinen</w:t>
      </w:r>
      <w:r w:rsidR="00976291" w:rsidRPr="009B4E61">
        <w:rPr>
          <w:rFonts w:eastAsia="Calibri" w:cstheme="minorHAnsi"/>
        </w:rPr>
        <w:t xml:space="preserve"> </w:t>
      </w:r>
      <w:r w:rsidR="00040174" w:rsidRPr="009B4E61">
        <w:rPr>
          <w:rFonts w:eastAsia="Calibri" w:cstheme="minorHAnsi"/>
        </w:rPr>
        <w:t xml:space="preserve">mj. </w:t>
      </w:r>
      <w:r w:rsidR="00723525" w:rsidRPr="009B4E61">
        <w:rPr>
          <w:rFonts w:eastAsia="Calibri" w:cstheme="minorHAnsi"/>
        </w:rPr>
        <w:t>soustavně sledovat a vyhodnocovat hospodárnost a účelnost vynakládání výdajů ve své kapitole.</w:t>
      </w:r>
      <w:r w:rsidR="002F712A" w:rsidRPr="009B4E61">
        <w:rPr>
          <w:rFonts w:eastAsia="Calibri" w:cstheme="minorHAnsi"/>
        </w:rPr>
        <w:t xml:space="preserve"> </w:t>
      </w:r>
      <w:r w:rsidR="00723525" w:rsidRPr="009B4E61">
        <w:rPr>
          <w:rFonts w:eastAsia="Calibri" w:cstheme="minorHAnsi"/>
        </w:rPr>
        <w:t xml:space="preserve">Na základě výstupů </w:t>
      </w:r>
      <w:r w:rsidR="00040174" w:rsidRPr="009B4E61">
        <w:rPr>
          <w:rFonts w:eastAsia="Calibri" w:cstheme="minorHAnsi"/>
        </w:rPr>
        <w:t>realizovaných</w:t>
      </w:r>
      <w:r w:rsidR="00723525" w:rsidRPr="009B4E61">
        <w:rPr>
          <w:rFonts w:eastAsia="Calibri" w:cstheme="minorHAnsi"/>
        </w:rPr>
        <w:t xml:space="preserve"> projektů</w:t>
      </w:r>
      <w:r w:rsidR="003D0B89">
        <w:rPr>
          <w:rFonts w:eastAsia="Calibri" w:cstheme="minorHAnsi"/>
        </w:rPr>
        <w:t xml:space="preserve"> </w:t>
      </w:r>
      <w:r w:rsidR="00723525" w:rsidRPr="009B4E61">
        <w:rPr>
          <w:rFonts w:eastAsia="Calibri" w:cstheme="minorHAnsi"/>
        </w:rPr>
        <w:t>a informací o</w:t>
      </w:r>
      <w:r w:rsidR="00247673">
        <w:rPr>
          <w:rFonts w:eastAsia="Calibri" w:cstheme="minorHAnsi"/>
        </w:rPr>
        <w:t> </w:t>
      </w:r>
      <w:r w:rsidR="00723525" w:rsidRPr="009B4E61">
        <w:rPr>
          <w:rFonts w:eastAsia="Calibri" w:cstheme="minorHAnsi"/>
        </w:rPr>
        <w:t xml:space="preserve">jejich využití </w:t>
      </w:r>
      <w:r w:rsidR="00040174" w:rsidRPr="009B4E61">
        <w:rPr>
          <w:rFonts w:eastAsia="Calibri" w:cstheme="minorHAnsi"/>
        </w:rPr>
        <w:t>mohou</w:t>
      </w:r>
      <w:r w:rsidR="00723525" w:rsidRPr="009B4E61">
        <w:rPr>
          <w:rFonts w:eastAsia="Calibri" w:cstheme="minorHAnsi"/>
        </w:rPr>
        <w:t xml:space="preserve"> </w:t>
      </w:r>
      <w:r w:rsidR="00930738">
        <w:rPr>
          <w:rFonts w:eastAsia="Calibri" w:cstheme="minorHAnsi"/>
        </w:rPr>
        <w:t>poskytovatelé dotací</w:t>
      </w:r>
      <w:r w:rsidR="00723525" w:rsidRPr="009B4E61">
        <w:rPr>
          <w:rFonts w:eastAsia="Calibri" w:cstheme="minorHAnsi"/>
        </w:rPr>
        <w:t xml:space="preserve"> vyhodnotit naplnění cíle projektu ve vazbě na </w:t>
      </w:r>
      <w:r w:rsidR="003D0B89">
        <w:rPr>
          <w:rFonts w:eastAsia="Calibri" w:cstheme="minorHAnsi"/>
        </w:rPr>
        <w:t xml:space="preserve">neinvestiční </w:t>
      </w:r>
      <w:r w:rsidR="00723525" w:rsidRPr="009B4E61">
        <w:rPr>
          <w:rFonts w:eastAsia="Calibri" w:cstheme="minorHAnsi"/>
        </w:rPr>
        <w:t xml:space="preserve">program a ověřit </w:t>
      </w:r>
      <w:r w:rsidR="002F712A" w:rsidRPr="009B4E61">
        <w:rPr>
          <w:rFonts w:eastAsia="Calibri" w:cstheme="minorHAnsi"/>
        </w:rPr>
        <w:t xml:space="preserve">tak </w:t>
      </w:r>
      <w:r w:rsidR="003D0B89">
        <w:rPr>
          <w:rFonts w:eastAsia="Calibri" w:cstheme="minorHAnsi"/>
        </w:rPr>
        <w:t xml:space="preserve">mj. </w:t>
      </w:r>
      <w:r w:rsidR="002F712A" w:rsidRPr="009B4E61">
        <w:rPr>
          <w:rFonts w:eastAsia="Calibri" w:cstheme="minorHAnsi"/>
        </w:rPr>
        <w:t xml:space="preserve">účelnost a </w:t>
      </w:r>
      <w:r w:rsidR="00723525" w:rsidRPr="009B4E61">
        <w:rPr>
          <w:rFonts w:eastAsia="Calibri" w:cstheme="minorHAnsi"/>
        </w:rPr>
        <w:t xml:space="preserve">hospodárnost vynaložených peněžních prostředků státu. </w:t>
      </w:r>
    </w:p>
    <w:p w14:paraId="3604FCAE" w14:textId="6707AE2B" w:rsidR="00F6032A" w:rsidRDefault="00723525" w:rsidP="00F6032A">
      <w:pPr>
        <w:shd w:val="clear" w:color="auto" w:fill="FFFFFF" w:themeFill="background1"/>
        <w:spacing w:after="120"/>
        <w:jc w:val="both"/>
        <w:rPr>
          <w:rFonts w:eastAsia="Calibri" w:cstheme="minorHAnsi"/>
        </w:rPr>
      </w:pPr>
      <w:r w:rsidRPr="009B4E61">
        <w:rPr>
          <w:rFonts w:eastAsia="Calibri" w:cstheme="minorHAnsi"/>
        </w:rPr>
        <w:t xml:space="preserve">Příjemci byli povinni předložit po ukončení projektu závěrečnou zprávu. </w:t>
      </w:r>
      <w:r w:rsidR="0062105B" w:rsidRPr="009B4E61">
        <w:rPr>
          <w:rFonts w:eastAsia="Calibri" w:cstheme="minorHAnsi"/>
        </w:rPr>
        <w:t>Jejím obsahem</w:t>
      </w:r>
      <w:r w:rsidRPr="009B4E61">
        <w:rPr>
          <w:rFonts w:eastAsia="Calibri" w:cstheme="minorHAnsi"/>
        </w:rPr>
        <w:t xml:space="preserve"> byl popis projektu, výše vyčerpaných a případně vrácených </w:t>
      </w:r>
      <w:r w:rsidR="0062105B" w:rsidRPr="009B4E61">
        <w:rPr>
          <w:rFonts w:eastAsia="Calibri" w:cstheme="minorHAnsi"/>
        </w:rPr>
        <w:t xml:space="preserve">peněžních </w:t>
      </w:r>
      <w:r w:rsidRPr="009B4E61">
        <w:rPr>
          <w:rFonts w:eastAsia="Calibri" w:cstheme="minorHAnsi"/>
        </w:rPr>
        <w:t>prostředků</w:t>
      </w:r>
      <w:r w:rsidR="003D0B89">
        <w:rPr>
          <w:rFonts w:eastAsia="Calibri" w:cstheme="minorHAnsi"/>
        </w:rPr>
        <w:t xml:space="preserve"> státu</w:t>
      </w:r>
      <w:r w:rsidRPr="009B4E61">
        <w:rPr>
          <w:rFonts w:eastAsia="Calibri" w:cstheme="minorHAnsi"/>
        </w:rPr>
        <w:t xml:space="preserve">, obecný popis naplnění cílů projektu a výčet nedostatků spojených s čerpáním dotace. MV, MK ani </w:t>
      </w:r>
      <w:proofErr w:type="spellStart"/>
      <w:r w:rsidRPr="009B4E61">
        <w:rPr>
          <w:rFonts w:eastAsia="Calibri" w:cstheme="minorHAnsi"/>
        </w:rPr>
        <w:t>MZd</w:t>
      </w:r>
      <w:proofErr w:type="spellEnd"/>
      <w:r w:rsidRPr="009B4E61">
        <w:rPr>
          <w:rFonts w:eastAsia="Calibri" w:cstheme="minorHAnsi"/>
        </w:rPr>
        <w:t xml:space="preserve"> nestanovily povinnost doložit výsledek projektu</w:t>
      </w:r>
      <w:r w:rsidR="00D97F08">
        <w:rPr>
          <w:rFonts w:eastAsia="Calibri" w:cstheme="minorHAnsi"/>
        </w:rPr>
        <w:t xml:space="preserve"> (</w:t>
      </w:r>
      <w:r w:rsidR="003D0B89">
        <w:rPr>
          <w:rFonts w:eastAsia="Calibri" w:cstheme="minorHAnsi"/>
        </w:rPr>
        <w:t xml:space="preserve">např. </w:t>
      </w:r>
      <w:r w:rsidR="00D97F08">
        <w:rPr>
          <w:rFonts w:eastAsia="Calibri" w:cstheme="minorHAnsi"/>
        </w:rPr>
        <w:t>bezpečnostní dokumentac</w:t>
      </w:r>
      <w:r w:rsidR="003D0B89">
        <w:rPr>
          <w:rFonts w:eastAsia="Calibri" w:cstheme="minorHAnsi"/>
        </w:rPr>
        <w:t>i</w:t>
      </w:r>
      <w:r w:rsidR="00D97F08">
        <w:rPr>
          <w:rFonts w:eastAsia="Calibri" w:cstheme="minorHAnsi"/>
        </w:rPr>
        <w:t xml:space="preserve">) </w:t>
      </w:r>
      <w:r w:rsidRPr="009B4E61">
        <w:rPr>
          <w:rFonts w:eastAsia="Calibri" w:cstheme="minorHAnsi"/>
        </w:rPr>
        <w:t xml:space="preserve">ani informaci o jeho </w:t>
      </w:r>
      <w:r w:rsidR="0062105B" w:rsidRPr="009B4E61">
        <w:rPr>
          <w:rFonts w:eastAsia="Calibri" w:cstheme="minorHAnsi"/>
        </w:rPr>
        <w:t xml:space="preserve">následném </w:t>
      </w:r>
      <w:r w:rsidRPr="009B4E61">
        <w:rPr>
          <w:rFonts w:eastAsia="Calibri" w:cstheme="minorHAnsi"/>
        </w:rPr>
        <w:t>využití.</w:t>
      </w:r>
      <w:r w:rsidR="002A18E0">
        <w:rPr>
          <w:rFonts w:eastAsia="Calibri" w:cstheme="minorHAnsi"/>
        </w:rPr>
        <w:t xml:space="preserve"> </w:t>
      </w:r>
      <w:r w:rsidR="00576D1E">
        <w:rPr>
          <w:rFonts w:eastAsia="Calibri" w:cstheme="minorHAnsi"/>
        </w:rPr>
        <w:t xml:space="preserve">Vyhodnocení závěrečných zpráv MV, MK a </w:t>
      </w:r>
      <w:proofErr w:type="spellStart"/>
      <w:r w:rsidR="00576D1E">
        <w:rPr>
          <w:rFonts w:eastAsia="Calibri" w:cstheme="minorHAnsi"/>
        </w:rPr>
        <w:t>MZd</w:t>
      </w:r>
      <w:proofErr w:type="spellEnd"/>
      <w:r w:rsidR="00576D1E">
        <w:rPr>
          <w:rFonts w:eastAsia="Calibri" w:cstheme="minorHAnsi"/>
        </w:rPr>
        <w:t xml:space="preserve"> prováděly pouze formálně</w:t>
      </w:r>
      <w:r w:rsidR="00251CF2">
        <w:rPr>
          <w:rFonts w:eastAsia="Calibri" w:cstheme="minorHAnsi"/>
        </w:rPr>
        <w:t xml:space="preserve">, </w:t>
      </w:r>
      <w:r w:rsidR="00576D1E">
        <w:rPr>
          <w:rFonts w:eastAsia="Calibri" w:cstheme="minorHAnsi"/>
        </w:rPr>
        <w:t xml:space="preserve">což </w:t>
      </w:r>
      <w:r w:rsidR="0062105B" w:rsidRPr="009B4E61">
        <w:rPr>
          <w:rFonts w:eastAsia="Calibri" w:cstheme="minorHAnsi"/>
        </w:rPr>
        <w:t xml:space="preserve">dokládají </w:t>
      </w:r>
      <w:r w:rsidR="006541AA" w:rsidRPr="009B4E61">
        <w:rPr>
          <w:rFonts w:eastAsia="Calibri" w:cstheme="minorHAnsi"/>
        </w:rPr>
        <w:t xml:space="preserve">skutečnosti zjištěné NKÚ u příjemců podpory týkající </w:t>
      </w:r>
      <w:r w:rsidR="00251CF2" w:rsidRPr="00251CF2">
        <w:rPr>
          <w:rFonts w:eastAsia="Calibri" w:cstheme="minorHAnsi"/>
        </w:rPr>
        <w:t xml:space="preserve">porušení podmínek neinvestičních programů MK a </w:t>
      </w:r>
      <w:proofErr w:type="spellStart"/>
      <w:r w:rsidR="00251CF2" w:rsidRPr="00251CF2">
        <w:rPr>
          <w:rFonts w:eastAsia="Calibri" w:cstheme="minorHAnsi"/>
        </w:rPr>
        <w:t>MZd</w:t>
      </w:r>
      <w:proofErr w:type="spellEnd"/>
      <w:r w:rsidR="00251CF2" w:rsidRPr="00251CF2">
        <w:rPr>
          <w:rFonts w:eastAsia="Calibri" w:cstheme="minorHAnsi"/>
        </w:rPr>
        <w:t xml:space="preserve"> (</w:t>
      </w:r>
      <w:r w:rsidR="007B4765">
        <w:rPr>
          <w:rFonts w:eastAsia="Calibri" w:cstheme="minorHAnsi"/>
        </w:rPr>
        <w:t xml:space="preserve">viz </w:t>
      </w:r>
      <w:r w:rsidR="00251CF2" w:rsidRPr="00251CF2">
        <w:rPr>
          <w:rFonts w:eastAsia="Calibri" w:cstheme="minorHAnsi"/>
        </w:rPr>
        <w:t>příklad</w:t>
      </w:r>
      <w:r w:rsidR="00083FD2">
        <w:rPr>
          <w:rFonts w:eastAsia="Calibri" w:cstheme="minorHAnsi"/>
        </w:rPr>
        <w:t>y</w:t>
      </w:r>
      <w:r w:rsidR="00251CF2" w:rsidRPr="00251CF2">
        <w:rPr>
          <w:rFonts w:eastAsia="Calibri" w:cstheme="minorHAnsi"/>
        </w:rPr>
        <w:t xml:space="preserve"> č. </w:t>
      </w:r>
      <w:r w:rsidR="00567108">
        <w:rPr>
          <w:rFonts w:eastAsia="Calibri" w:cstheme="minorHAnsi"/>
        </w:rPr>
        <w:t>8</w:t>
      </w:r>
      <w:r w:rsidR="00251CF2" w:rsidRPr="00251CF2">
        <w:rPr>
          <w:rFonts w:eastAsia="Calibri" w:cstheme="minorHAnsi"/>
        </w:rPr>
        <w:t xml:space="preserve"> a č. </w:t>
      </w:r>
      <w:r w:rsidR="00567108">
        <w:rPr>
          <w:rFonts w:eastAsia="Calibri" w:cstheme="minorHAnsi"/>
        </w:rPr>
        <w:t>9</w:t>
      </w:r>
      <w:r w:rsidR="00251CF2" w:rsidRPr="00251CF2">
        <w:rPr>
          <w:rFonts w:eastAsia="Calibri" w:cstheme="minorHAnsi"/>
        </w:rPr>
        <w:t>)</w:t>
      </w:r>
      <w:r w:rsidR="00251CF2">
        <w:rPr>
          <w:rFonts w:eastAsia="Calibri" w:cstheme="minorHAnsi"/>
        </w:rPr>
        <w:t xml:space="preserve"> </w:t>
      </w:r>
      <w:r w:rsidR="00251CF2" w:rsidRPr="00251CF2">
        <w:rPr>
          <w:rFonts w:eastAsia="Calibri" w:cstheme="minorHAnsi"/>
        </w:rPr>
        <w:t>nebo akcept</w:t>
      </w:r>
      <w:r w:rsidR="0001690F">
        <w:rPr>
          <w:rFonts w:eastAsia="Calibri" w:cstheme="minorHAnsi"/>
        </w:rPr>
        <w:t>ování</w:t>
      </w:r>
      <w:r w:rsidR="00251CF2" w:rsidRPr="00251CF2">
        <w:rPr>
          <w:rFonts w:eastAsia="Calibri" w:cstheme="minorHAnsi"/>
        </w:rPr>
        <w:t xml:space="preserve"> závěrečných zpráv, ze kterých nebylo </w:t>
      </w:r>
      <w:r w:rsidR="00F6032A">
        <w:rPr>
          <w:rFonts w:eastAsia="Calibri" w:cstheme="minorHAnsi"/>
        </w:rPr>
        <w:t xml:space="preserve">možné </w:t>
      </w:r>
      <w:r w:rsidR="00F6032A" w:rsidRPr="009B4E61">
        <w:rPr>
          <w:rFonts w:eastAsia="Calibri" w:cstheme="minorHAnsi"/>
        </w:rPr>
        <w:t>ověřit účelnost a hospodárnost vynaložených peněžních prostředků státu</w:t>
      </w:r>
      <w:r w:rsidR="00567108">
        <w:rPr>
          <w:rFonts w:eastAsia="Calibri" w:cstheme="minorHAnsi"/>
        </w:rPr>
        <w:t xml:space="preserve"> (</w:t>
      </w:r>
      <w:r w:rsidR="007B4765">
        <w:rPr>
          <w:rFonts w:eastAsia="Calibri" w:cstheme="minorHAnsi"/>
        </w:rPr>
        <w:t xml:space="preserve">viz </w:t>
      </w:r>
      <w:r w:rsidR="00567108">
        <w:rPr>
          <w:rFonts w:eastAsia="Calibri" w:cstheme="minorHAnsi"/>
        </w:rPr>
        <w:t>příklad č. 10)</w:t>
      </w:r>
      <w:r w:rsidR="00F6032A" w:rsidRPr="009B4E61">
        <w:rPr>
          <w:rFonts w:eastAsia="Calibri" w:cstheme="minorHAnsi"/>
        </w:rPr>
        <w:t xml:space="preserve">. </w:t>
      </w:r>
    </w:p>
    <w:p w14:paraId="2631328F" w14:textId="72E182A7" w:rsidR="00F05174" w:rsidRPr="00247673" w:rsidRDefault="00085B96" w:rsidP="00247673">
      <w:pPr>
        <w:keepNext/>
        <w:autoSpaceDE w:val="0"/>
        <w:autoSpaceDN w:val="0"/>
        <w:adjustRightInd w:val="0"/>
        <w:spacing w:before="360" w:after="120"/>
        <w:ind w:left="227" w:hanging="227"/>
        <w:rPr>
          <w:rFonts w:cstheme="minorHAnsi"/>
          <w:b/>
        </w:rPr>
      </w:pPr>
      <w:r w:rsidRPr="0024767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07E5CF" wp14:editId="7757589B">
                <wp:simplePos x="0" y="0"/>
                <wp:positionH relativeFrom="margin">
                  <wp:posOffset>15875</wp:posOffset>
                </wp:positionH>
                <wp:positionV relativeFrom="paragraph">
                  <wp:posOffset>4235450</wp:posOffset>
                </wp:positionV>
                <wp:extent cx="5744210" cy="1265555"/>
                <wp:effectExtent l="0" t="0" r="27940" b="10795"/>
                <wp:wrapTopAndBottom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4210" cy="1265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035FF" w14:textId="53044689" w:rsidR="000F7CEB" w:rsidRDefault="000F7CEB" w:rsidP="000F7CEB">
                            <w:pPr>
                              <w:jc w:val="both"/>
                              <w:rPr>
                                <w:rStyle w:val="A4"/>
                                <w:rFonts w:ascii="Calibri" w:hAnsi="Calibri" w:cs="Calibri"/>
                                <w:b/>
                                <w:color w:val="0070C0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Style w:val="A4"/>
                                <w:rFonts w:ascii="Calibri" w:hAnsi="Calibri" w:cs="Calibri"/>
                                <w:b/>
                                <w:color w:val="0070C0"/>
                                <w:sz w:val="24"/>
                                <w:szCs w:val="40"/>
                              </w:rPr>
                              <w:t>Příklad č. 10</w:t>
                            </w:r>
                          </w:p>
                          <w:p w14:paraId="66CD885F" w14:textId="66289F11" w:rsidR="00F6032A" w:rsidRPr="00F05174" w:rsidRDefault="00F6032A" w:rsidP="00F05174">
                            <w:pPr>
                              <w:spacing w:after="120"/>
                              <w:jc w:val="both"/>
                              <w:rPr>
                                <w:rFonts w:eastAsia="Calibri" w:cstheme="minorHAnsi"/>
                                <w:i/>
                                <w:iCs/>
                              </w:rPr>
                            </w:pPr>
                            <w:r w:rsidRPr="00F6032A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V rámci projektu č. 134D811000052 </w:t>
                            </w:r>
                            <w:r w:rsidR="00F05174" w:rsidRPr="00F6032A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zpracova</w:t>
                            </w:r>
                            <w:r w:rsidR="00F05174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l</w:t>
                            </w:r>
                            <w:r w:rsidR="00F05174" w:rsidRPr="00F6032A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 </w:t>
                            </w:r>
                            <w:r w:rsidRPr="00F6032A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příjemce </w:t>
                            </w:r>
                            <w:r w:rsidR="00567108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prostředků </w:t>
                            </w:r>
                            <w:r w:rsidR="00567108" w:rsidRPr="00EC492A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neinvestiční</w:t>
                            </w:r>
                            <w:r w:rsidR="00567108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ho</w:t>
                            </w:r>
                            <w:r w:rsidR="00567108" w:rsidRPr="00EC492A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 programu </w:t>
                            </w:r>
                            <w:r w:rsidR="00567108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MK</w:t>
                            </w:r>
                            <w:r w:rsidR="00567108" w:rsidRPr="00F6032A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 </w:t>
                            </w:r>
                            <w:r w:rsidRPr="00F6032A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metodiku výkonu služby fyzické ostrahy a bezpečnostní analýzu. MK poskytlo na oba výstupy celkem částku 622 885 Kč</w:t>
                            </w:r>
                            <w:r w:rsidR="00F05174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. V</w:t>
                            </w:r>
                            <w:r w:rsidRPr="00F6032A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 závěrečné zprávě příjemce náklady nerozdělil. MK</w:t>
                            </w:r>
                            <w:r w:rsidR="00A60771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 nepožadovalo výstupy projektu a</w:t>
                            </w:r>
                            <w:r w:rsidRPr="00F6032A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 označilo projekt ve vyhodnocení závěrečné zprávy za splněný, aniž </w:t>
                            </w:r>
                            <w:r w:rsidR="00F05174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by mohlo posoudit</w:t>
                            </w:r>
                            <w:r w:rsidRPr="00F6032A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 </w:t>
                            </w:r>
                            <w:r w:rsidR="00F05174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mimo jiné </w:t>
                            </w:r>
                            <w:r w:rsidRPr="00F6032A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cenu jednotlivých výstupů</w:t>
                            </w:r>
                            <w:r w:rsidR="00F05174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7E5CF" id="Obdélník 20" o:spid="_x0000_s1033" style="position:absolute;left:0;text-align:left;margin-left:1.25pt;margin-top:333.5pt;width:452.3pt;height:99.6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" fillcolor="white [3201]" strokecolor="black [3200]" strokeweight="1pt">
                <v:textbox>
                  <w:txbxContent>
                    <w:p w14:paraId="316035FF" w14:textId="53044689" w:rsidR="000F7CEB" w:rsidRDefault="000F7CEB" w:rsidP="000F7CEB">
                      <w:pPr>
                        <w:jc w:val="both"/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</w:pPr>
                      <w:r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  <w:t>Příklad č. 1</w:t>
                      </w:r>
                      <w:r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  <w:t>0</w:t>
                      </w:r>
                    </w:p>
                    <w:p w14:paraId="66CD885F" w14:textId="66289F11" w:rsidR="00F6032A" w:rsidRPr="00F05174" w:rsidRDefault="00F6032A" w:rsidP="00F05174">
                      <w:pPr>
                        <w:spacing w:after="120"/>
                        <w:jc w:val="both"/>
                        <w:rPr>
                          <w:rFonts w:eastAsia="Calibri" w:cstheme="minorHAnsi"/>
                          <w:i/>
                          <w:iCs/>
                        </w:rPr>
                      </w:pPr>
                      <w:r w:rsidRPr="00F6032A">
                        <w:rPr>
                          <w:rFonts w:eastAsia="Calibri" w:cstheme="minorHAnsi"/>
                          <w:i/>
                          <w:iCs/>
                        </w:rPr>
                        <w:t xml:space="preserve">V rámci projektu č. 134D811000052 </w:t>
                      </w:r>
                      <w:r w:rsidR="00F05174" w:rsidRPr="00F6032A">
                        <w:rPr>
                          <w:rFonts w:eastAsia="Calibri" w:cstheme="minorHAnsi"/>
                          <w:i/>
                          <w:iCs/>
                        </w:rPr>
                        <w:t>zpracova</w:t>
                      </w:r>
                      <w:r w:rsidR="00F05174">
                        <w:rPr>
                          <w:rFonts w:eastAsia="Calibri" w:cstheme="minorHAnsi"/>
                          <w:i/>
                          <w:iCs/>
                        </w:rPr>
                        <w:t>l</w:t>
                      </w:r>
                      <w:r w:rsidR="00F05174" w:rsidRPr="00F6032A">
                        <w:rPr>
                          <w:rFonts w:eastAsia="Calibri" w:cstheme="minorHAnsi"/>
                          <w:i/>
                          <w:iCs/>
                        </w:rPr>
                        <w:t xml:space="preserve"> </w:t>
                      </w:r>
                      <w:r w:rsidRPr="00F6032A">
                        <w:rPr>
                          <w:rFonts w:eastAsia="Calibri" w:cstheme="minorHAnsi"/>
                          <w:i/>
                          <w:iCs/>
                        </w:rPr>
                        <w:t xml:space="preserve">příjemce </w:t>
                      </w:r>
                      <w:r w:rsidR="00567108">
                        <w:rPr>
                          <w:rFonts w:cstheme="minorHAnsi"/>
                          <w:i/>
                          <w:iCs/>
                        </w:rPr>
                        <w:t xml:space="preserve">prostředků </w:t>
                      </w:r>
                      <w:r w:rsidR="00567108" w:rsidRPr="00EC492A">
                        <w:rPr>
                          <w:rFonts w:eastAsia="Calibri" w:cstheme="minorHAnsi"/>
                          <w:i/>
                          <w:iCs/>
                        </w:rPr>
                        <w:t>neinvestiční</w:t>
                      </w:r>
                      <w:r w:rsidR="00567108">
                        <w:rPr>
                          <w:rFonts w:eastAsia="Calibri" w:cstheme="minorHAnsi"/>
                          <w:i/>
                          <w:iCs/>
                        </w:rPr>
                        <w:t>ho</w:t>
                      </w:r>
                      <w:r w:rsidR="00567108" w:rsidRPr="00EC492A">
                        <w:rPr>
                          <w:rFonts w:eastAsia="Calibri" w:cstheme="minorHAnsi"/>
                          <w:i/>
                          <w:iCs/>
                        </w:rPr>
                        <w:t xml:space="preserve"> programu </w:t>
                      </w:r>
                      <w:r w:rsidR="00567108">
                        <w:rPr>
                          <w:rFonts w:eastAsia="Calibri" w:cstheme="minorHAnsi"/>
                          <w:i/>
                          <w:iCs/>
                        </w:rPr>
                        <w:t>MK</w:t>
                      </w:r>
                      <w:r w:rsidR="00567108" w:rsidRPr="00F6032A">
                        <w:rPr>
                          <w:rFonts w:eastAsia="Calibri" w:cstheme="minorHAnsi"/>
                          <w:i/>
                          <w:iCs/>
                        </w:rPr>
                        <w:t xml:space="preserve"> </w:t>
                      </w:r>
                      <w:r w:rsidRPr="00F6032A">
                        <w:rPr>
                          <w:rFonts w:eastAsia="Calibri" w:cstheme="minorHAnsi"/>
                          <w:i/>
                          <w:iCs/>
                        </w:rPr>
                        <w:t>metodiku výkonu služby fyzické ostrahy a bezpečnostní analýzu. MK poskytlo na oba výstupy celkem částku 622 885 Kč</w:t>
                      </w:r>
                      <w:r w:rsidR="00F05174">
                        <w:rPr>
                          <w:rFonts w:eastAsia="Calibri" w:cstheme="minorHAnsi"/>
                          <w:i/>
                          <w:iCs/>
                        </w:rPr>
                        <w:t>. V</w:t>
                      </w:r>
                      <w:r w:rsidRPr="00F6032A">
                        <w:rPr>
                          <w:rFonts w:eastAsia="Calibri" w:cstheme="minorHAnsi"/>
                          <w:i/>
                          <w:iCs/>
                        </w:rPr>
                        <w:t> závěrečné zprávě příjemce náklady nerozdělil. MK</w:t>
                      </w:r>
                      <w:r w:rsidR="00A60771">
                        <w:rPr>
                          <w:rFonts w:eastAsia="Calibri" w:cstheme="minorHAnsi"/>
                          <w:i/>
                          <w:iCs/>
                        </w:rPr>
                        <w:t xml:space="preserve"> nepožadovalo výstupy projektu a</w:t>
                      </w:r>
                      <w:r w:rsidRPr="00F6032A">
                        <w:rPr>
                          <w:rFonts w:eastAsia="Calibri" w:cstheme="minorHAnsi"/>
                          <w:i/>
                          <w:iCs/>
                        </w:rPr>
                        <w:t xml:space="preserve"> označilo projekt ve vyhodnocení závěrečné zprávy za splněný, aniž </w:t>
                      </w:r>
                      <w:r w:rsidR="00F05174">
                        <w:rPr>
                          <w:rFonts w:eastAsia="Calibri" w:cstheme="minorHAnsi"/>
                          <w:i/>
                          <w:iCs/>
                        </w:rPr>
                        <w:t>by mohlo posoudit</w:t>
                      </w:r>
                      <w:r w:rsidRPr="00F6032A">
                        <w:rPr>
                          <w:rFonts w:eastAsia="Calibri" w:cstheme="minorHAnsi"/>
                          <w:i/>
                          <w:iCs/>
                        </w:rPr>
                        <w:t xml:space="preserve"> </w:t>
                      </w:r>
                      <w:r w:rsidR="00F05174">
                        <w:rPr>
                          <w:rFonts w:eastAsia="Calibri" w:cstheme="minorHAnsi"/>
                          <w:i/>
                          <w:iCs/>
                        </w:rPr>
                        <w:t xml:space="preserve">mimo jiné </w:t>
                      </w:r>
                      <w:r w:rsidRPr="00F6032A">
                        <w:rPr>
                          <w:rFonts w:eastAsia="Calibri" w:cstheme="minorHAnsi"/>
                          <w:i/>
                          <w:iCs/>
                        </w:rPr>
                        <w:t>cenu jednotlivých výstupů</w:t>
                      </w:r>
                      <w:r w:rsidR="00F05174">
                        <w:rPr>
                          <w:rFonts w:eastAsia="Calibri" w:cstheme="minorHAnsi"/>
                          <w:i/>
                          <w:iCs/>
                        </w:rPr>
                        <w:t>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247673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5AC879" wp14:editId="705C3031">
                <wp:simplePos x="0" y="0"/>
                <wp:positionH relativeFrom="margin">
                  <wp:posOffset>-6350</wp:posOffset>
                </wp:positionH>
                <wp:positionV relativeFrom="paragraph">
                  <wp:posOffset>2491740</wp:posOffset>
                </wp:positionV>
                <wp:extent cx="5763260" cy="1605915"/>
                <wp:effectExtent l="0" t="0" r="27940" b="13335"/>
                <wp:wrapSquare wrapText="bothSides"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260" cy="1605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E29E9" w14:textId="366DE7BE" w:rsidR="000F7CEB" w:rsidRDefault="000F7CEB" w:rsidP="000F7CEB">
                            <w:pPr>
                              <w:jc w:val="both"/>
                              <w:rPr>
                                <w:rStyle w:val="A4"/>
                                <w:rFonts w:ascii="Calibri" w:hAnsi="Calibri" w:cs="Calibri"/>
                                <w:b/>
                                <w:color w:val="0070C0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Style w:val="A4"/>
                                <w:rFonts w:ascii="Calibri" w:hAnsi="Calibri" w:cs="Calibri"/>
                                <w:b/>
                                <w:color w:val="0070C0"/>
                                <w:sz w:val="24"/>
                                <w:szCs w:val="40"/>
                              </w:rPr>
                              <w:t>Příklad č. 9</w:t>
                            </w:r>
                          </w:p>
                          <w:p w14:paraId="42F1C167" w14:textId="7C457D00" w:rsidR="009227EB" w:rsidRPr="002A18E0" w:rsidRDefault="009227EB" w:rsidP="009227EB">
                            <w:pPr>
                              <w:spacing w:after="120"/>
                              <w:jc w:val="both"/>
                              <w:rPr>
                                <w:rFonts w:cstheme="minorHAnsi"/>
                                <w:bCs/>
                                <w:i/>
                              </w:rPr>
                            </w:pPr>
                            <w:r w:rsidRPr="00723FA3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Kontrolou NKÚ bylo u Fakultní nemocnice Bulovka </w:t>
                            </w:r>
                            <w:r w:rsidRPr="00723FA3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jako příjemce prostředků </w:t>
                            </w:r>
                            <w:r w:rsidRPr="00723FA3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neinvestičního programu MZd v rámci projektu č. </w:t>
                            </w:r>
                            <w:r w:rsidRPr="00723FA3">
                              <w:rPr>
                                <w:rFonts w:cstheme="minorHAnsi"/>
                                <w:i/>
                              </w:rPr>
                              <w:t>OKP/16/1109/2021</w:t>
                            </w:r>
                            <w:r w:rsidRPr="00723FA3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 zjištěno,</w:t>
                            </w:r>
                            <w:r w:rsidRPr="00723FA3"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 že nesplnila podmínky pro přiznání dotace v rámci neinvestičního programu pro rok 2021 stanovené ve </w:t>
                            </w:r>
                            <w:r w:rsidR="0001690F">
                              <w:rPr>
                                <w:rFonts w:cstheme="minorHAnsi"/>
                                <w:bCs/>
                                <w:i/>
                              </w:rPr>
                              <w:t>s</w:t>
                            </w:r>
                            <w:r w:rsidRPr="00723FA3"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dělení </w:t>
                            </w:r>
                            <w:proofErr w:type="spellStart"/>
                            <w:r w:rsidRPr="00723FA3">
                              <w:rPr>
                                <w:rFonts w:cstheme="minorHAnsi"/>
                                <w:bCs/>
                                <w:i/>
                              </w:rPr>
                              <w:t>MZd</w:t>
                            </w:r>
                            <w:proofErr w:type="spellEnd"/>
                            <w:r w:rsidRPr="00723FA3"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 ze dne 5. ledna 2021 tím, že žádala prostředky ve výši 615 600 Kč, pro které neměla uzavřeny smlouvy o plnění, ačkoliv tuto povinnost ve </w:t>
                            </w:r>
                            <w:r w:rsidR="0001690F">
                              <w:rPr>
                                <w:rFonts w:cstheme="minorHAnsi"/>
                                <w:bCs/>
                                <w:i/>
                              </w:rPr>
                              <w:t>s</w:t>
                            </w:r>
                            <w:r w:rsidRPr="00723FA3"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dělení </w:t>
                            </w:r>
                            <w:proofErr w:type="spellStart"/>
                            <w:r w:rsidRPr="00723FA3">
                              <w:rPr>
                                <w:rFonts w:cstheme="minorHAnsi"/>
                                <w:bCs/>
                                <w:i/>
                              </w:rPr>
                              <w:t>MZd</w:t>
                            </w:r>
                            <w:proofErr w:type="spellEnd"/>
                            <w:r w:rsidRPr="00723FA3"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 stanovilo. </w:t>
                            </w:r>
                            <w:r>
                              <w:rPr>
                                <w:rFonts w:cstheme="minorHAnsi"/>
                                <w:bCs/>
                                <w:i/>
                              </w:rPr>
                              <w:t>Na základě</w:t>
                            </w:r>
                            <w:r w:rsidRPr="00723FA3"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 kontroly NKÚ </w:t>
                            </w:r>
                            <w:r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došlo k </w:t>
                            </w:r>
                            <w:r w:rsidRPr="00F6032A"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odstranění zjištěných nedostatků a </w:t>
                            </w:r>
                            <w:r w:rsidRPr="00723FA3"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Fakultní nemocnice Bulovka vrátila tyto prostředky MZd. </w:t>
                            </w:r>
                          </w:p>
                          <w:p w14:paraId="4F956B47" w14:textId="77777777" w:rsidR="009227EB" w:rsidRDefault="009227EB" w:rsidP="009227EB">
                            <w:pPr>
                              <w:jc w:val="both"/>
                              <w:rPr>
                                <w:rFonts w:cstheme="minorHAnsi"/>
                                <w:b/>
                                <w:color w:val="00459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AC879" id="Obdélník 2" o:spid="_x0000_s1034" style="position:absolute;left:0;text-align:left;margin-left:-.5pt;margin-top:196.2pt;width:453.8pt;height:126.4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" fillcolor="white [3201]" strokecolor="black [3200]" strokeweight="1pt">
                <v:textbox>
                  <w:txbxContent>
                    <w:p w14:paraId="14AE29E9" w14:textId="366DE7BE" w:rsidR="000F7CEB" w:rsidRDefault="000F7CEB" w:rsidP="000F7CEB">
                      <w:pPr>
                        <w:jc w:val="both"/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</w:pPr>
                      <w:r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  <w:t>Příklad č. 9</w:t>
                      </w:r>
                    </w:p>
                    <w:p w14:paraId="42F1C167" w14:textId="7C457D00" w:rsidR="009227EB" w:rsidRPr="002A18E0" w:rsidRDefault="009227EB" w:rsidP="009227EB">
                      <w:pPr>
                        <w:spacing w:after="120"/>
                        <w:jc w:val="both"/>
                        <w:rPr>
                          <w:rFonts w:cstheme="minorHAnsi"/>
                          <w:bCs/>
                          <w:i/>
                        </w:rPr>
                      </w:pPr>
                      <w:r w:rsidRPr="00723FA3">
                        <w:rPr>
                          <w:rFonts w:eastAsia="Calibri" w:cstheme="minorHAnsi"/>
                          <w:i/>
                          <w:iCs/>
                        </w:rPr>
                        <w:t>Kontrolou NKÚ b</w:t>
                      </w:r>
                      <w:r w:rsidRPr="00723FA3">
                        <w:rPr>
                          <w:rFonts w:eastAsia="Calibri" w:cstheme="minorHAnsi"/>
                          <w:i/>
                          <w:iCs/>
                        </w:rPr>
                        <w:t xml:space="preserve">ylo u Fakultní nemocnice Bulovka </w:t>
                      </w:r>
                      <w:r w:rsidRPr="00723FA3">
                        <w:rPr>
                          <w:rFonts w:cstheme="minorHAnsi"/>
                          <w:i/>
                          <w:iCs/>
                        </w:rPr>
                        <w:t xml:space="preserve">jako příjemce prostředků </w:t>
                      </w:r>
                      <w:r w:rsidRPr="00723FA3">
                        <w:rPr>
                          <w:rFonts w:eastAsia="Calibri" w:cstheme="minorHAnsi"/>
                          <w:i/>
                          <w:iCs/>
                        </w:rPr>
                        <w:t xml:space="preserve">neinvestičního programu MZd v rámci projektu č. </w:t>
                      </w:r>
                      <w:r w:rsidRPr="00723FA3">
                        <w:rPr>
                          <w:rFonts w:cstheme="minorHAnsi"/>
                          <w:i/>
                        </w:rPr>
                        <w:t>OKP/16/1109/2021</w:t>
                      </w:r>
                      <w:r w:rsidRPr="00723FA3">
                        <w:rPr>
                          <w:rFonts w:eastAsia="Calibri" w:cstheme="minorHAnsi"/>
                          <w:i/>
                          <w:iCs/>
                        </w:rPr>
                        <w:t xml:space="preserve"> zjištěno,</w:t>
                      </w:r>
                      <w:r w:rsidRPr="00723FA3">
                        <w:rPr>
                          <w:rFonts w:cstheme="minorHAnsi"/>
                          <w:bCs/>
                          <w:i/>
                        </w:rPr>
                        <w:t xml:space="preserve"> že nesplnila podmínky pro přiznání dotace v rámci neinvestičního programu pro rok 2021 stanovené ve </w:t>
                      </w:r>
                      <w:r w:rsidR="0001690F">
                        <w:rPr>
                          <w:rFonts w:cstheme="minorHAnsi"/>
                          <w:bCs/>
                          <w:i/>
                        </w:rPr>
                        <w:t>s</w:t>
                      </w:r>
                      <w:r w:rsidRPr="00723FA3">
                        <w:rPr>
                          <w:rFonts w:cstheme="minorHAnsi"/>
                          <w:bCs/>
                          <w:i/>
                        </w:rPr>
                        <w:t xml:space="preserve">dělení </w:t>
                      </w:r>
                      <w:proofErr w:type="spellStart"/>
                      <w:r w:rsidRPr="00723FA3">
                        <w:rPr>
                          <w:rFonts w:cstheme="minorHAnsi"/>
                          <w:bCs/>
                          <w:i/>
                        </w:rPr>
                        <w:t>MZd</w:t>
                      </w:r>
                      <w:proofErr w:type="spellEnd"/>
                      <w:r w:rsidRPr="00723FA3">
                        <w:rPr>
                          <w:rFonts w:cstheme="minorHAnsi"/>
                          <w:bCs/>
                          <w:i/>
                        </w:rPr>
                        <w:t xml:space="preserve"> ze dne 5. ledna 2021 tím, že žádala prostředky ve výši 615 600 Kč, pro které neměla uzavřeny smlouvy o plnění, ačkoliv tuto povinnost ve </w:t>
                      </w:r>
                      <w:r w:rsidR="0001690F">
                        <w:rPr>
                          <w:rFonts w:cstheme="minorHAnsi"/>
                          <w:bCs/>
                          <w:i/>
                        </w:rPr>
                        <w:t>s</w:t>
                      </w:r>
                      <w:r w:rsidRPr="00723FA3">
                        <w:rPr>
                          <w:rFonts w:cstheme="minorHAnsi"/>
                          <w:bCs/>
                          <w:i/>
                        </w:rPr>
                        <w:t xml:space="preserve">dělení </w:t>
                      </w:r>
                      <w:proofErr w:type="spellStart"/>
                      <w:r w:rsidRPr="00723FA3">
                        <w:rPr>
                          <w:rFonts w:cstheme="minorHAnsi"/>
                          <w:bCs/>
                          <w:i/>
                        </w:rPr>
                        <w:t>MZd</w:t>
                      </w:r>
                      <w:proofErr w:type="spellEnd"/>
                      <w:r w:rsidRPr="00723FA3">
                        <w:rPr>
                          <w:rFonts w:cstheme="minorHAnsi"/>
                          <w:bCs/>
                          <w:i/>
                        </w:rPr>
                        <w:t xml:space="preserve"> stanovilo. </w:t>
                      </w:r>
                      <w:r>
                        <w:rPr>
                          <w:rFonts w:cstheme="minorHAnsi"/>
                          <w:bCs/>
                          <w:i/>
                        </w:rPr>
                        <w:t>Na základě</w:t>
                      </w:r>
                      <w:r w:rsidRPr="00723FA3">
                        <w:rPr>
                          <w:rFonts w:cstheme="minorHAnsi"/>
                          <w:bCs/>
                          <w:i/>
                        </w:rPr>
                        <w:t xml:space="preserve"> kontroly NKÚ </w:t>
                      </w:r>
                      <w:r>
                        <w:rPr>
                          <w:rFonts w:cstheme="minorHAnsi"/>
                          <w:bCs/>
                          <w:i/>
                        </w:rPr>
                        <w:t xml:space="preserve">došlo k </w:t>
                      </w:r>
                      <w:r w:rsidRPr="00F6032A">
                        <w:rPr>
                          <w:rFonts w:cstheme="minorHAnsi"/>
                          <w:bCs/>
                          <w:i/>
                        </w:rPr>
                        <w:t xml:space="preserve">odstranění zjištěných nedostatků a </w:t>
                      </w:r>
                      <w:r w:rsidRPr="00723FA3">
                        <w:rPr>
                          <w:rFonts w:cstheme="minorHAnsi"/>
                          <w:bCs/>
                          <w:i/>
                        </w:rPr>
                        <w:t xml:space="preserve">Fakultní nemocnice Bulovka vrátila tyto prostředky MZd. </w:t>
                      </w:r>
                    </w:p>
                    <w:p w14:paraId="4F956B47" w14:textId="77777777" w:rsidR="009227EB" w:rsidRDefault="009227EB" w:rsidP="009227EB">
                      <w:pPr>
                        <w:jc w:val="both"/>
                        <w:rPr>
                          <w:rFonts w:cstheme="minorHAnsi"/>
                          <w:b/>
                          <w:color w:val="004595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247673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927639" wp14:editId="729929D1">
                <wp:simplePos x="0" y="0"/>
                <wp:positionH relativeFrom="margin">
                  <wp:posOffset>-5715</wp:posOffset>
                </wp:positionH>
                <wp:positionV relativeFrom="paragraph">
                  <wp:posOffset>0</wp:posOffset>
                </wp:positionV>
                <wp:extent cx="5763260" cy="2355850"/>
                <wp:effectExtent l="0" t="0" r="27940" b="25400"/>
                <wp:wrapSquare wrapText="bothSides"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260" cy="235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D953E" w14:textId="09E79790" w:rsidR="000F7CEB" w:rsidRDefault="000F7CEB" w:rsidP="000F7CEB">
                            <w:pPr>
                              <w:jc w:val="both"/>
                              <w:rPr>
                                <w:rStyle w:val="A4"/>
                                <w:rFonts w:ascii="Calibri" w:hAnsi="Calibri" w:cs="Calibri"/>
                                <w:b/>
                                <w:color w:val="0070C0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Style w:val="A4"/>
                                <w:rFonts w:ascii="Calibri" w:hAnsi="Calibri" w:cs="Calibri"/>
                                <w:b/>
                                <w:color w:val="0070C0"/>
                                <w:sz w:val="24"/>
                                <w:szCs w:val="40"/>
                              </w:rPr>
                              <w:t>Příklad č. 8</w:t>
                            </w:r>
                          </w:p>
                          <w:p w14:paraId="4FA98EEE" w14:textId="6537D878" w:rsidR="000F6FFD" w:rsidRDefault="000F6FFD" w:rsidP="000060E3">
                            <w:pPr>
                              <w:jc w:val="both"/>
                              <w:rPr>
                                <w:rFonts w:cstheme="minorHAnsi"/>
                                <w:b/>
                                <w:color w:val="004595"/>
                              </w:rPr>
                            </w:pPr>
                            <w:r w:rsidRPr="00282947"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Národní knihovně ČR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jako </w:t>
                            </w:r>
                            <w:r w:rsidRPr="00282947">
                              <w:rPr>
                                <w:rFonts w:cstheme="minorHAnsi"/>
                                <w:i/>
                                <w:iCs/>
                              </w:rPr>
                              <w:t>příjemc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i prostředků </w:t>
                            </w:r>
                            <w:r w:rsidRPr="00EC492A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neinvestiční</w:t>
                            </w:r>
                            <w:r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ho</w:t>
                            </w:r>
                            <w:r w:rsidRPr="00EC492A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 programu </w:t>
                            </w:r>
                            <w:r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MK</w:t>
                            </w:r>
                            <w:r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 </w:t>
                            </w:r>
                            <w:r w:rsidRPr="00282947">
                              <w:rPr>
                                <w:rFonts w:cstheme="minorHAnsi"/>
                                <w:bCs/>
                                <w:i/>
                              </w:rPr>
                              <w:t>byla v rámci projektu č. 134V811000095 poskytnuta dotace na nákup neinvestičních hmotných prostředků</w:t>
                            </w:r>
                            <w:r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 (bezpečnostní schránky na klíče)</w:t>
                            </w:r>
                            <w:r w:rsidRPr="00282947">
                              <w:rPr>
                                <w:rFonts w:cstheme="minorHAnsi"/>
                                <w:bCs/>
                                <w:i/>
                              </w:rPr>
                              <w:t>. Kontrolou NKÚ bylo zjištěno, že Národní knihovna ČR porušila podmínky ROPD tím, že použila dotaci až po stanoveném maximálním termínu realizace 31. </w:t>
                            </w:r>
                            <w:r>
                              <w:rPr>
                                <w:rFonts w:cstheme="minorHAnsi"/>
                                <w:bCs/>
                                <w:i/>
                              </w:rPr>
                              <w:t>prosince</w:t>
                            </w:r>
                            <w:r w:rsidRPr="00282947">
                              <w:rPr>
                                <w:rFonts w:cstheme="minorHAnsi"/>
                                <w:bCs/>
                                <w:i/>
                              </w:rPr>
                              <w:t> 2020</w:t>
                            </w:r>
                            <w:r>
                              <w:rPr>
                                <w:rFonts w:cstheme="minorHAnsi"/>
                                <w:bCs/>
                                <w:i/>
                              </w:rPr>
                              <w:t>,</w:t>
                            </w:r>
                            <w:r w:rsidRPr="00282947"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 když uhradila dodavateli fakturu až 13. </w:t>
                            </w:r>
                            <w:r>
                              <w:rPr>
                                <w:rFonts w:cstheme="minorHAnsi"/>
                                <w:bCs/>
                                <w:i/>
                              </w:rPr>
                              <w:t>ledna</w:t>
                            </w:r>
                            <w:r w:rsidRPr="00282947"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 2021. Další porušení podmínek ROPD spočívalo v nepředložení závěrečné zprávy projektu ve stanoveném termínu</w:t>
                            </w:r>
                            <w:r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. </w:t>
                            </w:r>
                            <w:r w:rsidRPr="00282947"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Národní knihovna ČR tím neoprávněně použila prostředky poskytnuté ze státního rozpočtu ve smyslu ustanovení § 3 </w:t>
                            </w:r>
                            <w:r w:rsidRPr="00E415D5"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písm. e) zákona č. 218/2000 Sb., což NKÚ vyhodnotil jako skutečnost nasvědčující porušení rozpočtové kázně ve vztahu k peněžním prostředkům </w:t>
                            </w:r>
                            <w:r>
                              <w:rPr>
                                <w:rFonts w:cstheme="minorHAnsi"/>
                                <w:bCs/>
                                <w:i/>
                              </w:rPr>
                              <w:t>státu</w:t>
                            </w:r>
                            <w:r w:rsidRPr="00E415D5"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 ve výši 136 500 Kč ve smyslu ustanovení § 44 odst. 1 písm. b) zákona č.</w:t>
                            </w:r>
                            <w:r w:rsidR="00247673">
                              <w:rPr>
                                <w:rFonts w:cstheme="minorHAnsi"/>
                                <w:bCs/>
                                <w:i/>
                              </w:rPr>
                              <w:t> </w:t>
                            </w:r>
                            <w:r w:rsidRPr="00E415D5">
                              <w:rPr>
                                <w:rFonts w:cstheme="minorHAnsi"/>
                                <w:bCs/>
                                <w:i/>
                              </w:rPr>
                              <w:t>218/2000 Sb</w:t>
                            </w:r>
                            <w:r>
                              <w:rPr>
                                <w:rFonts w:cstheme="minorHAnsi"/>
                                <w:bCs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27639" id="Obdélník 15" o:spid="_x0000_s1035" style="position:absolute;left:0;text-align:left;margin-left:-.45pt;margin-top:0;width:453.8pt;height:185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" fillcolor="white [3201]" strokecolor="black [3200]" strokeweight="1pt">
                <v:textbox>
                  <w:txbxContent>
                    <w:p w14:paraId="77AD953E" w14:textId="09E79790" w:rsidR="000F7CEB" w:rsidRDefault="000F7CEB" w:rsidP="000F7CEB">
                      <w:pPr>
                        <w:jc w:val="both"/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</w:pPr>
                      <w:r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  <w:t>Příklad č. </w:t>
                      </w:r>
                      <w:r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  <w:t>8</w:t>
                      </w:r>
                    </w:p>
                    <w:p w14:paraId="4FA98EEE" w14:textId="6537D878" w:rsidR="000F6FFD" w:rsidRDefault="000F6FFD" w:rsidP="000060E3">
                      <w:pPr>
                        <w:jc w:val="both"/>
                        <w:rPr>
                          <w:rFonts w:cstheme="minorHAnsi"/>
                          <w:b/>
                          <w:color w:val="004595"/>
                        </w:rPr>
                      </w:pPr>
                      <w:r w:rsidRPr="00282947">
                        <w:rPr>
                          <w:rFonts w:cstheme="minorHAnsi"/>
                          <w:bCs/>
                          <w:i/>
                        </w:rPr>
                        <w:t xml:space="preserve">Národní knihovně ČR 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jako </w:t>
                      </w:r>
                      <w:r w:rsidRPr="00282947">
                        <w:rPr>
                          <w:rFonts w:cstheme="minorHAnsi"/>
                          <w:i/>
                          <w:iCs/>
                        </w:rPr>
                        <w:t>příjemc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i prostředků </w:t>
                      </w:r>
                      <w:r w:rsidRPr="00EC492A">
                        <w:rPr>
                          <w:rFonts w:eastAsia="Calibri" w:cstheme="minorHAnsi"/>
                          <w:i/>
                          <w:iCs/>
                        </w:rPr>
                        <w:t>neinvestiční</w:t>
                      </w:r>
                      <w:r>
                        <w:rPr>
                          <w:rFonts w:eastAsia="Calibri" w:cstheme="minorHAnsi"/>
                          <w:i/>
                          <w:iCs/>
                        </w:rPr>
                        <w:t>ho</w:t>
                      </w:r>
                      <w:r w:rsidRPr="00EC492A">
                        <w:rPr>
                          <w:rFonts w:eastAsia="Calibri" w:cstheme="minorHAnsi"/>
                          <w:i/>
                          <w:iCs/>
                        </w:rPr>
                        <w:t xml:space="preserve"> programu </w:t>
                      </w:r>
                      <w:r>
                        <w:rPr>
                          <w:rFonts w:eastAsia="Calibri" w:cstheme="minorHAnsi"/>
                          <w:i/>
                          <w:iCs/>
                        </w:rPr>
                        <w:t>MK</w:t>
                      </w:r>
                      <w:r>
                        <w:rPr>
                          <w:rFonts w:cstheme="minorHAnsi"/>
                          <w:bCs/>
                          <w:i/>
                        </w:rPr>
                        <w:t xml:space="preserve"> </w:t>
                      </w:r>
                      <w:r w:rsidRPr="00282947">
                        <w:rPr>
                          <w:rFonts w:cstheme="minorHAnsi"/>
                          <w:bCs/>
                          <w:i/>
                        </w:rPr>
                        <w:t>byla v rámci projektu č. 134V811000095 poskytnuta dotace na nákup neinvestičních hmotných prostředků</w:t>
                      </w:r>
                      <w:r>
                        <w:rPr>
                          <w:rFonts w:cstheme="minorHAnsi"/>
                          <w:bCs/>
                          <w:i/>
                        </w:rPr>
                        <w:t xml:space="preserve"> (bezpečnostní schránky na klíče)</w:t>
                      </w:r>
                      <w:r w:rsidRPr="00282947">
                        <w:rPr>
                          <w:rFonts w:cstheme="minorHAnsi"/>
                          <w:bCs/>
                          <w:i/>
                        </w:rPr>
                        <w:t>. Kontrolou NKÚ bylo zjištěno, že Národní knihovna ČR porušila podmínky ROPD tím, že použila dotaci až po stanoveném maximálním termínu realizace 31. </w:t>
                      </w:r>
                      <w:r>
                        <w:rPr>
                          <w:rFonts w:cstheme="minorHAnsi"/>
                          <w:bCs/>
                          <w:i/>
                        </w:rPr>
                        <w:t>prosince</w:t>
                      </w:r>
                      <w:r w:rsidRPr="00282947">
                        <w:rPr>
                          <w:rFonts w:cstheme="minorHAnsi"/>
                          <w:bCs/>
                          <w:i/>
                        </w:rPr>
                        <w:t> 2020</w:t>
                      </w:r>
                      <w:r>
                        <w:rPr>
                          <w:rFonts w:cstheme="minorHAnsi"/>
                          <w:bCs/>
                          <w:i/>
                        </w:rPr>
                        <w:t>,</w:t>
                      </w:r>
                      <w:r w:rsidRPr="00282947">
                        <w:rPr>
                          <w:rFonts w:cstheme="minorHAnsi"/>
                          <w:bCs/>
                          <w:i/>
                        </w:rPr>
                        <w:t xml:space="preserve"> když uhradila dodavateli fakturu až 13. </w:t>
                      </w:r>
                      <w:r>
                        <w:rPr>
                          <w:rFonts w:cstheme="minorHAnsi"/>
                          <w:bCs/>
                          <w:i/>
                        </w:rPr>
                        <w:t>ledna</w:t>
                      </w:r>
                      <w:r w:rsidRPr="00282947">
                        <w:rPr>
                          <w:rFonts w:cstheme="minorHAnsi"/>
                          <w:bCs/>
                          <w:i/>
                        </w:rPr>
                        <w:t xml:space="preserve"> 2021. Další porušení podmínek ROPD spočívalo v nepředložení závěrečné zprávy projektu ve stanoveném termínu</w:t>
                      </w:r>
                      <w:r>
                        <w:rPr>
                          <w:rFonts w:cstheme="minorHAnsi"/>
                          <w:bCs/>
                          <w:i/>
                        </w:rPr>
                        <w:t xml:space="preserve">. </w:t>
                      </w:r>
                      <w:r w:rsidRPr="00282947">
                        <w:rPr>
                          <w:rFonts w:cstheme="minorHAnsi"/>
                          <w:bCs/>
                          <w:i/>
                        </w:rPr>
                        <w:t xml:space="preserve">Národní knihovna ČR tím neoprávněně použila prostředky poskytnuté ze státního rozpočtu ve smyslu ustanovení § 3 </w:t>
                      </w:r>
                      <w:r w:rsidRPr="00E415D5">
                        <w:rPr>
                          <w:rFonts w:cstheme="minorHAnsi"/>
                          <w:bCs/>
                          <w:i/>
                        </w:rPr>
                        <w:t xml:space="preserve">písm. e) zákona č. 218/2000 Sb., což NKÚ vyhodnotil jako skutečnost nasvědčující porušení rozpočtové kázně ve vztahu k peněžním prostředkům </w:t>
                      </w:r>
                      <w:r>
                        <w:rPr>
                          <w:rFonts w:cstheme="minorHAnsi"/>
                          <w:bCs/>
                          <w:i/>
                        </w:rPr>
                        <w:t>státu</w:t>
                      </w:r>
                      <w:r w:rsidRPr="00E415D5">
                        <w:rPr>
                          <w:rFonts w:cstheme="minorHAnsi"/>
                          <w:bCs/>
                          <w:i/>
                        </w:rPr>
                        <w:t xml:space="preserve"> ve výši 136 500 Kč ve smyslu ustanovení § 44 odst. 1 písm. b) zákona č.</w:t>
                      </w:r>
                      <w:r w:rsidR="00247673">
                        <w:rPr>
                          <w:rFonts w:cstheme="minorHAnsi"/>
                          <w:bCs/>
                          <w:i/>
                        </w:rPr>
                        <w:t> </w:t>
                      </w:r>
                      <w:r w:rsidRPr="00E415D5">
                        <w:rPr>
                          <w:rFonts w:cstheme="minorHAnsi"/>
                          <w:bCs/>
                          <w:i/>
                        </w:rPr>
                        <w:t>218/2000 Sb</w:t>
                      </w:r>
                      <w:r>
                        <w:rPr>
                          <w:rFonts w:cstheme="minorHAnsi"/>
                          <w:bCs/>
                          <w:i/>
                        </w:rPr>
                        <w:t>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D0657" w:rsidRPr="00247673">
        <w:rPr>
          <w:rFonts w:cstheme="minorHAnsi"/>
          <w:b/>
        </w:rPr>
        <w:t>9</w:t>
      </w:r>
      <w:r w:rsidR="00976291" w:rsidRPr="00247673">
        <w:rPr>
          <w:rFonts w:cstheme="minorHAnsi"/>
          <w:b/>
        </w:rPr>
        <w:t>.</w:t>
      </w:r>
      <w:r w:rsidR="00247673">
        <w:rPr>
          <w:rFonts w:cstheme="minorHAnsi"/>
          <w:b/>
        </w:rPr>
        <w:tab/>
      </w:r>
      <w:r w:rsidR="00F05174" w:rsidRPr="00247673">
        <w:rPr>
          <w:rFonts w:cstheme="minorHAnsi"/>
          <w:b/>
        </w:rPr>
        <w:t>MV a MK nepožadovaly po příjemcích vyčíslení investičních potřeb dle výstupů neinvestičních projektů, ačkoliv následné investice jsou pro komplexní ochranu měkkých cílů nezbytné</w:t>
      </w:r>
    </w:p>
    <w:p w14:paraId="1DCB8488" w14:textId="18D7A08D" w:rsidR="008A453E" w:rsidRDefault="00976291" w:rsidP="0031665A">
      <w:pPr>
        <w:autoSpaceDE w:val="0"/>
        <w:autoSpaceDN w:val="0"/>
        <w:adjustRightInd w:val="0"/>
        <w:spacing w:after="120"/>
        <w:jc w:val="both"/>
        <w:rPr>
          <w:rFonts w:eastAsia="Calibri" w:cstheme="minorHAnsi"/>
        </w:rPr>
      </w:pPr>
      <w:r w:rsidRPr="009B4E61">
        <w:rPr>
          <w:rFonts w:eastAsia="Calibri" w:cstheme="minorHAnsi"/>
        </w:rPr>
        <w:t xml:space="preserve">Předpokladem pro zvýšení </w:t>
      </w:r>
      <w:r w:rsidR="00BE78A2">
        <w:rPr>
          <w:rFonts w:eastAsia="Calibri" w:cstheme="minorHAnsi"/>
        </w:rPr>
        <w:t>OMC</w:t>
      </w:r>
      <w:r w:rsidRPr="009B4E61">
        <w:rPr>
          <w:rFonts w:eastAsia="Calibri" w:cstheme="minorHAnsi"/>
        </w:rPr>
        <w:t xml:space="preserve"> bylo na základě výstupů z neinvestičních projektů (</w:t>
      </w:r>
      <w:r w:rsidR="00FE6231">
        <w:rPr>
          <w:rFonts w:eastAsia="Calibri" w:cstheme="minorHAnsi"/>
        </w:rPr>
        <w:t xml:space="preserve">zejména </w:t>
      </w:r>
      <w:r w:rsidRPr="009B4E61">
        <w:rPr>
          <w:rFonts w:eastAsia="Calibri" w:cstheme="minorHAnsi"/>
        </w:rPr>
        <w:t xml:space="preserve">bezpečnostní dokumentace) identifikovat případnou potřebu investičních prostředků, které následně zajistí komplexní </w:t>
      </w:r>
      <w:r w:rsidR="00FE6231">
        <w:rPr>
          <w:rFonts w:eastAsia="Calibri" w:cstheme="minorHAnsi"/>
        </w:rPr>
        <w:t>ochranu</w:t>
      </w:r>
      <w:r w:rsidRPr="009B4E61">
        <w:rPr>
          <w:rFonts w:eastAsia="Calibri" w:cstheme="minorHAnsi"/>
        </w:rPr>
        <w:t xml:space="preserve"> měkkého cíle. Přehled o finančním objemu nutných opatření na úrovni jednotlivých měkkých cílů by </w:t>
      </w:r>
      <w:r w:rsidR="005D0657" w:rsidRPr="009B4E61">
        <w:rPr>
          <w:rFonts w:eastAsia="Calibri" w:cstheme="minorHAnsi"/>
        </w:rPr>
        <w:t xml:space="preserve">pak </w:t>
      </w:r>
      <w:r w:rsidRPr="009B4E61">
        <w:rPr>
          <w:rFonts w:eastAsia="Calibri" w:cstheme="minorHAnsi"/>
        </w:rPr>
        <w:t xml:space="preserve">při tvorbě investičních programů sloužil k účelnému nastavení </w:t>
      </w:r>
      <w:r w:rsidR="00010C0A">
        <w:rPr>
          <w:rFonts w:eastAsia="Calibri" w:cstheme="minorHAnsi"/>
        </w:rPr>
        <w:t xml:space="preserve">potřeb </w:t>
      </w:r>
      <w:r w:rsidRPr="009B4E61">
        <w:rPr>
          <w:rFonts w:eastAsia="Calibri" w:cstheme="minorHAnsi"/>
        </w:rPr>
        <w:t xml:space="preserve">těchto programů. </w:t>
      </w:r>
    </w:p>
    <w:p w14:paraId="35B9882F" w14:textId="7D994EFA" w:rsidR="000204A3" w:rsidRDefault="00976291" w:rsidP="0031665A">
      <w:pPr>
        <w:autoSpaceDE w:val="0"/>
        <w:autoSpaceDN w:val="0"/>
        <w:adjustRightInd w:val="0"/>
        <w:spacing w:after="120"/>
        <w:jc w:val="both"/>
        <w:rPr>
          <w:rFonts w:eastAsia="Calibri" w:cstheme="minorHAnsi"/>
        </w:rPr>
      </w:pPr>
      <w:r w:rsidRPr="009B4E61">
        <w:rPr>
          <w:rFonts w:eastAsia="Calibri" w:cstheme="minorHAnsi"/>
        </w:rPr>
        <w:t>MV a MK nepožadovaly po příjemc</w:t>
      </w:r>
      <w:r w:rsidR="005D0657" w:rsidRPr="009B4E61">
        <w:rPr>
          <w:rFonts w:eastAsia="Calibri" w:cstheme="minorHAnsi"/>
        </w:rPr>
        <w:t>ích</w:t>
      </w:r>
      <w:r w:rsidRPr="009B4E61">
        <w:rPr>
          <w:rFonts w:eastAsia="Calibri" w:cstheme="minorHAnsi"/>
        </w:rPr>
        <w:t xml:space="preserve"> informaci o výši investičních prostředků nutných ke zvýšení </w:t>
      </w:r>
      <w:r w:rsidR="00BE78A2">
        <w:rPr>
          <w:rFonts w:eastAsia="Calibri" w:cstheme="minorHAnsi"/>
        </w:rPr>
        <w:t>OMC</w:t>
      </w:r>
      <w:r w:rsidR="00500F46">
        <w:rPr>
          <w:rFonts w:eastAsia="Calibri" w:cstheme="minorHAnsi"/>
        </w:rPr>
        <w:t xml:space="preserve"> (</w:t>
      </w:r>
      <w:r w:rsidR="0001690F">
        <w:rPr>
          <w:rFonts w:eastAsia="Calibri" w:cstheme="minorHAnsi"/>
        </w:rPr>
        <w:t xml:space="preserve">viz </w:t>
      </w:r>
      <w:r w:rsidR="00500F46">
        <w:rPr>
          <w:rFonts w:eastAsia="Calibri" w:cstheme="minorHAnsi"/>
        </w:rPr>
        <w:t xml:space="preserve">příklad č. </w:t>
      </w:r>
      <w:r w:rsidR="00F05174">
        <w:rPr>
          <w:rFonts w:eastAsia="Calibri" w:cstheme="minorHAnsi"/>
        </w:rPr>
        <w:t>11</w:t>
      </w:r>
      <w:r w:rsidR="00500F46">
        <w:rPr>
          <w:rFonts w:eastAsia="Calibri" w:cstheme="minorHAnsi"/>
        </w:rPr>
        <w:t xml:space="preserve"> a č. </w:t>
      </w:r>
      <w:r w:rsidR="00F05174">
        <w:rPr>
          <w:rFonts w:eastAsia="Calibri" w:cstheme="minorHAnsi"/>
        </w:rPr>
        <w:t>12</w:t>
      </w:r>
      <w:r w:rsidR="00500F46">
        <w:rPr>
          <w:rFonts w:eastAsia="Calibri" w:cstheme="minorHAnsi"/>
        </w:rPr>
        <w:t>)</w:t>
      </w:r>
      <w:r w:rsidR="00984A59">
        <w:rPr>
          <w:rFonts w:eastAsia="Calibri" w:cstheme="minorHAnsi"/>
        </w:rPr>
        <w:t>.</w:t>
      </w:r>
      <w:r w:rsidR="00500F46">
        <w:rPr>
          <w:rFonts w:eastAsia="Calibri" w:cstheme="minorHAnsi"/>
        </w:rPr>
        <w:t xml:space="preserve"> </w:t>
      </w:r>
    </w:p>
    <w:p w14:paraId="104241B6" w14:textId="3EA7C185" w:rsidR="00BE1017" w:rsidRPr="0031665A" w:rsidRDefault="00085B96" w:rsidP="00104AD8">
      <w:pPr>
        <w:autoSpaceDE w:val="0"/>
        <w:autoSpaceDN w:val="0"/>
        <w:adjustRightInd w:val="0"/>
        <w:spacing w:before="240" w:after="120"/>
        <w:jc w:val="both"/>
        <w:rPr>
          <w:rFonts w:eastAsia="Calibri" w:cstheme="minorHAnsi"/>
        </w:rPr>
      </w:pPr>
      <w:r w:rsidRPr="009B4E6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498EA00" wp14:editId="0D19D4BA">
                <wp:simplePos x="0" y="0"/>
                <wp:positionH relativeFrom="margin">
                  <wp:posOffset>-47625</wp:posOffset>
                </wp:positionH>
                <wp:positionV relativeFrom="paragraph">
                  <wp:posOffset>0</wp:posOffset>
                </wp:positionV>
                <wp:extent cx="5795010" cy="3148330"/>
                <wp:effectExtent l="0" t="0" r="15240" b="13970"/>
                <wp:wrapTopAndBottom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010" cy="3148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2D9DF" w14:textId="7C3D339F" w:rsidR="000F7CEB" w:rsidRDefault="000F7CEB" w:rsidP="000F7CEB">
                            <w:pPr>
                              <w:jc w:val="both"/>
                              <w:rPr>
                                <w:rStyle w:val="A4"/>
                                <w:rFonts w:ascii="Calibri" w:hAnsi="Calibri" w:cs="Calibri"/>
                                <w:b/>
                                <w:color w:val="0070C0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Style w:val="A4"/>
                                <w:rFonts w:ascii="Calibri" w:hAnsi="Calibri" w:cs="Calibri"/>
                                <w:b/>
                                <w:color w:val="0070C0"/>
                                <w:sz w:val="24"/>
                                <w:szCs w:val="40"/>
                              </w:rPr>
                              <w:t>Příklad č. 11</w:t>
                            </w:r>
                          </w:p>
                          <w:p w14:paraId="05CF8244" w14:textId="699376E8" w:rsidR="00B05C12" w:rsidRPr="002266F7" w:rsidRDefault="00B05C12" w:rsidP="00B05C12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Fonts w:eastAsia="Calibri" w:cstheme="minorHAnsi"/>
                                <w:i/>
                              </w:rPr>
                            </w:pPr>
                            <w:r w:rsidRPr="002266F7">
                              <w:rPr>
                                <w:rFonts w:eastAsia="Calibri" w:cstheme="minorHAnsi"/>
                                <w:i/>
                              </w:rPr>
                              <w:t>MV mělo pouze ve dvou</w:t>
                            </w:r>
                            <w:r w:rsidR="0001690F">
                              <w:rPr>
                                <w:rFonts w:eastAsia="Calibri" w:cstheme="minorHAnsi"/>
                                <w:i/>
                              </w:rPr>
                              <w:t xml:space="preserve"> </w:t>
                            </w:r>
                            <w:r w:rsidRPr="002266F7">
                              <w:rPr>
                                <w:rFonts w:eastAsia="Calibri" w:cstheme="minorHAnsi"/>
                                <w:i/>
                              </w:rPr>
                              <w:t>z pěti kontrolovaných projektů</w:t>
                            </w:r>
                            <w:r>
                              <w:rPr>
                                <w:rFonts w:eastAsia="Calibri" w:cstheme="minorHAnsi"/>
                                <w:i/>
                              </w:rPr>
                              <w:t xml:space="preserve"> neinvestičních program</w:t>
                            </w:r>
                            <w:r w:rsidR="000D4C56">
                              <w:rPr>
                                <w:rFonts w:eastAsia="Calibri" w:cstheme="minorHAnsi"/>
                                <w:i/>
                              </w:rPr>
                              <w:t>ů</w:t>
                            </w:r>
                            <w:r>
                              <w:rPr>
                                <w:rFonts w:eastAsia="Calibri" w:cstheme="minorHAnsi"/>
                                <w:i/>
                              </w:rPr>
                              <w:t xml:space="preserve"> </w:t>
                            </w:r>
                            <w:r w:rsidRPr="002266F7">
                              <w:rPr>
                                <w:rFonts w:eastAsia="Calibri" w:cstheme="minorHAnsi"/>
                                <w:i/>
                              </w:rPr>
                              <w:t xml:space="preserve">i návrhy rozpočtu investic nezbytných ke zvýšení OMC </w:t>
                            </w:r>
                            <w:r>
                              <w:rPr>
                                <w:rFonts w:eastAsia="Calibri" w:cstheme="minorHAnsi"/>
                                <w:i/>
                              </w:rPr>
                              <w:t>–</w:t>
                            </w:r>
                            <w:r w:rsidRPr="002266F7">
                              <w:rPr>
                                <w:rFonts w:eastAsia="Calibri" w:cstheme="minorHAnsi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theme="minorHAnsi"/>
                                <w:i/>
                              </w:rPr>
                              <w:t xml:space="preserve">např. příjemce v rámci projektů </w:t>
                            </w:r>
                            <w:r w:rsidR="0060665C">
                              <w:rPr>
                                <w:rFonts w:eastAsia="Calibri" w:cstheme="minorHAnsi"/>
                                <w:i/>
                              </w:rPr>
                              <w:br/>
                            </w:r>
                            <w:r w:rsidRPr="007A5045">
                              <w:rPr>
                                <w:rFonts w:cstheme="minorHAnsi"/>
                                <w:bCs/>
                                <w:i/>
                              </w:rPr>
                              <w:t>č.</w:t>
                            </w:r>
                            <w:r w:rsidR="0060665C">
                              <w:rPr>
                                <w:rFonts w:cstheme="minorHAnsi"/>
                                <w:bCs/>
                                <w:i/>
                              </w:rPr>
                              <w:t> </w:t>
                            </w:r>
                            <w:r w:rsidRPr="007A5045"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MV – 26471-4/OBP-2019 a </w:t>
                            </w:r>
                            <w:r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č. </w:t>
                            </w:r>
                            <w:r w:rsidRPr="007A5045">
                              <w:rPr>
                                <w:rFonts w:cstheme="minorHAnsi"/>
                                <w:bCs/>
                                <w:i/>
                              </w:rPr>
                              <w:t>MV-141-/3/OBP-2020</w:t>
                            </w:r>
                            <w:r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 provedl </w:t>
                            </w:r>
                            <w:r w:rsidRPr="00D52320">
                              <w:rPr>
                                <w:rFonts w:cstheme="minorHAnsi"/>
                                <w:bCs/>
                                <w:i/>
                              </w:rPr>
                              <w:t>vyhodnocení ohroženosti škol</w:t>
                            </w:r>
                            <w:r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, ze kterých vyplynula </w:t>
                            </w:r>
                            <w:r w:rsidRPr="00D52320">
                              <w:rPr>
                                <w:rFonts w:cstheme="minorHAnsi"/>
                                <w:bCs/>
                                <w:i/>
                              </w:rPr>
                              <w:t>doporučení</w:t>
                            </w:r>
                            <w:r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 </w:t>
                            </w:r>
                            <w:r w:rsidRPr="00D52320">
                              <w:rPr>
                                <w:rFonts w:cstheme="minorHAnsi"/>
                                <w:bCs/>
                                <w:i/>
                              </w:rPr>
                              <w:t>ke zvýšení OMC</w:t>
                            </w:r>
                            <w:r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. Jednalo se např. o instalaci </w:t>
                            </w:r>
                            <w:r w:rsidRPr="00D52320">
                              <w:rPr>
                                <w:rFonts w:cstheme="minorHAnsi"/>
                                <w:bCs/>
                                <w:i/>
                              </w:rPr>
                              <w:t>turniketů,</w:t>
                            </w:r>
                            <w:r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 </w:t>
                            </w:r>
                            <w:r w:rsidRPr="00D52320">
                              <w:rPr>
                                <w:rFonts w:cstheme="minorHAnsi"/>
                                <w:bCs/>
                                <w:i/>
                              </w:rPr>
                              <w:t>senzorů</w:t>
                            </w:r>
                            <w:r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, </w:t>
                            </w:r>
                            <w:r w:rsidRPr="00D52320">
                              <w:rPr>
                                <w:rFonts w:cstheme="minorHAnsi"/>
                                <w:bCs/>
                                <w:i/>
                              </w:rPr>
                              <w:t>zavedení režimu identifikace pomocí úředního dokladu</w:t>
                            </w:r>
                            <w:r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, </w:t>
                            </w:r>
                            <w:r w:rsidRPr="00D52320">
                              <w:rPr>
                                <w:rFonts w:cstheme="minorHAnsi"/>
                                <w:bCs/>
                                <w:i/>
                              </w:rPr>
                              <w:t>zavedení označení návštěv kartou či možnost vybavení a výcviku vrátných a zavedení tísňového tlačítka</w:t>
                            </w:r>
                            <w:r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. </w:t>
                            </w:r>
                            <w:r w:rsidRPr="00D52320">
                              <w:rPr>
                                <w:rFonts w:cstheme="minorHAnsi"/>
                                <w:bCs/>
                                <w:i/>
                              </w:rPr>
                              <w:t>K těmto doporučením</w:t>
                            </w:r>
                            <w:r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 </w:t>
                            </w:r>
                            <w:r w:rsidRPr="00D52320"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byl připojen odhad potřebných peněžních prostředků </w:t>
                            </w:r>
                            <w:r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státu </w:t>
                            </w:r>
                            <w:r w:rsidRPr="00D52320">
                              <w:rPr>
                                <w:rFonts w:cstheme="minorHAnsi"/>
                                <w:bCs/>
                                <w:i/>
                              </w:rPr>
                              <w:t>na jejich realizaci.</w:t>
                            </w:r>
                          </w:p>
                          <w:p w14:paraId="52F26561" w14:textId="38281594" w:rsidR="000F7CEB" w:rsidRDefault="000F7CEB" w:rsidP="000F7CEB">
                            <w:pPr>
                              <w:jc w:val="both"/>
                              <w:rPr>
                                <w:rStyle w:val="A4"/>
                                <w:rFonts w:ascii="Calibri" w:hAnsi="Calibri" w:cs="Calibri"/>
                                <w:b/>
                                <w:color w:val="0070C0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Style w:val="A4"/>
                                <w:rFonts w:ascii="Calibri" w:hAnsi="Calibri" w:cs="Calibri"/>
                                <w:b/>
                                <w:color w:val="0070C0"/>
                                <w:sz w:val="24"/>
                                <w:szCs w:val="40"/>
                              </w:rPr>
                              <w:t>Příklad č. 12</w:t>
                            </w:r>
                          </w:p>
                          <w:p w14:paraId="1A48CF32" w14:textId="4ACB8796" w:rsidR="00B05C12" w:rsidRDefault="000E02F0" w:rsidP="00B05C12">
                            <w:pPr>
                              <w:jc w:val="both"/>
                              <w:rPr>
                                <w:rFonts w:cstheme="minorHAnsi"/>
                                <w:bCs/>
                                <w:i/>
                              </w:rPr>
                            </w:pPr>
                            <w:r w:rsidRPr="000E02F0">
                              <w:rPr>
                                <w:rFonts w:cstheme="minorHAnsi"/>
                                <w:bCs/>
                                <w:i/>
                              </w:rPr>
                              <w:t>MK nepožadovalo po příjemcích informaci o výši investičních prostředků nutných ke zvýšení OMC</w:t>
                            </w:r>
                            <w:r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 – např. </w:t>
                            </w:r>
                            <w:r w:rsidR="00B05C12" w:rsidRPr="00D52320"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Národní knihovna ČR </w:t>
                            </w:r>
                            <w:r w:rsidR="00B05C12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jako </w:t>
                            </w:r>
                            <w:r w:rsidR="00B05C12" w:rsidRPr="00282947">
                              <w:rPr>
                                <w:rFonts w:cstheme="minorHAnsi"/>
                                <w:i/>
                                <w:iCs/>
                              </w:rPr>
                              <w:t>příjemc</w:t>
                            </w:r>
                            <w:r w:rsidR="00B05C12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e prostředků </w:t>
                            </w:r>
                            <w:r w:rsidR="00B05C12" w:rsidRPr="00EC492A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neinvestiční</w:t>
                            </w:r>
                            <w:r w:rsidR="00B05C12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>ho</w:t>
                            </w:r>
                            <w:r w:rsidR="00B05C12" w:rsidRPr="00EC492A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 programu </w:t>
                            </w:r>
                            <w:r w:rsidR="00B05C12">
                              <w:rPr>
                                <w:rFonts w:eastAsia="Calibri" w:cstheme="minorHAnsi"/>
                                <w:i/>
                                <w:iCs/>
                              </w:rPr>
                              <w:t xml:space="preserve">MK provedla </w:t>
                            </w:r>
                            <w:r w:rsidR="00B05C12" w:rsidRPr="00D52320">
                              <w:rPr>
                                <w:rFonts w:cstheme="minorHAnsi"/>
                                <w:bCs/>
                                <w:i/>
                              </w:rPr>
                              <w:t>vyhodnocení ohroženosti</w:t>
                            </w:r>
                            <w:r w:rsidR="00B05C12"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, ze kterého vyplynula </w:t>
                            </w:r>
                            <w:r w:rsidR="00B05C12" w:rsidRPr="00D52320">
                              <w:rPr>
                                <w:rFonts w:cstheme="minorHAnsi"/>
                                <w:bCs/>
                                <w:i/>
                              </w:rPr>
                              <w:t>doporučení</w:t>
                            </w:r>
                            <w:r w:rsidR="00B05C12"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 </w:t>
                            </w:r>
                            <w:r w:rsidR="00B05C12" w:rsidRPr="00D52320">
                              <w:rPr>
                                <w:rFonts w:cstheme="minorHAnsi"/>
                                <w:bCs/>
                                <w:i/>
                              </w:rPr>
                              <w:t>ke zvýšení OMC</w:t>
                            </w:r>
                            <w:r w:rsidR="00B05C12">
                              <w:rPr>
                                <w:rFonts w:cstheme="minorHAnsi"/>
                                <w:bCs/>
                                <w:i/>
                              </w:rPr>
                              <w:t>.</w:t>
                            </w:r>
                            <w:r w:rsidR="00B05C12" w:rsidRPr="00C31270"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 </w:t>
                            </w:r>
                            <w:r w:rsidR="00B05C12"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Jednalo se např. o </w:t>
                            </w:r>
                            <w:r w:rsidR="00B05C12" w:rsidRPr="00D52320"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obnovu kamerového systému, doplnění monitorů, SW, HW na vybavení velínu ostrahy, pokračování výměny vložek systému generálního klíče apod. K těmto doporučením </w:t>
                            </w:r>
                            <w:r w:rsidR="00B05C12">
                              <w:rPr>
                                <w:rFonts w:cstheme="minorHAnsi"/>
                                <w:bCs/>
                                <w:i/>
                              </w:rPr>
                              <w:t>ne</w:t>
                            </w:r>
                            <w:r w:rsidR="00B05C12" w:rsidRPr="00D52320"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byl připojen odhad potřebných peněžních prostředků </w:t>
                            </w:r>
                            <w:r w:rsidR="00B05C12">
                              <w:rPr>
                                <w:rFonts w:cstheme="minorHAnsi"/>
                                <w:bCs/>
                                <w:i/>
                              </w:rPr>
                              <w:t xml:space="preserve">státu </w:t>
                            </w:r>
                            <w:r w:rsidR="00B05C12" w:rsidRPr="00D52320">
                              <w:rPr>
                                <w:rFonts w:cstheme="minorHAnsi"/>
                                <w:bCs/>
                                <w:i/>
                              </w:rPr>
                              <w:t>na jejich realizaci.</w:t>
                            </w:r>
                          </w:p>
                          <w:p w14:paraId="764165D6" w14:textId="77777777" w:rsidR="00B05C12" w:rsidRDefault="00B05C12" w:rsidP="00B05C12">
                            <w:pPr>
                              <w:jc w:val="both"/>
                              <w:rPr>
                                <w:rFonts w:cstheme="minorHAnsi"/>
                                <w:bCs/>
                                <w:i/>
                              </w:rPr>
                            </w:pPr>
                          </w:p>
                          <w:p w14:paraId="45ECB72E" w14:textId="77777777" w:rsidR="00B05C12" w:rsidRDefault="00B05C12" w:rsidP="00B05C12">
                            <w:pPr>
                              <w:jc w:val="both"/>
                              <w:rPr>
                                <w:rFonts w:cstheme="minorHAnsi"/>
                                <w:bCs/>
                                <w:i/>
                              </w:rPr>
                            </w:pPr>
                          </w:p>
                          <w:p w14:paraId="253C440B" w14:textId="77777777" w:rsidR="00B05C12" w:rsidRDefault="00B05C12" w:rsidP="00B05C12">
                            <w:pPr>
                              <w:jc w:val="both"/>
                              <w:rPr>
                                <w:rFonts w:cstheme="minorHAnsi"/>
                                <w:b/>
                                <w:color w:val="004595"/>
                              </w:rPr>
                            </w:pPr>
                          </w:p>
                          <w:p w14:paraId="140B15CB" w14:textId="77777777" w:rsidR="00B05C12" w:rsidRDefault="00B05C12" w:rsidP="00B05C12">
                            <w:pPr>
                              <w:jc w:val="both"/>
                              <w:rPr>
                                <w:rFonts w:cstheme="minorHAnsi"/>
                                <w:b/>
                                <w:color w:val="004595"/>
                              </w:rPr>
                            </w:pPr>
                          </w:p>
                          <w:p w14:paraId="084FBE47" w14:textId="77777777" w:rsidR="00B05C12" w:rsidRDefault="00B05C12" w:rsidP="00B05C12">
                            <w:pPr>
                              <w:jc w:val="both"/>
                              <w:rPr>
                                <w:rFonts w:cstheme="minorHAnsi"/>
                                <w:b/>
                                <w:color w:val="004595"/>
                              </w:rPr>
                            </w:pPr>
                          </w:p>
                          <w:p w14:paraId="76435FBD" w14:textId="77777777" w:rsidR="00B05C12" w:rsidRDefault="00B05C12" w:rsidP="00B05C12">
                            <w:pPr>
                              <w:jc w:val="both"/>
                              <w:rPr>
                                <w:rFonts w:cstheme="minorHAnsi"/>
                                <w:b/>
                                <w:color w:val="004595"/>
                              </w:rPr>
                            </w:pPr>
                          </w:p>
                          <w:p w14:paraId="11BCCD79" w14:textId="77777777" w:rsidR="00B05C12" w:rsidRPr="00C31270" w:rsidRDefault="00B05C12" w:rsidP="00B05C12">
                            <w:pPr>
                              <w:jc w:val="both"/>
                              <w:rPr>
                                <w:rFonts w:cstheme="minorHAnsi"/>
                                <w:b/>
                                <w:color w:val="004595"/>
                              </w:rPr>
                            </w:pPr>
                          </w:p>
                          <w:p w14:paraId="13235F85" w14:textId="77777777" w:rsidR="00B05C12" w:rsidRPr="00D52320" w:rsidRDefault="00B05C12" w:rsidP="00B05C12">
                            <w:pPr>
                              <w:spacing w:after="120"/>
                              <w:jc w:val="both"/>
                              <w:rPr>
                                <w:rFonts w:cstheme="minorHAnsi"/>
                                <w:bCs/>
                                <w:i/>
                              </w:rPr>
                            </w:pPr>
                          </w:p>
                          <w:p w14:paraId="4F142C82" w14:textId="77777777" w:rsidR="00B05C12" w:rsidRDefault="00B05C12" w:rsidP="00B05C12">
                            <w:pPr>
                              <w:spacing w:after="120"/>
                              <w:jc w:val="both"/>
                              <w:rPr>
                                <w:rFonts w:cstheme="minorHAnsi"/>
                                <w:b/>
                                <w:color w:val="00459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8EA00" id="Obdélník 5" o:spid="_x0000_s1036" style="position:absolute;left:0;text-align:left;margin-left:-3.75pt;margin-top:0;width:456.3pt;height:247.9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" fillcolor="white [3201]" strokecolor="black [3200]" strokeweight="1pt">
                <v:textbox>
                  <w:txbxContent>
                    <w:p w14:paraId="6612D9DF" w14:textId="7C3D339F" w:rsidR="000F7CEB" w:rsidRDefault="000F7CEB" w:rsidP="000F7CEB">
                      <w:pPr>
                        <w:jc w:val="both"/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</w:pPr>
                      <w:r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  <w:t>Příklad č. 11</w:t>
                      </w:r>
                    </w:p>
                    <w:p w14:paraId="05CF8244" w14:textId="699376E8" w:rsidR="00B05C12" w:rsidRPr="002266F7" w:rsidRDefault="00B05C12" w:rsidP="00B05C12">
                      <w:pPr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Fonts w:eastAsia="Calibri" w:cstheme="minorHAnsi"/>
                          <w:i/>
                        </w:rPr>
                      </w:pPr>
                      <w:r w:rsidRPr="002266F7">
                        <w:rPr>
                          <w:rFonts w:eastAsia="Calibri" w:cstheme="minorHAnsi"/>
                          <w:i/>
                        </w:rPr>
                        <w:t>MV mělo pouze ve dvou</w:t>
                      </w:r>
                      <w:r w:rsidR="0001690F">
                        <w:rPr>
                          <w:rFonts w:eastAsia="Calibri" w:cstheme="minorHAnsi"/>
                          <w:i/>
                        </w:rPr>
                        <w:t xml:space="preserve"> </w:t>
                      </w:r>
                      <w:r w:rsidRPr="002266F7">
                        <w:rPr>
                          <w:rFonts w:eastAsia="Calibri" w:cstheme="minorHAnsi"/>
                          <w:i/>
                        </w:rPr>
                        <w:t>z pěti kontrolovaných projektů</w:t>
                      </w:r>
                      <w:r>
                        <w:rPr>
                          <w:rFonts w:eastAsia="Calibri" w:cstheme="minorHAnsi"/>
                          <w:i/>
                        </w:rPr>
                        <w:t xml:space="preserve"> neinvestičních program</w:t>
                      </w:r>
                      <w:r w:rsidR="000D4C56">
                        <w:rPr>
                          <w:rFonts w:eastAsia="Calibri" w:cstheme="minorHAnsi"/>
                          <w:i/>
                        </w:rPr>
                        <w:t>ů</w:t>
                      </w:r>
                      <w:r>
                        <w:rPr>
                          <w:rFonts w:eastAsia="Calibri" w:cstheme="minorHAnsi"/>
                          <w:i/>
                        </w:rPr>
                        <w:t xml:space="preserve"> </w:t>
                      </w:r>
                      <w:r w:rsidRPr="002266F7">
                        <w:rPr>
                          <w:rFonts w:eastAsia="Calibri" w:cstheme="minorHAnsi"/>
                          <w:i/>
                        </w:rPr>
                        <w:t xml:space="preserve">i návrhy rozpočtu investic nezbytných ke zvýšení OMC </w:t>
                      </w:r>
                      <w:r>
                        <w:rPr>
                          <w:rFonts w:eastAsia="Calibri" w:cstheme="minorHAnsi"/>
                          <w:i/>
                        </w:rPr>
                        <w:t>–</w:t>
                      </w:r>
                      <w:r w:rsidRPr="002266F7">
                        <w:rPr>
                          <w:rFonts w:eastAsia="Calibri" w:cstheme="minorHAnsi"/>
                          <w:i/>
                        </w:rPr>
                        <w:t xml:space="preserve"> </w:t>
                      </w:r>
                      <w:r>
                        <w:rPr>
                          <w:rFonts w:eastAsia="Calibri" w:cstheme="minorHAnsi"/>
                          <w:i/>
                        </w:rPr>
                        <w:t xml:space="preserve">např. příjemce v rámci projektů </w:t>
                      </w:r>
                      <w:r w:rsidR="0060665C">
                        <w:rPr>
                          <w:rFonts w:eastAsia="Calibri" w:cstheme="minorHAnsi"/>
                          <w:i/>
                        </w:rPr>
                        <w:br/>
                      </w:r>
                      <w:r w:rsidRPr="007A5045">
                        <w:rPr>
                          <w:rFonts w:cstheme="minorHAnsi"/>
                          <w:bCs/>
                          <w:i/>
                        </w:rPr>
                        <w:t>č.</w:t>
                      </w:r>
                      <w:r w:rsidR="0060665C">
                        <w:rPr>
                          <w:rFonts w:cstheme="minorHAnsi"/>
                          <w:bCs/>
                          <w:i/>
                        </w:rPr>
                        <w:t> </w:t>
                      </w:r>
                      <w:r w:rsidRPr="007A5045">
                        <w:rPr>
                          <w:rFonts w:cstheme="minorHAnsi"/>
                          <w:bCs/>
                          <w:i/>
                        </w:rPr>
                        <w:t xml:space="preserve">MV – 26471-4/OBP-2019 a </w:t>
                      </w:r>
                      <w:r>
                        <w:rPr>
                          <w:rFonts w:cstheme="minorHAnsi"/>
                          <w:bCs/>
                          <w:i/>
                        </w:rPr>
                        <w:t xml:space="preserve">č. </w:t>
                      </w:r>
                      <w:r w:rsidRPr="007A5045">
                        <w:rPr>
                          <w:rFonts w:cstheme="minorHAnsi"/>
                          <w:bCs/>
                          <w:i/>
                        </w:rPr>
                        <w:t>MV-141-/3/OBP-2020</w:t>
                      </w:r>
                      <w:r>
                        <w:rPr>
                          <w:rFonts w:cstheme="minorHAnsi"/>
                          <w:bCs/>
                          <w:i/>
                        </w:rPr>
                        <w:t xml:space="preserve"> provedl </w:t>
                      </w:r>
                      <w:r w:rsidRPr="00D52320">
                        <w:rPr>
                          <w:rFonts w:cstheme="minorHAnsi"/>
                          <w:bCs/>
                          <w:i/>
                        </w:rPr>
                        <w:t>vyhodnocení ohroženosti škol</w:t>
                      </w:r>
                      <w:r>
                        <w:rPr>
                          <w:rFonts w:cstheme="minorHAnsi"/>
                          <w:bCs/>
                          <w:i/>
                        </w:rPr>
                        <w:t xml:space="preserve">, ze kterých vyplynula </w:t>
                      </w:r>
                      <w:r w:rsidRPr="00D52320">
                        <w:rPr>
                          <w:rFonts w:cstheme="minorHAnsi"/>
                          <w:bCs/>
                          <w:i/>
                        </w:rPr>
                        <w:t>doporučení</w:t>
                      </w:r>
                      <w:r>
                        <w:rPr>
                          <w:rFonts w:cstheme="minorHAnsi"/>
                          <w:bCs/>
                          <w:i/>
                        </w:rPr>
                        <w:t xml:space="preserve"> </w:t>
                      </w:r>
                      <w:r w:rsidRPr="00D52320">
                        <w:rPr>
                          <w:rFonts w:cstheme="minorHAnsi"/>
                          <w:bCs/>
                          <w:i/>
                        </w:rPr>
                        <w:t>ke zvýšení OMC</w:t>
                      </w:r>
                      <w:r>
                        <w:rPr>
                          <w:rFonts w:cstheme="minorHAnsi"/>
                          <w:bCs/>
                          <w:i/>
                        </w:rPr>
                        <w:t xml:space="preserve">. Jednalo se např. o instalaci </w:t>
                      </w:r>
                      <w:r w:rsidRPr="00D52320">
                        <w:rPr>
                          <w:rFonts w:cstheme="minorHAnsi"/>
                          <w:bCs/>
                          <w:i/>
                        </w:rPr>
                        <w:t>turniketů,</w:t>
                      </w:r>
                      <w:r>
                        <w:rPr>
                          <w:rFonts w:cstheme="minorHAnsi"/>
                          <w:bCs/>
                          <w:i/>
                        </w:rPr>
                        <w:t xml:space="preserve"> </w:t>
                      </w:r>
                      <w:r w:rsidRPr="00D52320">
                        <w:rPr>
                          <w:rFonts w:cstheme="minorHAnsi"/>
                          <w:bCs/>
                          <w:i/>
                        </w:rPr>
                        <w:t>senzorů</w:t>
                      </w:r>
                      <w:r>
                        <w:rPr>
                          <w:rFonts w:cstheme="minorHAnsi"/>
                          <w:bCs/>
                          <w:i/>
                        </w:rPr>
                        <w:t xml:space="preserve">, </w:t>
                      </w:r>
                      <w:r w:rsidRPr="00D52320">
                        <w:rPr>
                          <w:rFonts w:cstheme="minorHAnsi"/>
                          <w:bCs/>
                          <w:i/>
                        </w:rPr>
                        <w:t>zavedení režimu identifikace pomocí úředního dokladu</w:t>
                      </w:r>
                      <w:r>
                        <w:rPr>
                          <w:rFonts w:cstheme="minorHAnsi"/>
                          <w:bCs/>
                          <w:i/>
                        </w:rPr>
                        <w:t xml:space="preserve">, </w:t>
                      </w:r>
                      <w:r w:rsidRPr="00D52320">
                        <w:rPr>
                          <w:rFonts w:cstheme="minorHAnsi"/>
                          <w:bCs/>
                          <w:i/>
                        </w:rPr>
                        <w:t>zavedení označení návštěv kartou či možnost vybavení a výcviku vrátných a zavedení tísňového tlačítka</w:t>
                      </w:r>
                      <w:r>
                        <w:rPr>
                          <w:rFonts w:cstheme="minorHAnsi"/>
                          <w:bCs/>
                          <w:i/>
                        </w:rPr>
                        <w:t xml:space="preserve">. </w:t>
                      </w:r>
                      <w:r w:rsidRPr="00D52320">
                        <w:rPr>
                          <w:rFonts w:cstheme="minorHAnsi"/>
                          <w:bCs/>
                          <w:i/>
                        </w:rPr>
                        <w:t>K těmto doporučením</w:t>
                      </w:r>
                      <w:r>
                        <w:rPr>
                          <w:rFonts w:cstheme="minorHAnsi"/>
                          <w:bCs/>
                          <w:i/>
                        </w:rPr>
                        <w:t xml:space="preserve"> </w:t>
                      </w:r>
                      <w:r w:rsidRPr="00D52320">
                        <w:rPr>
                          <w:rFonts w:cstheme="minorHAnsi"/>
                          <w:bCs/>
                          <w:i/>
                        </w:rPr>
                        <w:t xml:space="preserve">byl připojen odhad potřebných peněžních prostředků </w:t>
                      </w:r>
                      <w:r>
                        <w:rPr>
                          <w:rFonts w:cstheme="minorHAnsi"/>
                          <w:bCs/>
                          <w:i/>
                        </w:rPr>
                        <w:t xml:space="preserve">státu </w:t>
                      </w:r>
                      <w:r w:rsidRPr="00D52320">
                        <w:rPr>
                          <w:rFonts w:cstheme="minorHAnsi"/>
                          <w:bCs/>
                          <w:i/>
                        </w:rPr>
                        <w:t>na jejich realizaci.</w:t>
                      </w:r>
                    </w:p>
                    <w:p w14:paraId="52F26561" w14:textId="38281594" w:rsidR="000F7CEB" w:rsidRDefault="000F7CEB" w:rsidP="000F7CEB">
                      <w:pPr>
                        <w:jc w:val="both"/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</w:pPr>
                      <w:r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  <w:t>Příklad č. 12</w:t>
                      </w:r>
                    </w:p>
                    <w:p w14:paraId="1A48CF32" w14:textId="4ACB8796" w:rsidR="00B05C12" w:rsidRDefault="000E02F0" w:rsidP="00B05C12">
                      <w:pPr>
                        <w:jc w:val="both"/>
                        <w:rPr>
                          <w:rFonts w:cstheme="minorHAnsi"/>
                          <w:bCs/>
                          <w:i/>
                        </w:rPr>
                      </w:pPr>
                      <w:r w:rsidRPr="000E02F0">
                        <w:rPr>
                          <w:rFonts w:cstheme="minorHAnsi"/>
                          <w:bCs/>
                          <w:i/>
                        </w:rPr>
                        <w:t>MK nepožadovalo po příjemcích informaci o výši investičních prostředků nutných ke zvýšení OMC</w:t>
                      </w:r>
                      <w:r>
                        <w:rPr>
                          <w:rFonts w:cstheme="minorHAnsi"/>
                          <w:bCs/>
                          <w:i/>
                        </w:rPr>
                        <w:t xml:space="preserve"> – např. </w:t>
                      </w:r>
                      <w:r w:rsidR="00B05C12" w:rsidRPr="00D52320">
                        <w:rPr>
                          <w:rFonts w:cstheme="minorHAnsi"/>
                          <w:bCs/>
                          <w:i/>
                        </w:rPr>
                        <w:t xml:space="preserve">Národní knihovna ČR </w:t>
                      </w:r>
                      <w:r w:rsidR="00B05C12">
                        <w:rPr>
                          <w:rFonts w:cstheme="minorHAnsi"/>
                          <w:i/>
                          <w:iCs/>
                        </w:rPr>
                        <w:t xml:space="preserve">jako </w:t>
                      </w:r>
                      <w:r w:rsidR="00B05C12" w:rsidRPr="00282947">
                        <w:rPr>
                          <w:rFonts w:cstheme="minorHAnsi"/>
                          <w:i/>
                          <w:iCs/>
                        </w:rPr>
                        <w:t>příjemc</w:t>
                      </w:r>
                      <w:r w:rsidR="00B05C12">
                        <w:rPr>
                          <w:rFonts w:cstheme="minorHAnsi"/>
                          <w:i/>
                          <w:iCs/>
                        </w:rPr>
                        <w:t xml:space="preserve">e prostředků </w:t>
                      </w:r>
                      <w:r w:rsidR="00B05C12" w:rsidRPr="00EC492A">
                        <w:rPr>
                          <w:rFonts w:eastAsia="Calibri" w:cstheme="minorHAnsi"/>
                          <w:i/>
                          <w:iCs/>
                        </w:rPr>
                        <w:t>neinvestiční</w:t>
                      </w:r>
                      <w:r w:rsidR="00B05C12">
                        <w:rPr>
                          <w:rFonts w:eastAsia="Calibri" w:cstheme="minorHAnsi"/>
                          <w:i/>
                          <w:iCs/>
                        </w:rPr>
                        <w:t>ho</w:t>
                      </w:r>
                      <w:r w:rsidR="00B05C12" w:rsidRPr="00EC492A">
                        <w:rPr>
                          <w:rFonts w:eastAsia="Calibri" w:cstheme="minorHAnsi"/>
                          <w:i/>
                          <w:iCs/>
                        </w:rPr>
                        <w:t xml:space="preserve"> programu </w:t>
                      </w:r>
                      <w:r w:rsidR="00B05C12">
                        <w:rPr>
                          <w:rFonts w:eastAsia="Calibri" w:cstheme="minorHAnsi"/>
                          <w:i/>
                          <w:iCs/>
                        </w:rPr>
                        <w:t xml:space="preserve">MK provedla </w:t>
                      </w:r>
                      <w:r w:rsidR="00B05C12" w:rsidRPr="00D52320">
                        <w:rPr>
                          <w:rFonts w:cstheme="minorHAnsi"/>
                          <w:bCs/>
                          <w:i/>
                        </w:rPr>
                        <w:t>vyhodnocení ohroženosti</w:t>
                      </w:r>
                      <w:r w:rsidR="00B05C12">
                        <w:rPr>
                          <w:rFonts w:cstheme="minorHAnsi"/>
                          <w:bCs/>
                          <w:i/>
                        </w:rPr>
                        <w:t xml:space="preserve">, ze kterého vyplynula </w:t>
                      </w:r>
                      <w:r w:rsidR="00B05C12" w:rsidRPr="00D52320">
                        <w:rPr>
                          <w:rFonts w:cstheme="minorHAnsi"/>
                          <w:bCs/>
                          <w:i/>
                        </w:rPr>
                        <w:t>doporučení</w:t>
                      </w:r>
                      <w:r w:rsidR="00B05C12">
                        <w:rPr>
                          <w:rFonts w:cstheme="minorHAnsi"/>
                          <w:bCs/>
                          <w:i/>
                        </w:rPr>
                        <w:t xml:space="preserve"> </w:t>
                      </w:r>
                      <w:r w:rsidR="00B05C12" w:rsidRPr="00D52320">
                        <w:rPr>
                          <w:rFonts w:cstheme="minorHAnsi"/>
                          <w:bCs/>
                          <w:i/>
                        </w:rPr>
                        <w:t>ke zvýšení OMC</w:t>
                      </w:r>
                      <w:r w:rsidR="00B05C12">
                        <w:rPr>
                          <w:rFonts w:cstheme="minorHAnsi"/>
                          <w:bCs/>
                          <w:i/>
                        </w:rPr>
                        <w:t>.</w:t>
                      </w:r>
                      <w:r w:rsidR="00B05C12" w:rsidRPr="00C31270">
                        <w:rPr>
                          <w:rFonts w:cstheme="minorHAnsi"/>
                          <w:bCs/>
                          <w:i/>
                        </w:rPr>
                        <w:t xml:space="preserve"> </w:t>
                      </w:r>
                      <w:r w:rsidR="00B05C12">
                        <w:rPr>
                          <w:rFonts w:cstheme="minorHAnsi"/>
                          <w:bCs/>
                          <w:i/>
                        </w:rPr>
                        <w:t xml:space="preserve">Jednalo se např. o </w:t>
                      </w:r>
                      <w:r w:rsidR="00B05C12" w:rsidRPr="00D52320">
                        <w:rPr>
                          <w:rFonts w:cstheme="minorHAnsi"/>
                          <w:bCs/>
                          <w:i/>
                        </w:rPr>
                        <w:t xml:space="preserve">obnovu kamerového systému, doplnění monitorů, SW, HW na vybavení velínu ostrahy, pokračování výměny vložek systému generálního klíče apod. K těmto doporučením </w:t>
                      </w:r>
                      <w:r w:rsidR="00B05C12">
                        <w:rPr>
                          <w:rFonts w:cstheme="minorHAnsi"/>
                          <w:bCs/>
                          <w:i/>
                        </w:rPr>
                        <w:t>ne</w:t>
                      </w:r>
                      <w:r w:rsidR="00B05C12" w:rsidRPr="00D52320">
                        <w:rPr>
                          <w:rFonts w:cstheme="minorHAnsi"/>
                          <w:bCs/>
                          <w:i/>
                        </w:rPr>
                        <w:t xml:space="preserve">byl připojen odhad potřebných peněžních prostředků </w:t>
                      </w:r>
                      <w:r w:rsidR="00B05C12">
                        <w:rPr>
                          <w:rFonts w:cstheme="minorHAnsi"/>
                          <w:bCs/>
                          <w:i/>
                        </w:rPr>
                        <w:t xml:space="preserve">státu </w:t>
                      </w:r>
                      <w:r w:rsidR="00B05C12" w:rsidRPr="00D52320">
                        <w:rPr>
                          <w:rFonts w:cstheme="minorHAnsi"/>
                          <w:bCs/>
                          <w:i/>
                        </w:rPr>
                        <w:t>na jejich realizaci.</w:t>
                      </w:r>
                    </w:p>
                    <w:p w14:paraId="764165D6" w14:textId="77777777" w:rsidR="00B05C12" w:rsidRDefault="00B05C12" w:rsidP="00B05C12">
                      <w:pPr>
                        <w:jc w:val="both"/>
                        <w:rPr>
                          <w:rFonts w:cstheme="minorHAnsi"/>
                          <w:bCs/>
                          <w:i/>
                        </w:rPr>
                      </w:pPr>
                    </w:p>
                    <w:p w14:paraId="45ECB72E" w14:textId="77777777" w:rsidR="00B05C12" w:rsidRDefault="00B05C12" w:rsidP="00B05C12">
                      <w:pPr>
                        <w:jc w:val="both"/>
                        <w:rPr>
                          <w:rFonts w:cstheme="minorHAnsi"/>
                          <w:bCs/>
                          <w:i/>
                        </w:rPr>
                      </w:pPr>
                    </w:p>
                    <w:p w14:paraId="253C440B" w14:textId="77777777" w:rsidR="00B05C12" w:rsidRDefault="00B05C12" w:rsidP="00B05C12">
                      <w:pPr>
                        <w:jc w:val="both"/>
                        <w:rPr>
                          <w:rFonts w:cstheme="minorHAnsi"/>
                          <w:b/>
                          <w:color w:val="004595"/>
                        </w:rPr>
                      </w:pPr>
                    </w:p>
                    <w:p w14:paraId="140B15CB" w14:textId="77777777" w:rsidR="00B05C12" w:rsidRDefault="00B05C12" w:rsidP="00B05C12">
                      <w:pPr>
                        <w:jc w:val="both"/>
                        <w:rPr>
                          <w:rFonts w:cstheme="minorHAnsi"/>
                          <w:b/>
                          <w:color w:val="004595"/>
                        </w:rPr>
                      </w:pPr>
                    </w:p>
                    <w:p w14:paraId="084FBE47" w14:textId="77777777" w:rsidR="00B05C12" w:rsidRDefault="00B05C12" w:rsidP="00B05C12">
                      <w:pPr>
                        <w:jc w:val="both"/>
                        <w:rPr>
                          <w:rFonts w:cstheme="minorHAnsi"/>
                          <w:b/>
                          <w:color w:val="004595"/>
                        </w:rPr>
                      </w:pPr>
                    </w:p>
                    <w:p w14:paraId="76435FBD" w14:textId="77777777" w:rsidR="00B05C12" w:rsidRDefault="00B05C12" w:rsidP="00B05C12">
                      <w:pPr>
                        <w:jc w:val="both"/>
                        <w:rPr>
                          <w:rFonts w:cstheme="minorHAnsi"/>
                          <w:b/>
                          <w:color w:val="004595"/>
                        </w:rPr>
                      </w:pPr>
                    </w:p>
                    <w:p w14:paraId="11BCCD79" w14:textId="77777777" w:rsidR="00B05C12" w:rsidRPr="00C31270" w:rsidRDefault="00B05C12" w:rsidP="00B05C12">
                      <w:pPr>
                        <w:jc w:val="both"/>
                        <w:rPr>
                          <w:rFonts w:cstheme="minorHAnsi"/>
                          <w:b/>
                          <w:color w:val="004595"/>
                        </w:rPr>
                      </w:pPr>
                    </w:p>
                    <w:p w14:paraId="13235F85" w14:textId="77777777" w:rsidR="00B05C12" w:rsidRPr="00D52320" w:rsidRDefault="00B05C12" w:rsidP="00B05C12">
                      <w:pPr>
                        <w:spacing w:after="120"/>
                        <w:jc w:val="both"/>
                        <w:rPr>
                          <w:rFonts w:cstheme="minorHAnsi"/>
                          <w:bCs/>
                          <w:i/>
                        </w:rPr>
                      </w:pPr>
                    </w:p>
                    <w:p w14:paraId="4F142C82" w14:textId="77777777" w:rsidR="00B05C12" w:rsidRDefault="00B05C12" w:rsidP="00B05C12">
                      <w:pPr>
                        <w:spacing w:after="120"/>
                        <w:jc w:val="both"/>
                        <w:rPr>
                          <w:rFonts w:cstheme="minorHAnsi"/>
                          <w:b/>
                          <w:color w:val="004595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182DE9" w:rsidRPr="009B4E61">
        <w:rPr>
          <w:rFonts w:eastAsia="Calibri" w:cstheme="minorHAnsi"/>
        </w:rPr>
        <w:t xml:space="preserve">Naopak </w:t>
      </w:r>
      <w:proofErr w:type="spellStart"/>
      <w:r w:rsidR="00182DE9" w:rsidRPr="009B4E61">
        <w:rPr>
          <w:rFonts w:eastAsia="Calibri" w:cstheme="minorHAnsi"/>
        </w:rPr>
        <w:t>MZd</w:t>
      </w:r>
      <w:proofErr w:type="spellEnd"/>
      <w:r w:rsidR="00182DE9" w:rsidRPr="009B4E61">
        <w:rPr>
          <w:rFonts w:eastAsia="Calibri" w:cstheme="minorHAnsi"/>
        </w:rPr>
        <w:t xml:space="preserve"> </w:t>
      </w:r>
      <w:r w:rsidR="00182DE9" w:rsidRPr="009B4E61">
        <w:rPr>
          <w:rFonts w:cstheme="minorHAnsi"/>
        </w:rPr>
        <w:t xml:space="preserve">uložilo v roce 2020 organizacím v jeho přímé působnosti, aby předložily požadavky na pořízení investičního majetku pro vytvoření navazujícího investičního programu zaměřeného na zvýšení </w:t>
      </w:r>
      <w:r w:rsidR="00182DE9">
        <w:rPr>
          <w:rFonts w:cstheme="minorHAnsi"/>
        </w:rPr>
        <w:t>OMC</w:t>
      </w:r>
      <w:r w:rsidR="00182DE9" w:rsidRPr="009B4E61">
        <w:rPr>
          <w:rFonts w:cstheme="minorHAnsi"/>
        </w:rPr>
        <w:t>.</w:t>
      </w:r>
      <w:r w:rsidR="00182DE9">
        <w:rPr>
          <w:rFonts w:cstheme="minorHAnsi"/>
        </w:rPr>
        <w:t xml:space="preserve"> </w:t>
      </w:r>
      <w:r w:rsidR="00182DE9" w:rsidRPr="00504850">
        <w:rPr>
          <w:rFonts w:cstheme="minorHAnsi"/>
        </w:rPr>
        <w:t>Z</w:t>
      </w:r>
      <w:r w:rsidR="008A453E">
        <w:rPr>
          <w:rFonts w:cstheme="minorHAnsi"/>
        </w:rPr>
        <w:t> předložených požadavků</w:t>
      </w:r>
      <w:r w:rsidR="00B817AB">
        <w:rPr>
          <w:rFonts w:cstheme="minorHAnsi"/>
        </w:rPr>
        <w:t xml:space="preserve"> </w:t>
      </w:r>
      <w:r w:rsidR="00182DE9" w:rsidRPr="00504850">
        <w:rPr>
          <w:rFonts w:cstheme="minorHAnsi"/>
        </w:rPr>
        <w:t xml:space="preserve">vyplynulo, že více než polovina organizací by </w:t>
      </w:r>
      <w:r w:rsidR="00182DE9">
        <w:rPr>
          <w:rFonts w:cstheme="minorHAnsi"/>
        </w:rPr>
        <w:t xml:space="preserve">investiční </w:t>
      </w:r>
      <w:r w:rsidR="00182DE9" w:rsidRPr="00504850">
        <w:rPr>
          <w:rFonts w:cstheme="minorHAnsi"/>
        </w:rPr>
        <w:t>prostředky využila na následující opatření</w:t>
      </w:r>
      <w:r w:rsidR="0060665C">
        <w:rPr>
          <w:rFonts w:cstheme="minorHAnsi"/>
        </w:rPr>
        <w:t>:</w:t>
      </w:r>
      <w:r w:rsidR="00182DE9">
        <w:rPr>
          <w:rFonts w:cstheme="minorHAnsi"/>
        </w:rPr>
        <w:t xml:space="preserve"> kamerový</w:t>
      </w:r>
      <w:r w:rsidR="00182DE9" w:rsidRPr="00504850">
        <w:rPr>
          <w:rFonts w:cstheme="minorHAnsi"/>
        </w:rPr>
        <w:t xml:space="preserve"> systém</w:t>
      </w:r>
      <w:r w:rsidR="00182DE9">
        <w:rPr>
          <w:rFonts w:cstheme="minorHAnsi"/>
        </w:rPr>
        <w:t>,</w:t>
      </w:r>
      <w:r w:rsidR="00182DE9" w:rsidRPr="00504850">
        <w:rPr>
          <w:rFonts w:cstheme="minorHAnsi"/>
        </w:rPr>
        <w:t xml:space="preserve"> vstupní a vjezdový systém kontroly</w:t>
      </w:r>
      <w:r w:rsidR="00182DE9">
        <w:rPr>
          <w:rFonts w:cstheme="minorHAnsi"/>
        </w:rPr>
        <w:t xml:space="preserve">, </w:t>
      </w:r>
      <w:r w:rsidR="00182DE9" w:rsidRPr="00504850">
        <w:rPr>
          <w:rFonts w:cstheme="minorHAnsi"/>
        </w:rPr>
        <w:t>bezpečnostní dveře</w:t>
      </w:r>
      <w:r w:rsidR="00BE1017">
        <w:rPr>
          <w:rFonts w:cstheme="minorHAnsi"/>
        </w:rPr>
        <w:t xml:space="preserve">, </w:t>
      </w:r>
      <w:r w:rsidR="00182DE9" w:rsidRPr="00504850">
        <w:rPr>
          <w:rFonts w:cstheme="minorHAnsi"/>
        </w:rPr>
        <w:t>zajištění bezpečnosti klíčového režimu</w:t>
      </w:r>
      <w:r w:rsidR="00BE1017">
        <w:rPr>
          <w:rFonts w:cstheme="minorHAnsi"/>
        </w:rPr>
        <w:t xml:space="preserve">, </w:t>
      </w:r>
      <w:r w:rsidR="00182DE9" w:rsidRPr="00504850">
        <w:rPr>
          <w:rFonts w:cstheme="minorHAnsi"/>
        </w:rPr>
        <w:t>elektronický zabezpečovací systém</w:t>
      </w:r>
      <w:r w:rsidR="00BE1017">
        <w:rPr>
          <w:rFonts w:cstheme="minorHAnsi"/>
        </w:rPr>
        <w:t xml:space="preserve"> nebo </w:t>
      </w:r>
      <w:r w:rsidR="00182DE9" w:rsidRPr="00504850">
        <w:rPr>
          <w:rFonts w:cstheme="minorHAnsi"/>
        </w:rPr>
        <w:t>vybudování rozhlasu, rádiové sítě, svolávací a</w:t>
      </w:r>
      <w:r w:rsidR="00427E0C">
        <w:rPr>
          <w:rFonts w:cstheme="minorHAnsi"/>
        </w:rPr>
        <w:t> </w:t>
      </w:r>
      <w:r w:rsidR="00182DE9" w:rsidRPr="00504850">
        <w:rPr>
          <w:rFonts w:cstheme="minorHAnsi"/>
        </w:rPr>
        <w:t>varovn</w:t>
      </w:r>
      <w:r w:rsidR="0060665C">
        <w:rPr>
          <w:rFonts w:cstheme="minorHAnsi"/>
        </w:rPr>
        <w:t>ý</w:t>
      </w:r>
      <w:r w:rsidR="00182DE9" w:rsidRPr="00504850">
        <w:rPr>
          <w:rFonts w:cstheme="minorHAnsi"/>
        </w:rPr>
        <w:t xml:space="preserve"> systém</w:t>
      </w:r>
      <w:r w:rsidR="00BE1017">
        <w:rPr>
          <w:rFonts w:cstheme="minorHAnsi"/>
        </w:rPr>
        <w:t xml:space="preserve">. </w:t>
      </w:r>
      <w:r w:rsidR="00182DE9" w:rsidRPr="009B4E61">
        <w:rPr>
          <w:rFonts w:cstheme="minorHAnsi"/>
        </w:rPr>
        <w:t xml:space="preserve">Předpokládané investiční potřeby vyčíslilo </w:t>
      </w:r>
      <w:proofErr w:type="spellStart"/>
      <w:r w:rsidR="00182DE9" w:rsidRPr="009B4E61">
        <w:rPr>
          <w:rFonts w:cstheme="minorHAnsi"/>
        </w:rPr>
        <w:t>MZd</w:t>
      </w:r>
      <w:proofErr w:type="spellEnd"/>
      <w:r w:rsidR="00182DE9" w:rsidRPr="009B4E61">
        <w:rPr>
          <w:rFonts w:cstheme="minorHAnsi"/>
        </w:rPr>
        <w:t xml:space="preserve"> na 320 mil. Kč </w:t>
      </w:r>
      <w:r w:rsidR="00BE1017">
        <w:rPr>
          <w:rFonts w:cstheme="minorHAnsi"/>
        </w:rPr>
        <w:t>plus</w:t>
      </w:r>
      <w:r w:rsidR="00182DE9" w:rsidRPr="009B4E61">
        <w:rPr>
          <w:rFonts w:cstheme="minorHAnsi"/>
        </w:rPr>
        <w:t xml:space="preserve"> 250</w:t>
      </w:r>
      <w:r w:rsidR="00427E0C">
        <w:rPr>
          <w:rFonts w:cstheme="minorHAnsi"/>
        </w:rPr>
        <w:t> </w:t>
      </w:r>
      <w:r w:rsidR="00182DE9" w:rsidRPr="009B4E61">
        <w:rPr>
          <w:rFonts w:cstheme="minorHAnsi"/>
        </w:rPr>
        <w:t>mil.</w:t>
      </w:r>
      <w:r w:rsidR="00427E0C">
        <w:rPr>
          <w:rFonts w:cstheme="minorHAnsi"/>
        </w:rPr>
        <w:t> </w:t>
      </w:r>
      <w:r w:rsidR="00182DE9" w:rsidRPr="009B4E61">
        <w:rPr>
          <w:rFonts w:cstheme="minorHAnsi"/>
        </w:rPr>
        <w:t>Kč na zajištění náhradních zdrojů elektrické energie</w:t>
      </w:r>
      <w:r w:rsidR="00BE1017">
        <w:rPr>
          <w:rFonts w:cstheme="minorHAnsi"/>
        </w:rPr>
        <w:t xml:space="preserve">. </w:t>
      </w:r>
    </w:p>
    <w:p w14:paraId="616F3EE9" w14:textId="34BD5826" w:rsidR="00B11953" w:rsidRPr="00427E0C" w:rsidRDefault="007C243F" w:rsidP="00427E0C">
      <w:pPr>
        <w:keepNext/>
        <w:autoSpaceDE w:val="0"/>
        <w:autoSpaceDN w:val="0"/>
        <w:adjustRightInd w:val="0"/>
        <w:spacing w:before="240" w:after="120"/>
        <w:ind w:left="340" w:hanging="340"/>
        <w:rPr>
          <w:rFonts w:cstheme="minorHAnsi"/>
          <w:b/>
        </w:rPr>
      </w:pPr>
      <w:r w:rsidRPr="00427E0C">
        <w:rPr>
          <w:rFonts w:cstheme="minorHAnsi"/>
          <w:b/>
        </w:rPr>
        <w:t>10</w:t>
      </w:r>
      <w:r w:rsidR="00D701F1" w:rsidRPr="00427E0C">
        <w:rPr>
          <w:rFonts w:cstheme="minorHAnsi"/>
          <w:b/>
        </w:rPr>
        <w:t>.</w:t>
      </w:r>
      <w:r w:rsidR="00427E0C" w:rsidRPr="00427E0C">
        <w:rPr>
          <w:rFonts w:cstheme="minorHAnsi"/>
          <w:b/>
        </w:rPr>
        <w:tab/>
      </w:r>
      <w:r w:rsidR="00F83209" w:rsidRPr="00427E0C">
        <w:rPr>
          <w:rFonts w:cstheme="minorHAnsi"/>
          <w:b/>
        </w:rPr>
        <w:t xml:space="preserve">MV, MK ani </w:t>
      </w:r>
      <w:proofErr w:type="spellStart"/>
      <w:r w:rsidR="00F83209" w:rsidRPr="00427E0C">
        <w:rPr>
          <w:rFonts w:cstheme="minorHAnsi"/>
          <w:b/>
        </w:rPr>
        <w:t>MZd</w:t>
      </w:r>
      <w:proofErr w:type="spellEnd"/>
      <w:r w:rsidR="00F83209" w:rsidRPr="00427E0C">
        <w:rPr>
          <w:rFonts w:cstheme="minorHAnsi"/>
          <w:b/>
        </w:rPr>
        <w:t xml:space="preserve"> </w:t>
      </w:r>
      <w:r w:rsidR="008A453E" w:rsidRPr="00427E0C">
        <w:rPr>
          <w:rFonts w:cstheme="minorHAnsi"/>
          <w:b/>
        </w:rPr>
        <w:t xml:space="preserve">nebudou moci vyhodnotit </w:t>
      </w:r>
      <w:r w:rsidR="00F83209" w:rsidRPr="00427E0C">
        <w:rPr>
          <w:rFonts w:cstheme="minorHAnsi"/>
          <w:b/>
        </w:rPr>
        <w:t>splnění cíl</w:t>
      </w:r>
      <w:r w:rsidR="00B11953" w:rsidRPr="00427E0C">
        <w:rPr>
          <w:rFonts w:cstheme="minorHAnsi"/>
          <w:b/>
        </w:rPr>
        <w:t>ů neinvestičních programů</w:t>
      </w:r>
      <w:r w:rsidR="0060665C">
        <w:rPr>
          <w:rFonts w:cstheme="minorHAnsi"/>
          <w:b/>
        </w:rPr>
        <w:t>;</w:t>
      </w:r>
      <w:r w:rsidR="00B11953" w:rsidRPr="00427E0C">
        <w:rPr>
          <w:rFonts w:cstheme="minorHAnsi"/>
          <w:b/>
        </w:rPr>
        <w:t xml:space="preserve"> </w:t>
      </w:r>
      <w:r w:rsidR="008F4766" w:rsidRPr="00427E0C">
        <w:rPr>
          <w:rFonts w:cstheme="minorHAnsi"/>
          <w:b/>
        </w:rPr>
        <w:t>b</w:t>
      </w:r>
      <w:r w:rsidR="00B11953" w:rsidRPr="00427E0C">
        <w:rPr>
          <w:rFonts w:cstheme="minorHAnsi"/>
          <w:b/>
        </w:rPr>
        <w:t xml:space="preserve">ez </w:t>
      </w:r>
      <w:r w:rsidR="00104AD8" w:rsidRPr="00427E0C">
        <w:rPr>
          <w:rFonts w:cstheme="minorHAnsi"/>
          <w:b/>
        </w:rPr>
        <w:t xml:space="preserve">zahájení </w:t>
      </w:r>
      <w:r w:rsidR="00B11953" w:rsidRPr="00427E0C">
        <w:rPr>
          <w:rFonts w:cstheme="minorHAnsi"/>
          <w:b/>
        </w:rPr>
        <w:t>investičních programů</w:t>
      </w:r>
      <w:r w:rsidR="00104AD8" w:rsidRPr="00427E0C">
        <w:rPr>
          <w:rFonts w:cstheme="minorHAnsi"/>
          <w:b/>
        </w:rPr>
        <w:t xml:space="preserve"> </w:t>
      </w:r>
      <w:r w:rsidR="0005244C" w:rsidRPr="00427E0C">
        <w:rPr>
          <w:rFonts w:cstheme="minorHAnsi"/>
          <w:b/>
        </w:rPr>
        <w:t xml:space="preserve">nedošlo </w:t>
      </w:r>
      <w:r w:rsidR="00B11953" w:rsidRPr="00427E0C">
        <w:rPr>
          <w:rFonts w:cstheme="minorHAnsi"/>
          <w:b/>
        </w:rPr>
        <w:t xml:space="preserve">k vytvoření </w:t>
      </w:r>
      <w:r w:rsidR="000D00C3" w:rsidRPr="00427E0C">
        <w:rPr>
          <w:rFonts w:cstheme="minorHAnsi"/>
          <w:b/>
        </w:rPr>
        <w:t xml:space="preserve">národního </w:t>
      </w:r>
      <w:r w:rsidR="00B11953" w:rsidRPr="00427E0C">
        <w:rPr>
          <w:rFonts w:cstheme="minorHAnsi"/>
          <w:b/>
        </w:rPr>
        <w:t xml:space="preserve">komplexního systému </w:t>
      </w:r>
      <w:r w:rsidR="00FE6231" w:rsidRPr="00427E0C">
        <w:rPr>
          <w:rFonts w:cstheme="minorHAnsi"/>
          <w:b/>
        </w:rPr>
        <w:t xml:space="preserve">ochrany </w:t>
      </w:r>
      <w:r w:rsidR="00104AD8" w:rsidRPr="00427E0C">
        <w:rPr>
          <w:rFonts w:cstheme="minorHAnsi"/>
          <w:b/>
        </w:rPr>
        <w:t>měkkých cílů</w:t>
      </w:r>
    </w:p>
    <w:p w14:paraId="094BDA4C" w14:textId="59795F25" w:rsidR="00F83209" w:rsidRDefault="00F83209" w:rsidP="009B4E61">
      <w:pPr>
        <w:spacing w:after="120"/>
        <w:jc w:val="both"/>
        <w:rPr>
          <w:rFonts w:eastAsia="Calibri" w:cstheme="minorHAnsi"/>
        </w:rPr>
      </w:pPr>
      <w:r w:rsidRPr="009B4E61">
        <w:rPr>
          <w:rFonts w:eastAsia="Calibri" w:cstheme="minorHAnsi"/>
        </w:rPr>
        <w:t xml:space="preserve">Předpokladem pro vyhodnocení cíle </w:t>
      </w:r>
      <w:r w:rsidR="00FE6231">
        <w:rPr>
          <w:rFonts w:eastAsia="Calibri" w:cstheme="minorHAnsi"/>
        </w:rPr>
        <w:t xml:space="preserve">neinvestičního </w:t>
      </w:r>
      <w:r w:rsidRPr="009B4E61">
        <w:rPr>
          <w:rFonts w:eastAsia="Calibri" w:cstheme="minorHAnsi"/>
        </w:rPr>
        <w:t>programu je nastavení měřitelných kvalitativních a kvantitativních indikátorů. Na základě jejich vyhodnocení mohou MV, MK a</w:t>
      </w:r>
      <w:r w:rsidR="00427E0C">
        <w:rPr>
          <w:rFonts w:eastAsia="Calibri" w:cstheme="minorHAnsi"/>
        </w:rPr>
        <w:t> </w:t>
      </w:r>
      <w:proofErr w:type="spellStart"/>
      <w:r w:rsidRPr="009B4E61">
        <w:rPr>
          <w:rFonts w:eastAsia="Calibri" w:cstheme="minorHAnsi"/>
        </w:rPr>
        <w:t>MZd</w:t>
      </w:r>
      <w:proofErr w:type="spellEnd"/>
      <w:r w:rsidRPr="009B4E61">
        <w:rPr>
          <w:rFonts w:eastAsia="Calibri" w:cstheme="minorHAnsi"/>
        </w:rPr>
        <w:t xml:space="preserve"> navrhnout další opatření směřující ke zvýšení ochrany měkkých cílů. </w:t>
      </w:r>
    </w:p>
    <w:p w14:paraId="3E024497" w14:textId="3D65C1A2" w:rsidR="00F83209" w:rsidRDefault="00F83209" w:rsidP="009B4E61">
      <w:pPr>
        <w:spacing w:after="120"/>
        <w:jc w:val="both"/>
        <w:rPr>
          <w:rFonts w:cstheme="minorHAnsi"/>
          <w:lang w:eastAsia="cs-CZ"/>
        </w:rPr>
      </w:pPr>
      <w:r w:rsidRPr="009B4E61">
        <w:rPr>
          <w:rFonts w:cstheme="minorHAnsi"/>
          <w:lang w:eastAsia="cs-CZ"/>
        </w:rPr>
        <w:t xml:space="preserve">Realizace </w:t>
      </w:r>
      <w:r w:rsidR="00C906CA">
        <w:rPr>
          <w:rFonts w:cstheme="minorHAnsi"/>
          <w:lang w:eastAsia="cs-CZ"/>
        </w:rPr>
        <w:t xml:space="preserve">neinvestičních </w:t>
      </w:r>
      <w:r w:rsidRPr="009B4E61">
        <w:rPr>
          <w:rFonts w:cstheme="minorHAnsi"/>
          <w:lang w:eastAsia="cs-CZ"/>
        </w:rPr>
        <w:t xml:space="preserve">programů byla vládou schválena na období 2019 až 2021. Dle vyjádření </w:t>
      </w:r>
      <w:r w:rsidRPr="009B4E61">
        <w:rPr>
          <w:rFonts w:eastAsia="Calibri" w:cstheme="minorHAnsi"/>
        </w:rPr>
        <w:t xml:space="preserve">MV, MK a </w:t>
      </w:r>
      <w:proofErr w:type="spellStart"/>
      <w:r w:rsidRPr="009B4E61">
        <w:rPr>
          <w:rFonts w:eastAsia="Calibri" w:cstheme="minorHAnsi"/>
        </w:rPr>
        <w:t>MZd</w:t>
      </w:r>
      <w:proofErr w:type="spellEnd"/>
      <w:r w:rsidRPr="009B4E61" w:rsidDel="00A32110">
        <w:rPr>
          <w:rFonts w:cstheme="minorHAnsi"/>
          <w:lang w:eastAsia="cs-CZ"/>
        </w:rPr>
        <w:t xml:space="preserve"> </w:t>
      </w:r>
      <w:r w:rsidRPr="009B4E61">
        <w:rPr>
          <w:rFonts w:cstheme="minorHAnsi"/>
          <w:lang w:eastAsia="cs-CZ"/>
        </w:rPr>
        <w:t xml:space="preserve">je závěrečné vyhodnocení </w:t>
      </w:r>
      <w:r w:rsidR="00C906CA">
        <w:rPr>
          <w:rFonts w:cstheme="minorHAnsi"/>
          <w:lang w:eastAsia="cs-CZ"/>
        </w:rPr>
        <w:t>neinvestičních</w:t>
      </w:r>
      <w:r w:rsidR="00C906CA" w:rsidRPr="009B4E61">
        <w:rPr>
          <w:rFonts w:cstheme="minorHAnsi"/>
          <w:lang w:eastAsia="cs-CZ"/>
        </w:rPr>
        <w:t xml:space="preserve"> </w:t>
      </w:r>
      <w:r w:rsidRPr="009B4E61">
        <w:rPr>
          <w:rFonts w:cstheme="minorHAnsi"/>
          <w:lang w:eastAsia="cs-CZ"/>
        </w:rPr>
        <w:t>programů naplánováno na rok 2022. Vzhledem k tomu, že výše uvedená ministerstva neuvedla v</w:t>
      </w:r>
      <w:r w:rsidR="00330A23">
        <w:rPr>
          <w:rFonts w:cstheme="minorHAnsi"/>
          <w:lang w:eastAsia="cs-CZ"/>
        </w:rPr>
        <w:t> </w:t>
      </w:r>
      <w:r w:rsidRPr="009B4E61">
        <w:rPr>
          <w:rFonts w:cstheme="minorHAnsi"/>
          <w:lang w:eastAsia="cs-CZ"/>
        </w:rPr>
        <w:t>dokumentaci</w:t>
      </w:r>
      <w:r w:rsidR="00330A23">
        <w:rPr>
          <w:rFonts w:cstheme="minorHAnsi"/>
          <w:lang w:eastAsia="cs-CZ"/>
        </w:rPr>
        <w:t xml:space="preserve"> </w:t>
      </w:r>
      <w:r w:rsidR="00FE6231">
        <w:rPr>
          <w:rFonts w:cstheme="minorHAnsi"/>
          <w:lang w:eastAsia="cs-CZ"/>
        </w:rPr>
        <w:t xml:space="preserve">neinvestičních </w:t>
      </w:r>
      <w:r w:rsidRPr="009B4E61">
        <w:rPr>
          <w:rFonts w:cstheme="minorHAnsi"/>
          <w:lang w:eastAsia="cs-CZ"/>
        </w:rPr>
        <w:t>programů žádné cílové hodnoty a měřitelné indikátory pro jejich vyhodnocení ani způsob, jakým budou programy hodnotit (</w:t>
      </w:r>
      <w:r w:rsidR="00DC3E08">
        <w:rPr>
          <w:rFonts w:cstheme="minorHAnsi"/>
          <w:lang w:eastAsia="cs-CZ"/>
        </w:rPr>
        <w:t xml:space="preserve">viz </w:t>
      </w:r>
      <w:r w:rsidR="00984A59">
        <w:rPr>
          <w:rFonts w:cstheme="minorHAnsi"/>
          <w:lang w:eastAsia="cs-CZ"/>
        </w:rPr>
        <w:t xml:space="preserve">část IV. </w:t>
      </w:r>
      <w:r w:rsidRPr="009B4E61">
        <w:rPr>
          <w:rFonts w:cstheme="minorHAnsi"/>
          <w:lang w:eastAsia="cs-CZ"/>
        </w:rPr>
        <w:t xml:space="preserve">bod </w:t>
      </w:r>
      <w:r w:rsidR="0031201B" w:rsidRPr="009B4E61">
        <w:rPr>
          <w:rFonts w:cstheme="minorHAnsi"/>
          <w:lang w:eastAsia="cs-CZ"/>
        </w:rPr>
        <w:t>3</w:t>
      </w:r>
      <w:r w:rsidR="00C906CA">
        <w:rPr>
          <w:rFonts w:cstheme="minorHAnsi"/>
          <w:lang w:eastAsia="cs-CZ"/>
        </w:rPr>
        <w:t xml:space="preserve"> </w:t>
      </w:r>
      <w:r w:rsidR="00DC3E08">
        <w:rPr>
          <w:rFonts w:cstheme="minorHAnsi"/>
          <w:lang w:eastAsia="cs-CZ"/>
        </w:rPr>
        <w:t xml:space="preserve">tohoto </w:t>
      </w:r>
      <w:r w:rsidR="00C906CA">
        <w:rPr>
          <w:rFonts w:cstheme="minorHAnsi"/>
          <w:lang w:eastAsia="cs-CZ"/>
        </w:rPr>
        <w:t>kontrolního závěru</w:t>
      </w:r>
      <w:r w:rsidRPr="009B4E61">
        <w:rPr>
          <w:rFonts w:cstheme="minorHAnsi"/>
          <w:lang w:eastAsia="cs-CZ"/>
        </w:rPr>
        <w:t>), nebude možné cíle programů vyhodnotit. Zároveň vzhledem ke skutečnosti, že podpora OMC je jedním z pilířů Koncepce OMC</w:t>
      </w:r>
      <w:r w:rsidR="00DC3E08">
        <w:rPr>
          <w:rFonts w:cstheme="minorHAnsi"/>
          <w:lang w:eastAsia="cs-CZ"/>
        </w:rPr>
        <w:t>,</w:t>
      </w:r>
      <w:r w:rsidRPr="009B4E61">
        <w:rPr>
          <w:rFonts w:cstheme="minorHAnsi"/>
          <w:lang w:eastAsia="cs-CZ"/>
        </w:rPr>
        <w:t xml:space="preserve"> bude pro MV jako gestora problematiky OMC obtížné vyhodnotit i naplnění cíle této koncepce</w:t>
      </w:r>
      <w:r w:rsidR="00653E12">
        <w:rPr>
          <w:rFonts w:cstheme="minorHAnsi"/>
          <w:lang w:eastAsia="cs-CZ"/>
        </w:rPr>
        <w:t xml:space="preserve"> </w:t>
      </w:r>
      <w:r w:rsidR="00653E12" w:rsidRPr="009B4E61">
        <w:rPr>
          <w:rFonts w:cstheme="minorHAnsi"/>
          <w:lang w:eastAsia="cs-CZ"/>
        </w:rPr>
        <w:t>(</w:t>
      </w:r>
      <w:r w:rsidR="00DC3E08">
        <w:rPr>
          <w:rFonts w:cstheme="minorHAnsi"/>
          <w:lang w:eastAsia="cs-CZ"/>
        </w:rPr>
        <w:t xml:space="preserve">viz </w:t>
      </w:r>
      <w:r w:rsidR="00984A59">
        <w:rPr>
          <w:rFonts w:cstheme="minorHAnsi"/>
          <w:lang w:eastAsia="cs-CZ"/>
        </w:rPr>
        <w:t xml:space="preserve">část IV. </w:t>
      </w:r>
      <w:r w:rsidR="00653E12" w:rsidRPr="009B4E61">
        <w:rPr>
          <w:rFonts w:cstheme="minorHAnsi"/>
          <w:lang w:eastAsia="cs-CZ"/>
        </w:rPr>
        <w:t xml:space="preserve">bod </w:t>
      </w:r>
      <w:r w:rsidR="00653E12">
        <w:rPr>
          <w:rFonts w:cstheme="minorHAnsi"/>
          <w:lang w:eastAsia="cs-CZ"/>
        </w:rPr>
        <w:t xml:space="preserve">1 </w:t>
      </w:r>
      <w:r w:rsidR="00DC3E08">
        <w:rPr>
          <w:rFonts w:cstheme="minorHAnsi"/>
          <w:lang w:eastAsia="cs-CZ"/>
        </w:rPr>
        <w:t xml:space="preserve">tohoto </w:t>
      </w:r>
      <w:r w:rsidR="00653E12">
        <w:rPr>
          <w:rFonts w:cstheme="minorHAnsi"/>
          <w:lang w:eastAsia="cs-CZ"/>
        </w:rPr>
        <w:t>kontrolního závěru</w:t>
      </w:r>
      <w:r w:rsidR="00653E12" w:rsidRPr="009B4E61">
        <w:rPr>
          <w:rFonts w:cstheme="minorHAnsi"/>
          <w:lang w:eastAsia="cs-CZ"/>
        </w:rPr>
        <w:t>)</w:t>
      </w:r>
      <w:r w:rsidR="00653E12">
        <w:rPr>
          <w:rFonts w:cstheme="minorHAnsi"/>
          <w:lang w:eastAsia="cs-CZ"/>
        </w:rPr>
        <w:t>.</w:t>
      </w:r>
      <w:r w:rsidR="00E1448E">
        <w:rPr>
          <w:rFonts w:cstheme="minorHAnsi"/>
          <w:lang w:eastAsia="cs-CZ"/>
        </w:rPr>
        <w:t xml:space="preserve"> </w:t>
      </w:r>
      <w:r w:rsidR="00853675">
        <w:rPr>
          <w:rFonts w:cstheme="minorHAnsi"/>
          <w:lang w:eastAsia="cs-CZ"/>
        </w:rPr>
        <w:t>Dalším důvodem</w:t>
      </w:r>
      <w:r w:rsidR="000D00C3" w:rsidRPr="000D00C3">
        <w:rPr>
          <w:rFonts w:cstheme="minorHAnsi"/>
          <w:lang w:eastAsia="cs-CZ"/>
        </w:rPr>
        <w:t xml:space="preserve"> </w:t>
      </w:r>
      <w:r w:rsidR="000D00C3">
        <w:rPr>
          <w:rFonts w:cstheme="minorHAnsi"/>
          <w:lang w:eastAsia="cs-CZ"/>
        </w:rPr>
        <w:t>nemožnosti vyhodnocení</w:t>
      </w:r>
      <w:r w:rsidR="00853675">
        <w:rPr>
          <w:rFonts w:cstheme="minorHAnsi"/>
          <w:lang w:eastAsia="cs-CZ"/>
        </w:rPr>
        <w:t xml:space="preserve"> je skutečnost, že </w:t>
      </w:r>
      <w:r w:rsidR="00E1448E">
        <w:rPr>
          <w:rFonts w:cstheme="minorHAnsi"/>
          <w:lang w:eastAsia="cs-CZ"/>
        </w:rPr>
        <w:t>MV nemá přehled o počtu MC, resp. o</w:t>
      </w:r>
      <w:r w:rsidR="00DC3E08">
        <w:rPr>
          <w:rFonts w:cstheme="minorHAnsi"/>
          <w:lang w:eastAsia="cs-CZ"/>
        </w:rPr>
        <w:t> </w:t>
      </w:r>
      <w:r w:rsidR="00E1448E">
        <w:rPr>
          <w:rFonts w:cstheme="minorHAnsi"/>
          <w:lang w:eastAsia="cs-CZ"/>
        </w:rPr>
        <w:t xml:space="preserve">podstatné části MC </w:t>
      </w:r>
      <w:r w:rsidR="00DC3E08">
        <w:rPr>
          <w:rFonts w:cstheme="minorHAnsi"/>
          <w:lang w:eastAsia="cs-CZ"/>
        </w:rPr>
        <w:t>(</w:t>
      </w:r>
      <w:r w:rsidR="00E1448E">
        <w:rPr>
          <w:rFonts w:cstheme="minorHAnsi"/>
          <w:lang w:eastAsia="cs-CZ"/>
        </w:rPr>
        <w:t>jak uvádí cíl Koncepce OMC</w:t>
      </w:r>
      <w:r w:rsidR="00DC3E08">
        <w:rPr>
          <w:rFonts w:cstheme="minorHAnsi"/>
          <w:lang w:eastAsia="cs-CZ"/>
        </w:rPr>
        <w:t>)</w:t>
      </w:r>
      <w:r w:rsidR="00E1448E">
        <w:rPr>
          <w:rFonts w:cstheme="minorHAnsi"/>
          <w:lang w:eastAsia="cs-CZ"/>
        </w:rPr>
        <w:t xml:space="preserve">, </w:t>
      </w:r>
      <w:r w:rsidR="00CB74F3" w:rsidRPr="00485A08">
        <w:rPr>
          <w:rFonts w:ascii="Calibri" w:hAnsi="Calibri" w:cs="Calibri"/>
          <w:lang w:eastAsia="cs-CZ"/>
        </w:rPr>
        <w:t xml:space="preserve">u nichž mělo dojít ke zvýšení </w:t>
      </w:r>
      <w:r w:rsidR="00CB74F3">
        <w:rPr>
          <w:rFonts w:ascii="Calibri" w:hAnsi="Calibri" w:cs="Calibri"/>
          <w:lang w:eastAsia="cs-CZ"/>
        </w:rPr>
        <w:t>jejich ochrany</w:t>
      </w:r>
      <w:r w:rsidR="00CB74F3" w:rsidRPr="00485A08">
        <w:rPr>
          <w:rFonts w:ascii="Calibri" w:hAnsi="Calibri" w:cs="Calibri"/>
          <w:lang w:eastAsia="cs-CZ"/>
        </w:rPr>
        <w:t>.</w:t>
      </w:r>
    </w:p>
    <w:p w14:paraId="3DF295CA" w14:textId="78035546" w:rsidR="00104AD8" w:rsidRDefault="00104AD8" w:rsidP="009B4E61">
      <w:pPr>
        <w:spacing w:after="120"/>
        <w:jc w:val="both"/>
        <w:rPr>
          <w:rFonts w:cstheme="minorHAnsi"/>
          <w:lang w:eastAsia="cs-CZ"/>
        </w:rPr>
      </w:pPr>
      <w:r>
        <w:t xml:space="preserve">NKÚ zjistil, že projekty neinvestičních programů byly zaměřeny na </w:t>
      </w:r>
      <w:r w:rsidRPr="009B4E61">
        <w:t xml:space="preserve">zpracování </w:t>
      </w:r>
      <w:r w:rsidR="007A5045">
        <w:t xml:space="preserve">bezpečnostních analýz, </w:t>
      </w:r>
      <w:r w:rsidRPr="009B4E61">
        <w:t>vyhodnocení ohroženosti</w:t>
      </w:r>
      <w:r w:rsidR="000D00C3">
        <w:t xml:space="preserve"> MC</w:t>
      </w:r>
      <w:r w:rsidRPr="009B4E61">
        <w:t>, zajištění školení, seminářů případně cvičení, úhrad</w:t>
      </w:r>
      <w:r>
        <w:t>u</w:t>
      </w:r>
      <w:r w:rsidRPr="009B4E61">
        <w:t xml:space="preserve"> nákladů na bezpečnostního pracovníka nebo nákup drobného </w:t>
      </w:r>
      <w:r w:rsidR="00A9537F">
        <w:t>hmotného</w:t>
      </w:r>
      <w:r w:rsidR="00A9537F" w:rsidRPr="009B4E61">
        <w:t xml:space="preserve"> </w:t>
      </w:r>
      <w:r w:rsidRPr="009B4E61">
        <w:t>majetku. Součástí výstupů projektů</w:t>
      </w:r>
      <w:r>
        <w:t xml:space="preserve"> (bezpečnostní dokumentace) </w:t>
      </w:r>
      <w:r w:rsidRPr="009B4E61">
        <w:t>byly</w:t>
      </w:r>
      <w:r>
        <w:t xml:space="preserve"> </w:t>
      </w:r>
      <w:r w:rsidRPr="009B4E61">
        <w:t>požadavky na investiční nákupy, a</w:t>
      </w:r>
      <w:r w:rsidR="007A5045">
        <w:t>ť</w:t>
      </w:r>
      <w:r w:rsidRPr="009B4E61">
        <w:t xml:space="preserve"> již byly vyčísleny finančně, či pouze věcným seznamem.</w:t>
      </w:r>
    </w:p>
    <w:p w14:paraId="013D911A" w14:textId="2ED88DE9" w:rsidR="006A7C88" w:rsidRDefault="00A4268C" w:rsidP="006A7C88">
      <w:pPr>
        <w:spacing w:after="240"/>
        <w:jc w:val="both"/>
      </w:pPr>
      <w:r w:rsidRPr="009B4E6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56AE5B" wp14:editId="4AD810FE">
                <wp:simplePos x="0" y="0"/>
                <wp:positionH relativeFrom="margin">
                  <wp:posOffset>17487</wp:posOffset>
                </wp:positionH>
                <wp:positionV relativeFrom="paragraph">
                  <wp:posOffset>1459718</wp:posOffset>
                </wp:positionV>
                <wp:extent cx="5763260" cy="4845050"/>
                <wp:effectExtent l="0" t="0" r="27940" b="12700"/>
                <wp:wrapSquare wrapText="bothSides"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260" cy="4845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09259" w14:textId="008B5A65" w:rsidR="000F7CEB" w:rsidRDefault="000F7CEB" w:rsidP="000F7CEB">
                            <w:pPr>
                              <w:jc w:val="both"/>
                              <w:rPr>
                                <w:rStyle w:val="A4"/>
                                <w:rFonts w:ascii="Calibri" w:hAnsi="Calibri" w:cs="Calibri"/>
                                <w:b/>
                                <w:color w:val="0070C0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Style w:val="A4"/>
                                <w:rFonts w:ascii="Calibri" w:hAnsi="Calibri" w:cs="Calibri"/>
                                <w:b/>
                                <w:color w:val="0070C0"/>
                                <w:sz w:val="24"/>
                                <w:szCs w:val="40"/>
                              </w:rPr>
                              <w:t>Příklad č. 13</w:t>
                            </w:r>
                          </w:p>
                          <w:p w14:paraId="7FC2022E" w14:textId="44C8FF5B" w:rsidR="000F6FFD" w:rsidRDefault="000F6FFD" w:rsidP="000D378E">
                            <w:pPr>
                              <w:spacing w:after="120"/>
                              <w:jc w:val="both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 w:rsidRPr="00CE166C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Ústecký kraj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jako </w:t>
                            </w:r>
                            <w:r w:rsidRPr="00282947">
                              <w:rPr>
                                <w:rFonts w:cstheme="minorHAnsi"/>
                                <w:i/>
                                <w:iCs/>
                              </w:rPr>
                              <w:t>příjemc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e prostředků </w:t>
                            </w:r>
                            <w:r w:rsidRPr="00CE166C">
                              <w:rPr>
                                <w:rFonts w:eastAsia="Times New Roman" w:cstheme="minorHAnsi"/>
                                <w:i/>
                                <w:iCs/>
                              </w:rPr>
                              <w:t>neinvestičního programu MV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čerpal z </w:t>
                            </w:r>
                            <w:r w:rsidR="00DF4B7E">
                              <w:rPr>
                                <w:rFonts w:cstheme="minorHAnsi"/>
                                <w:i/>
                                <w:iCs/>
                              </w:rPr>
                              <w:t>poskytnuté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výše dotace za období 2019–2021 ve výši 4,366 mil. Kč pouze částku 1,051 mil. Kč (tj. 24 %). Řada především školicích a výcvikových aktivit nebyla realizována </w:t>
                            </w:r>
                            <w:r w:rsidRPr="00605A5A">
                              <w:rPr>
                                <w:rFonts w:cstheme="minorHAnsi"/>
                                <w:i/>
                              </w:rPr>
                              <w:t xml:space="preserve">z důvodu opatření zavedených v souvislosti s šířením virového onemocnění </w:t>
                            </w:r>
                            <w:r w:rsidR="00DC3E08" w:rsidRPr="00605A5A">
                              <w:rPr>
                                <w:rFonts w:cstheme="minorHAnsi"/>
                                <w:i/>
                              </w:rPr>
                              <w:t>covid</w:t>
                            </w:r>
                            <w:r w:rsidRPr="00605A5A">
                              <w:rPr>
                                <w:rFonts w:cstheme="minorHAnsi"/>
                                <w:i/>
                              </w:rPr>
                              <w:t>-19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, cíl a účel těchto projektů stanovený ROPD nebyl splněn. </w:t>
                            </w:r>
                            <w:r w:rsidRPr="00F8075C">
                              <w:rPr>
                                <w:rFonts w:cstheme="minorHAnsi"/>
                                <w:i/>
                                <w:iCs/>
                              </w:rPr>
                              <w:t>Zpracováno bylo nicméně vyhodnocení ohroženosti měkk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ých cílů</w:t>
                            </w:r>
                            <w:r w:rsidRPr="00F8075C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– 50 středních škol, </w:t>
                            </w:r>
                            <w:r w:rsidR="00DC3E08">
                              <w:rPr>
                                <w:rFonts w:cstheme="minorHAnsi"/>
                                <w:i/>
                                <w:iCs/>
                              </w:rPr>
                              <w:t>je</w:t>
                            </w:r>
                            <w:r w:rsidRPr="00F8075C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jichž </w:t>
                            </w:r>
                            <w:r w:rsidR="00DC3E08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zřizovatelem </w:t>
                            </w:r>
                            <w:r w:rsidRPr="00F8075C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je </w:t>
                            </w:r>
                            <w:r w:rsidRPr="00CE166C">
                              <w:rPr>
                                <w:rFonts w:cstheme="minorHAnsi"/>
                                <w:i/>
                                <w:iCs/>
                              </w:rPr>
                              <w:t>Ústecký kraj</w:t>
                            </w:r>
                            <w:r w:rsidRPr="00F8075C">
                              <w:rPr>
                                <w:rFonts w:cstheme="minorHAnsi"/>
                                <w:i/>
                                <w:iCs/>
                              </w:rPr>
                              <w:t>. Vyhodnocení obsahoval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a</w:t>
                            </w:r>
                            <w:r w:rsidRPr="00F8075C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mj. nedostatky v oblasti ochrany MC, způsoby možných útoků a doporučení ke snížení ohroženosti MC včetně předpokládaných investičních náklad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ů ve výši necelých 14</w:t>
                            </w:r>
                            <w:r w:rsidR="00DC3E08">
                              <w:rPr>
                                <w:rFonts w:cstheme="minorHAnsi"/>
                                <w:i/>
                                <w:iCs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mil.</w:t>
                            </w:r>
                            <w:r w:rsidR="00DC3E08">
                              <w:rPr>
                                <w:rFonts w:cstheme="minorHAnsi"/>
                                <w:i/>
                                <w:iCs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Kč bez DPH. </w:t>
                            </w:r>
                            <w:r w:rsidRPr="00CE166C">
                              <w:rPr>
                                <w:rFonts w:cstheme="minorHAnsi"/>
                                <w:i/>
                                <w:iCs/>
                              </w:rPr>
                              <w:t>Ústecký kraj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předpokládá </w:t>
                            </w:r>
                            <w:r w:rsidRPr="00451BEA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vyhlášení nového investičního programu, aby mohl realizovat investiční opatření pro lepší zabezpečení škol a školských zařízení na základě již vyhotovených vyhodnocení ohroženosti. </w:t>
                            </w:r>
                          </w:p>
                          <w:p w14:paraId="7D17841E" w14:textId="0A347248" w:rsidR="000F7CEB" w:rsidRDefault="000F7CEB" w:rsidP="000F7CEB">
                            <w:pPr>
                              <w:jc w:val="both"/>
                              <w:rPr>
                                <w:rStyle w:val="A4"/>
                                <w:rFonts w:ascii="Calibri" w:hAnsi="Calibri" w:cs="Calibri"/>
                                <w:b/>
                                <w:color w:val="0070C0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Style w:val="A4"/>
                                <w:rFonts w:ascii="Calibri" w:hAnsi="Calibri" w:cs="Calibri"/>
                                <w:b/>
                                <w:color w:val="0070C0"/>
                                <w:sz w:val="24"/>
                                <w:szCs w:val="40"/>
                              </w:rPr>
                              <w:t>Příklad č. 14</w:t>
                            </w:r>
                          </w:p>
                          <w:p w14:paraId="21264B06" w14:textId="6DF92C7C" w:rsidR="000F6FFD" w:rsidRPr="003F6C50" w:rsidRDefault="000F6FFD" w:rsidP="00E76D8E">
                            <w:pPr>
                              <w:jc w:val="both"/>
                              <w:rPr>
                                <w:rFonts w:cstheme="minorHAnsi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Fakultní nemocnice</w:t>
                            </w:r>
                            <w:r w:rsidRPr="00CE166C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Bulovka jako </w:t>
                            </w:r>
                            <w:r w:rsidRPr="00282947">
                              <w:rPr>
                                <w:rFonts w:cstheme="minorHAnsi"/>
                                <w:i/>
                                <w:iCs/>
                              </w:rPr>
                              <w:t>příjemc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e prostředků </w:t>
                            </w:r>
                            <w:r w:rsidRPr="00CE166C">
                              <w:rPr>
                                <w:rFonts w:eastAsia="Times New Roman" w:cstheme="minorHAnsi"/>
                                <w:i/>
                                <w:iCs/>
                              </w:rPr>
                              <w:t xml:space="preserve">neinvestičního programu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MZd</w:t>
                            </w:r>
                            <w:r w:rsidRPr="00451BEA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čerpal</w:t>
                            </w:r>
                            <w:r w:rsidR="00A9537F">
                              <w:rPr>
                                <w:rFonts w:cstheme="minorHAnsi"/>
                                <w:i/>
                                <w:iCs/>
                              </w:rPr>
                              <w:t>a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z </w:t>
                            </w:r>
                            <w:r w:rsidR="00DF4B7E">
                              <w:rPr>
                                <w:rFonts w:cstheme="minorHAnsi"/>
                                <w:i/>
                                <w:iCs/>
                              </w:rPr>
                              <w:t>poskytnuté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výše dotace za období 2019–2021 ve výši 3,835 mil. Kč pouze částku 1,439 mil. Kč (tj. 38 %). Řada především školicích a výcvikových aktivit nebyla realizována </w:t>
                            </w:r>
                            <w:r w:rsidRPr="00605A5A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z důvodu opatření zavedených v souvislosti s šířením virového onemocnění </w:t>
                            </w:r>
                            <w:r w:rsidR="00DC3E08" w:rsidRPr="00605A5A">
                              <w:rPr>
                                <w:rFonts w:cstheme="minorHAnsi"/>
                                <w:i/>
                                <w:iCs/>
                              </w:rPr>
                              <w:t>covid</w:t>
                            </w:r>
                            <w:r w:rsidRPr="00605A5A">
                              <w:rPr>
                                <w:rFonts w:cstheme="minorHAnsi"/>
                                <w:i/>
                                <w:iCs/>
                              </w:rPr>
                              <w:t>-19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, cíl a</w:t>
                            </w:r>
                            <w:r w:rsidR="00427E0C">
                              <w:rPr>
                                <w:rFonts w:cstheme="minorHAnsi"/>
                                <w:i/>
                                <w:iCs/>
                              </w:rPr>
                              <w:t> 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účel těchto projektů stanovený ROPD nebyl splněn.</w:t>
                            </w:r>
                            <w:r>
                              <w:rPr>
                                <w:rFonts w:cstheme="minorHAns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0794">
                              <w:rPr>
                                <w:rFonts w:cstheme="minorHAnsi"/>
                                <w:i/>
                                <w:iCs/>
                              </w:rPr>
                              <w:t>Zároveň nebyly splněny priority MZd pro roky 2019, resp. 2020, ke kterým patřil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y</w:t>
                            </w:r>
                            <w:r w:rsidRPr="00410794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právě realizace školení a výcviků.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  <w:r w:rsidRPr="00410794">
                              <w:rPr>
                                <w:rFonts w:cstheme="minorHAnsi"/>
                                <w:i/>
                                <w:iCs/>
                              </w:rPr>
                              <w:t>Školení OMC absolvovalo v letech 2019</w:t>
                            </w:r>
                            <w:r w:rsidR="00DC3E08">
                              <w:rPr>
                                <w:rFonts w:cstheme="minorHAnsi"/>
                                <w:i/>
                                <w:iCs/>
                              </w:rPr>
                              <w:t>–</w:t>
                            </w:r>
                            <w:r w:rsidRPr="00410794">
                              <w:rPr>
                                <w:rFonts w:cstheme="minorHAnsi"/>
                                <w:i/>
                                <w:iCs/>
                              </w:rPr>
                              <w:t>2021 přibližně 13</w:t>
                            </w:r>
                            <w:r w:rsidR="000F7CEB">
                              <w:rPr>
                                <w:rFonts w:cstheme="minorHAnsi"/>
                                <w:i/>
                                <w:iCs/>
                              </w:rPr>
                              <w:t> </w:t>
                            </w:r>
                            <w:r w:rsidRPr="00410794">
                              <w:rPr>
                                <w:rFonts w:cstheme="minorHAnsi"/>
                                <w:i/>
                                <w:iCs/>
                              </w:rPr>
                              <w:t>% zaměstnanců.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  <w:r w:rsidRPr="00410794">
                              <w:rPr>
                                <w:rFonts w:cstheme="minorHAnsi"/>
                                <w:i/>
                                <w:iCs/>
                              </w:rPr>
                              <w:t>Zpracovaná bezpečnostní dokumentace obsahuje jednotlivá doporučení a opatření pro zvýšení bezpečnosti a</w:t>
                            </w:r>
                            <w:r w:rsidR="00427E0C">
                              <w:rPr>
                                <w:rFonts w:cstheme="minorHAnsi"/>
                                <w:i/>
                                <w:iCs/>
                              </w:rPr>
                              <w:t> </w:t>
                            </w:r>
                            <w:r w:rsidRPr="00410794">
                              <w:rPr>
                                <w:rFonts w:cstheme="minorHAnsi"/>
                                <w:i/>
                                <w:iCs/>
                              </w:rPr>
                              <w:t>minimalizaci potenciálních hrozeb.</w:t>
                            </w:r>
                            <w:r>
                              <w:rPr>
                                <w:rFonts w:cstheme="minorHAnsi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Fakultní nemocnice</w:t>
                            </w:r>
                            <w:r w:rsidRPr="00CE166C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Bulovka předpokládá v rámci předpokládaného investičního programu např. pořízení plotu v areálu nemocnice, venkovních a vnitřních kamer, mechatronického systému klíčů, </w:t>
                            </w:r>
                            <w:r w:rsidRPr="003F6C50">
                              <w:rPr>
                                <w:rFonts w:cstheme="minorHAnsi"/>
                                <w:i/>
                                <w:iCs/>
                              </w:rPr>
                              <w:t>elektronick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ého</w:t>
                            </w:r>
                            <w:r w:rsidRPr="003F6C50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zabezpečovací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ho</w:t>
                            </w:r>
                            <w:r w:rsidRPr="003F6C50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systém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u nebo </w:t>
                            </w:r>
                            <w:r w:rsidRPr="003F6C50">
                              <w:rPr>
                                <w:rFonts w:cstheme="minorHAnsi"/>
                                <w:i/>
                                <w:iCs/>
                              </w:rPr>
                              <w:t>svolávací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ho</w:t>
                            </w:r>
                            <w:r w:rsidRPr="003F6C50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systém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>u</w:t>
                            </w:r>
                            <w:r w:rsidRPr="003F6C50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pro ostrahu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  <w:r w:rsidRPr="003F6C50">
                              <w:rPr>
                                <w:rFonts w:cstheme="minorHAnsi"/>
                                <w:i/>
                                <w:iCs/>
                              </w:rPr>
                              <w:t>areálu</w:t>
                            </w: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. </w:t>
                            </w:r>
                          </w:p>
                          <w:p w14:paraId="353C799A" w14:textId="77777777" w:rsidR="000F6FFD" w:rsidRPr="00451BEA" w:rsidRDefault="000F6FFD" w:rsidP="000D378E">
                            <w:pPr>
                              <w:spacing w:after="120"/>
                              <w:jc w:val="both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</w:p>
                          <w:p w14:paraId="50DAA5E2" w14:textId="77777777" w:rsidR="000F6FFD" w:rsidRPr="00D52320" w:rsidRDefault="000F6FFD" w:rsidP="000D378E">
                            <w:pPr>
                              <w:spacing w:after="120"/>
                              <w:jc w:val="both"/>
                              <w:rPr>
                                <w:rFonts w:cstheme="minorHAnsi"/>
                                <w:bCs/>
                                <w:i/>
                              </w:rPr>
                            </w:pPr>
                          </w:p>
                          <w:p w14:paraId="6F1AA830" w14:textId="77777777" w:rsidR="000F6FFD" w:rsidRDefault="000F6FFD" w:rsidP="000D378E">
                            <w:pPr>
                              <w:spacing w:after="120"/>
                              <w:jc w:val="both"/>
                              <w:rPr>
                                <w:rFonts w:cstheme="minorHAnsi"/>
                                <w:b/>
                                <w:color w:val="00459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6AE5B" id="Obdélník 16" o:spid="_x0000_s1037" style="position:absolute;left:0;text-align:left;margin-left:1.4pt;margin-top:114.95pt;width:453.8pt;height:381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" fillcolor="white [3201]" strokecolor="black [3200]" strokeweight="1pt">
                <v:textbox>
                  <w:txbxContent>
                    <w:p w14:paraId="74D09259" w14:textId="008B5A65" w:rsidR="000F7CEB" w:rsidRDefault="000F7CEB" w:rsidP="000F7CEB">
                      <w:pPr>
                        <w:jc w:val="both"/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</w:pPr>
                      <w:r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  <w:t>Příklad č. 13</w:t>
                      </w:r>
                    </w:p>
                    <w:p w14:paraId="7FC2022E" w14:textId="44C8FF5B" w:rsidR="000F6FFD" w:rsidRDefault="000F6FFD" w:rsidP="000D378E">
                      <w:pPr>
                        <w:spacing w:after="120"/>
                        <w:jc w:val="both"/>
                        <w:rPr>
                          <w:rFonts w:cstheme="minorHAnsi"/>
                          <w:i/>
                          <w:iCs/>
                        </w:rPr>
                      </w:pPr>
                      <w:r w:rsidRPr="00CE166C">
                        <w:rPr>
                          <w:rFonts w:cstheme="minorHAnsi"/>
                          <w:i/>
                          <w:iCs/>
                        </w:rPr>
                        <w:t xml:space="preserve">Ústecký kraj 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jako </w:t>
                      </w:r>
                      <w:r w:rsidRPr="00282947">
                        <w:rPr>
                          <w:rFonts w:cstheme="minorHAnsi"/>
                          <w:i/>
                          <w:iCs/>
                        </w:rPr>
                        <w:t>příjemc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e prostředků </w:t>
                      </w:r>
                      <w:r w:rsidRPr="00CE166C">
                        <w:rPr>
                          <w:rFonts w:eastAsia="Times New Roman" w:cstheme="minorHAnsi"/>
                          <w:i/>
                          <w:iCs/>
                        </w:rPr>
                        <w:t>neinvestičního programu MV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 čerpal z </w:t>
                      </w:r>
                      <w:r w:rsidR="00DF4B7E">
                        <w:rPr>
                          <w:rFonts w:cstheme="minorHAnsi"/>
                          <w:i/>
                          <w:iCs/>
                        </w:rPr>
                        <w:t>poskytnuté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 výše dotace za období 2019–2021 ve výši 4,366 mil. Kč pouze částku 1,051 mil. Kč (tj. 24 %). Řada především školicích a výcvikových aktivit nebyla realizována </w:t>
                      </w:r>
                      <w:r w:rsidRPr="00605A5A">
                        <w:rPr>
                          <w:rFonts w:cstheme="minorHAnsi"/>
                          <w:i/>
                        </w:rPr>
                        <w:t xml:space="preserve">z důvodu opatření zavedených v souvislosti s šířením virového onemocnění </w:t>
                      </w:r>
                      <w:r w:rsidR="00DC3E08" w:rsidRPr="00605A5A">
                        <w:rPr>
                          <w:rFonts w:cstheme="minorHAnsi"/>
                          <w:i/>
                        </w:rPr>
                        <w:t>covid</w:t>
                      </w:r>
                      <w:r w:rsidRPr="00605A5A">
                        <w:rPr>
                          <w:rFonts w:cstheme="minorHAnsi"/>
                          <w:i/>
                        </w:rPr>
                        <w:t>-19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, cíl a účel těchto projektů stanovený ROPD nebyl splněn. </w:t>
                      </w:r>
                      <w:r w:rsidRPr="00F8075C">
                        <w:rPr>
                          <w:rFonts w:cstheme="minorHAnsi"/>
                          <w:i/>
                          <w:iCs/>
                        </w:rPr>
                        <w:t>Zpracováno bylo nicméně vyhodnocení ohroženosti měkk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ých cílů</w:t>
                      </w:r>
                      <w:r w:rsidRPr="00F8075C">
                        <w:rPr>
                          <w:rFonts w:cstheme="minorHAnsi"/>
                          <w:i/>
                          <w:iCs/>
                        </w:rPr>
                        <w:t xml:space="preserve"> – 50 středních škol, </w:t>
                      </w:r>
                      <w:r w:rsidR="00DC3E08">
                        <w:rPr>
                          <w:rFonts w:cstheme="minorHAnsi"/>
                          <w:i/>
                          <w:iCs/>
                        </w:rPr>
                        <w:t>je</w:t>
                      </w:r>
                      <w:r w:rsidRPr="00F8075C">
                        <w:rPr>
                          <w:rFonts w:cstheme="minorHAnsi"/>
                          <w:i/>
                          <w:iCs/>
                        </w:rPr>
                        <w:t xml:space="preserve">jichž </w:t>
                      </w:r>
                      <w:r w:rsidR="00DC3E08">
                        <w:rPr>
                          <w:rFonts w:cstheme="minorHAnsi"/>
                          <w:i/>
                          <w:iCs/>
                        </w:rPr>
                        <w:t xml:space="preserve">zřizovatelem </w:t>
                      </w:r>
                      <w:r w:rsidRPr="00F8075C">
                        <w:rPr>
                          <w:rFonts w:cstheme="minorHAnsi"/>
                          <w:i/>
                          <w:iCs/>
                        </w:rPr>
                        <w:t xml:space="preserve">je </w:t>
                      </w:r>
                      <w:r w:rsidRPr="00CE166C">
                        <w:rPr>
                          <w:rFonts w:cstheme="minorHAnsi"/>
                          <w:i/>
                          <w:iCs/>
                        </w:rPr>
                        <w:t>Ústecký kraj</w:t>
                      </w:r>
                      <w:r w:rsidRPr="00F8075C">
                        <w:rPr>
                          <w:rFonts w:cstheme="minorHAnsi"/>
                          <w:i/>
                          <w:iCs/>
                        </w:rPr>
                        <w:t>. Vyhodnocení obsahoval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a</w:t>
                      </w:r>
                      <w:r w:rsidRPr="00F8075C">
                        <w:rPr>
                          <w:rFonts w:cstheme="minorHAnsi"/>
                          <w:i/>
                          <w:iCs/>
                        </w:rPr>
                        <w:t xml:space="preserve"> mj. nedostatky v oblasti ochrany MC, způsoby možných útoků a doporučení ke snížení ohroženosti MC včetně předpokládaných investičních náklad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ů ve výši necelých 14</w:t>
                      </w:r>
                      <w:r w:rsidR="00DC3E08">
                        <w:rPr>
                          <w:rFonts w:cstheme="minorHAnsi"/>
                          <w:i/>
                          <w:iCs/>
                        </w:rPr>
                        <w:t> 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mil.</w:t>
                      </w:r>
                      <w:r w:rsidR="00DC3E08">
                        <w:rPr>
                          <w:rFonts w:cstheme="minorHAnsi"/>
                          <w:i/>
                          <w:iCs/>
                        </w:rPr>
                        <w:t> 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Kč bez DPH. </w:t>
                      </w:r>
                      <w:r w:rsidRPr="00CE166C">
                        <w:rPr>
                          <w:rFonts w:cstheme="minorHAnsi"/>
                          <w:i/>
                          <w:iCs/>
                        </w:rPr>
                        <w:t>Ústecký kraj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 předpokládá </w:t>
                      </w:r>
                      <w:r w:rsidRPr="00451BEA">
                        <w:rPr>
                          <w:rFonts w:cstheme="minorHAnsi"/>
                          <w:i/>
                          <w:iCs/>
                        </w:rPr>
                        <w:t xml:space="preserve">vyhlášení nového investičního programu, aby mohl realizovat investiční opatření pro lepší zabezpečení škol a školských zařízení na základě již vyhotovených vyhodnocení ohroženosti. </w:t>
                      </w:r>
                    </w:p>
                    <w:p w14:paraId="7D17841E" w14:textId="0A347248" w:rsidR="000F7CEB" w:rsidRDefault="000F7CEB" w:rsidP="000F7CEB">
                      <w:pPr>
                        <w:jc w:val="both"/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</w:pPr>
                      <w:r>
                        <w:rPr>
                          <w:rStyle w:val="A4"/>
                          <w:rFonts w:ascii="Calibri" w:hAnsi="Calibri" w:cs="Calibri"/>
                          <w:b/>
                          <w:color w:val="0070C0"/>
                          <w:sz w:val="24"/>
                          <w:szCs w:val="40"/>
                        </w:rPr>
                        <w:t>Příklad č. 14</w:t>
                      </w:r>
                    </w:p>
                    <w:p w14:paraId="21264B06" w14:textId="6DF92C7C" w:rsidR="000F6FFD" w:rsidRPr="003F6C50" w:rsidRDefault="000F6FFD" w:rsidP="00E76D8E">
                      <w:pPr>
                        <w:jc w:val="both"/>
                        <w:rPr>
                          <w:rFonts w:cstheme="minorHAnsi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>Fakultní nemocnice</w:t>
                      </w:r>
                      <w:r w:rsidRPr="00CE166C">
                        <w:rPr>
                          <w:rFonts w:cstheme="minorHAns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Bulovka jako </w:t>
                      </w:r>
                      <w:r w:rsidRPr="00282947">
                        <w:rPr>
                          <w:rFonts w:cstheme="minorHAnsi"/>
                          <w:i/>
                          <w:iCs/>
                        </w:rPr>
                        <w:t>příjemc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e prostředků </w:t>
                      </w:r>
                      <w:r w:rsidRPr="00CE166C">
                        <w:rPr>
                          <w:rFonts w:eastAsia="Times New Roman" w:cstheme="minorHAnsi"/>
                          <w:i/>
                          <w:iCs/>
                        </w:rPr>
                        <w:t xml:space="preserve">neinvestičního programu 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MZd</w:t>
                      </w:r>
                      <w:r w:rsidRPr="00451BEA">
                        <w:rPr>
                          <w:rFonts w:cstheme="minorHAns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čerpal</w:t>
                      </w:r>
                      <w:r w:rsidR="00A9537F">
                        <w:rPr>
                          <w:rFonts w:cstheme="minorHAnsi"/>
                          <w:i/>
                          <w:iCs/>
                        </w:rPr>
                        <w:t>a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 z </w:t>
                      </w:r>
                      <w:r w:rsidR="00DF4B7E">
                        <w:rPr>
                          <w:rFonts w:cstheme="minorHAnsi"/>
                          <w:i/>
                          <w:iCs/>
                        </w:rPr>
                        <w:t>poskytnuté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 výše dotace za období 2019–2021 ve výši 3,835 mil. Kč pouze částku 1,439 mil. Kč (tj. 38 %). Řada především školicích a výcvikových aktivit nebyla realizována </w:t>
                      </w:r>
                      <w:r w:rsidRPr="00605A5A">
                        <w:rPr>
                          <w:rFonts w:cstheme="minorHAnsi"/>
                          <w:i/>
                          <w:iCs/>
                        </w:rPr>
                        <w:t xml:space="preserve">z důvodu opatření zavedených v souvislosti s šířením virového onemocnění </w:t>
                      </w:r>
                      <w:r w:rsidR="00DC3E08" w:rsidRPr="00605A5A">
                        <w:rPr>
                          <w:rFonts w:cstheme="minorHAnsi"/>
                          <w:i/>
                          <w:iCs/>
                        </w:rPr>
                        <w:t>covid</w:t>
                      </w:r>
                      <w:r w:rsidRPr="00605A5A">
                        <w:rPr>
                          <w:rFonts w:cstheme="minorHAnsi"/>
                          <w:i/>
                          <w:iCs/>
                        </w:rPr>
                        <w:t>-19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, cíl a</w:t>
                      </w:r>
                      <w:r w:rsidR="00427E0C">
                        <w:rPr>
                          <w:rFonts w:cstheme="minorHAnsi"/>
                          <w:i/>
                          <w:iCs/>
                        </w:rPr>
                        <w:t> 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účel těchto projektů stanovený ROPD nebyl splněn.</w:t>
                      </w:r>
                      <w:r>
                        <w:rPr>
                          <w:rFonts w:cstheme="minorHAnsi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410794">
                        <w:rPr>
                          <w:rFonts w:cstheme="minorHAnsi"/>
                          <w:i/>
                          <w:iCs/>
                        </w:rPr>
                        <w:t>Zároveň nebyly splněny priority MZd pro roky 2019, resp. 2020, ke kterým patřil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y</w:t>
                      </w:r>
                      <w:r w:rsidRPr="00410794">
                        <w:rPr>
                          <w:rFonts w:cstheme="minorHAnsi"/>
                          <w:i/>
                          <w:iCs/>
                        </w:rPr>
                        <w:t xml:space="preserve"> právě realizace školení a výcviků.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 </w:t>
                      </w:r>
                      <w:r w:rsidRPr="00410794">
                        <w:rPr>
                          <w:rFonts w:cstheme="minorHAnsi"/>
                          <w:i/>
                          <w:iCs/>
                        </w:rPr>
                        <w:t>Školení OMC absolvovalo v letech 2019</w:t>
                      </w:r>
                      <w:r w:rsidR="00DC3E08">
                        <w:rPr>
                          <w:rFonts w:cstheme="minorHAnsi"/>
                          <w:i/>
                          <w:iCs/>
                        </w:rPr>
                        <w:t>–</w:t>
                      </w:r>
                      <w:r w:rsidRPr="00410794">
                        <w:rPr>
                          <w:rFonts w:cstheme="minorHAnsi"/>
                          <w:i/>
                          <w:iCs/>
                        </w:rPr>
                        <w:t>2021 přibližně 13</w:t>
                      </w:r>
                      <w:r w:rsidR="000F7CEB">
                        <w:rPr>
                          <w:rFonts w:cstheme="minorHAnsi"/>
                          <w:i/>
                          <w:iCs/>
                        </w:rPr>
                        <w:t> </w:t>
                      </w:r>
                      <w:r w:rsidRPr="00410794">
                        <w:rPr>
                          <w:rFonts w:cstheme="minorHAnsi"/>
                          <w:i/>
                          <w:iCs/>
                        </w:rPr>
                        <w:t>% zaměstnanců.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 </w:t>
                      </w:r>
                      <w:r w:rsidRPr="00410794">
                        <w:rPr>
                          <w:rFonts w:cstheme="minorHAnsi"/>
                          <w:i/>
                          <w:iCs/>
                        </w:rPr>
                        <w:t>Zpracovaná bezpečnostní dokumentace obsahuje jednotlivá doporučení a opatření pro zvýšení bezpečnosti a</w:t>
                      </w:r>
                      <w:r w:rsidR="00427E0C">
                        <w:rPr>
                          <w:rFonts w:cstheme="minorHAnsi"/>
                          <w:i/>
                          <w:iCs/>
                        </w:rPr>
                        <w:t> </w:t>
                      </w:r>
                      <w:r w:rsidRPr="00410794">
                        <w:rPr>
                          <w:rFonts w:cstheme="minorHAnsi"/>
                          <w:i/>
                          <w:iCs/>
                        </w:rPr>
                        <w:t>minimalizaci potenciálních hrozeb.</w:t>
                      </w:r>
                      <w:r>
                        <w:rPr>
                          <w:rFonts w:cstheme="minorHAnsi"/>
                          <w:i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Fakultní nemocnice</w:t>
                      </w:r>
                      <w:r w:rsidRPr="00CE166C">
                        <w:rPr>
                          <w:rFonts w:cstheme="minorHAns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Bulovka předpokládá v rámci předpokládaného investičního programu např. pořízení plotu v areálu nemocnice, venkovních a vnitřních kamer, mechatronického systému klíčů, </w:t>
                      </w:r>
                      <w:r w:rsidRPr="003F6C50">
                        <w:rPr>
                          <w:rFonts w:cstheme="minorHAnsi"/>
                          <w:i/>
                          <w:iCs/>
                        </w:rPr>
                        <w:t>elektronick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ého</w:t>
                      </w:r>
                      <w:r w:rsidRPr="003F6C50">
                        <w:rPr>
                          <w:rFonts w:cstheme="minorHAnsi"/>
                          <w:i/>
                          <w:iCs/>
                        </w:rPr>
                        <w:t xml:space="preserve"> zabezpečovací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ho</w:t>
                      </w:r>
                      <w:r w:rsidRPr="003F6C50">
                        <w:rPr>
                          <w:rFonts w:cstheme="minorHAnsi"/>
                          <w:i/>
                          <w:iCs/>
                        </w:rPr>
                        <w:t xml:space="preserve"> systém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u nebo </w:t>
                      </w:r>
                      <w:r w:rsidRPr="003F6C50">
                        <w:rPr>
                          <w:rFonts w:cstheme="minorHAnsi"/>
                          <w:i/>
                          <w:iCs/>
                        </w:rPr>
                        <w:t>svolávací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ho</w:t>
                      </w:r>
                      <w:r w:rsidRPr="003F6C50">
                        <w:rPr>
                          <w:rFonts w:cstheme="minorHAnsi"/>
                          <w:i/>
                          <w:iCs/>
                        </w:rPr>
                        <w:t xml:space="preserve"> systém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>u</w:t>
                      </w:r>
                      <w:r w:rsidRPr="003F6C50">
                        <w:rPr>
                          <w:rFonts w:cstheme="minorHAnsi"/>
                          <w:i/>
                          <w:iCs/>
                        </w:rPr>
                        <w:t xml:space="preserve"> pro ostrahu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 </w:t>
                      </w:r>
                      <w:r w:rsidRPr="003F6C50">
                        <w:rPr>
                          <w:rFonts w:cstheme="minorHAnsi"/>
                          <w:i/>
                          <w:iCs/>
                        </w:rPr>
                        <w:t>areálu</w:t>
                      </w:r>
                      <w:r>
                        <w:rPr>
                          <w:rFonts w:cstheme="minorHAnsi"/>
                          <w:i/>
                          <w:iCs/>
                        </w:rPr>
                        <w:t xml:space="preserve">. </w:t>
                      </w:r>
                    </w:p>
                    <w:p w14:paraId="353C799A" w14:textId="77777777" w:rsidR="000F6FFD" w:rsidRPr="00451BEA" w:rsidRDefault="000F6FFD" w:rsidP="000D378E">
                      <w:pPr>
                        <w:spacing w:after="120"/>
                        <w:jc w:val="both"/>
                        <w:rPr>
                          <w:rFonts w:cstheme="minorHAnsi"/>
                          <w:i/>
                          <w:iCs/>
                        </w:rPr>
                      </w:pPr>
                    </w:p>
                    <w:p w14:paraId="50DAA5E2" w14:textId="77777777" w:rsidR="000F6FFD" w:rsidRPr="00D52320" w:rsidRDefault="000F6FFD" w:rsidP="000D378E">
                      <w:pPr>
                        <w:spacing w:after="120"/>
                        <w:jc w:val="both"/>
                        <w:rPr>
                          <w:rFonts w:cstheme="minorHAnsi"/>
                          <w:bCs/>
                          <w:i/>
                        </w:rPr>
                      </w:pPr>
                    </w:p>
                    <w:p w14:paraId="6F1AA830" w14:textId="77777777" w:rsidR="000F6FFD" w:rsidRDefault="000F6FFD" w:rsidP="000D378E">
                      <w:pPr>
                        <w:spacing w:after="120"/>
                        <w:jc w:val="both"/>
                        <w:rPr>
                          <w:rFonts w:cstheme="minorHAnsi"/>
                          <w:b/>
                          <w:color w:val="004595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2800BB" w:rsidRPr="009B4E61">
        <w:t xml:space="preserve">Realizace neinvestičních programů </w:t>
      </w:r>
      <w:r w:rsidR="000D00C3">
        <w:t>byla</w:t>
      </w:r>
      <w:r w:rsidR="00524BE3" w:rsidRPr="009B4E61">
        <w:t xml:space="preserve"> </w:t>
      </w:r>
      <w:r w:rsidR="002800BB" w:rsidRPr="009B4E61">
        <w:t xml:space="preserve">dle NKÚ nezbytným předpokladem pro zmapování potřeb jednotlivých měkkých cílů tak, aby následně mohl být proces </w:t>
      </w:r>
      <w:r w:rsidR="00196AB6">
        <w:t>komplexní</w:t>
      </w:r>
      <w:r w:rsidR="00AD095F">
        <w:t xml:space="preserve"> ochrany </w:t>
      </w:r>
      <w:r w:rsidR="002800BB" w:rsidRPr="009B4E61">
        <w:t>měkk</w:t>
      </w:r>
      <w:r w:rsidR="00DF4B7E">
        <w:t>ých</w:t>
      </w:r>
      <w:r w:rsidR="002800BB" w:rsidRPr="009B4E61">
        <w:t xml:space="preserve"> cíl</w:t>
      </w:r>
      <w:r w:rsidR="00DF4B7E">
        <w:t>ů</w:t>
      </w:r>
      <w:r w:rsidR="002800BB" w:rsidRPr="009B4E61">
        <w:t xml:space="preserve"> dokončen </w:t>
      </w:r>
      <w:r w:rsidR="00EA088F">
        <w:t>v rámci</w:t>
      </w:r>
      <w:r w:rsidR="002800BB" w:rsidRPr="009B4E61">
        <w:t xml:space="preserve"> </w:t>
      </w:r>
      <w:r w:rsidR="00EA088F">
        <w:t xml:space="preserve">plánovaných </w:t>
      </w:r>
      <w:r w:rsidR="002800BB" w:rsidRPr="009B4E61">
        <w:t xml:space="preserve">investičních </w:t>
      </w:r>
      <w:r w:rsidR="00EA088F">
        <w:t>programů</w:t>
      </w:r>
      <w:r w:rsidR="00797530">
        <w:t xml:space="preserve"> (</w:t>
      </w:r>
      <w:r w:rsidR="00DC3E08">
        <w:t xml:space="preserve">viz </w:t>
      </w:r>
      <w:r w:rsidR="00797530">
        <w:t>příklad</w:t>
      </w:r>
      <w:r w:rsidR="00083FD2">
        <w:t>y</w:t>
      </w:r>
      <w:r w:rsidR="00797530">
        <w:t xml:space="preserve"> č. 1</w:t>
      </w:r>
      <w:r w:rsidR="00DF4B7E">
        <w:t>1</w:t>
      </w:r>
      <w:r w:rsidR="00797530">
        <w:t xml:space="preserve"> a č. 1</w:t>
      </w:r>
      <w:r w:rsidR="00DF4B7E">
        <w:t>2</w:t>
      </w:r>
      <w:r w:rsidR="00797530">
        <w:t>)</w:t>
      </w:r>
      <w:r w:rsidR="002800BB" w:rsidRPr="009B4E61">
        <w:t>.</w:t>
      </w:r>
      <w:r w:rsidR="00DC515C">
        <w:t xml:space="preserve"> </w:t>
      </w:r>
      <w:r w:rsidR="00EA088F">
        <w:t xml:space="preserve">NKÚ v rámci </w:t>
      </w:r>
      <w:r w:rsidR="00DC515C">
        <w:t xml:space="preserve">analýzy </w:t>
      </w:r>
      <w:r w:rsidR="00EA088F">
        <w:t xml:space="preserve">zpětné vazby u příjemců zjistil, že </w:t>
      </w:r>
      <w:r w:rsidR="00DD09C3">
        <w:t>příjemci</w:t>
      </w:r>
      <w:r w:rsidR="00EA088F">
        <w:t xml:space="preserve"> </w:t>
      </w:r>
      <w:r w:rsidR="00EA088F" w:rsidRPr="009B4E61">
        <w:t>z výše uvedených důvodů a</w:t>
      </w:r>
      <w:r w:rsidR="00DC3E08">
        <w:t> </w:t>
      </w:r>
      <w:r w:rsidR="00EA088F" w:rsidRPr="009B4E61">
        <w:t>také v</w:t>
      </w:r>
      <w:r w:rsidR="00EA088F">
        <w:t> </w:t>
      </w:r>
      <w:r w:rsidR="00EA088F" w:rsidRPr="009B4E61">
        <w:t>návaznosti</w:t>
      </w:r>
      <w:r w:rsidR="00EA088F">
        <w:t xml:space="preserve"> na </w:t>
      </w:r>
      <w:r w:rsidR="00DC515C" w:rsidRPr="00764071">
        <w:rPr>
          <w:rFonts w:ascii="Calibri" w:eastAsia="Calibri" w:hAnsi="Calibri" w:cs="Calibri"/>
        </w:rPr>
        <w:t xml:space="preserve">Návrh programů </w:t>
      </w:r>
      <w:r w:rsidR="00576D1E" w:rsidRPr="00764071">
        <w:rPr>
          <w:rFonts w:ascii="Calibri" w:eastAsia="Calibri" w:hAnsi="Calibri" w:cs="Calibri"/>
        </w:rPr>
        <w:t>OMC</w:t>
      </w:r>
      <w:r w:rsidR="00576D1E">
        <w:rPr>
          <w:rFonts w:ascii="Calibri" w:eastAsia="Calibri" w:hAnsi="Calibri" w:cs="Calibri"/>
          <w:vertAlign w:val="superscript"/>
        </w:rPr>
        <w:t>4</w:t>
      </w:r>
      <w:r w:rsidR="00DC515C">
        <w:rPr>
          <w:rFonts w:ascii="Calibri" w:eastAsia="Calibri" w:hAnsi="Calibri" w:cs="Calibri"/>
        </w:rPr>
        <w:t xml:space="preserve">, </w:t>
      </w:r>
      <w:r w:rsidR="00490E2F">
        <w:rPr>
          <w:rFonts w:ascii="Calibri" w:eastAsia="Calibri" w:hAnsi="Calibri" w:cs="Calibri"/>
        </w:rPr>
        <w:t>zahájení</w:t>
      </w:r>
      <w:r w:rsidR="00DC515C">
        <w:rPr>
          <w:rFonts w:ascii="Calibri" w:eastAsia="Calibri" w:hAnsi="Calibri" w:cs="Calibri"/>
        </w:rPr>
        <w:t xml:space="preserve"> </w:t>
      </w:r>
      <w:r w:rsidR="00DC515C" w:rsidRPr="009B4E61">
        <w:t>navazujících investičních programů</w:t>
      </w:r>
      <w:r w:rsidR="00DC515C">
        <w:t xml:space="preserve"> </w:t>
      </w:r>
      <w:r w:rsidR="00964D66">
        <w:t xml:space="preserve">také </w:t>
      </w:r>
      <w:r w:rsidR="00DC515C">
        <w:t>předpokládají</w:t>
      </w:r>
      <w:r w:rsidR="00BD0C4A">
        <w:t xml:space="preserve"> (</w:t>
      </w:r>
      <w:r w:rsidR="00DC3E08">
        <w:t xml:space="preserve">viz </w:t>
      </w:r>
      <w:r w:rsidR="00BD0C4A">
        <w:t>příklad</w:t>
      </w:r>
      <w:r w:rsidR="00083FD2">
        <w:t>y</w:t>
      </w:r>
      <w:r w:rsidR="00BD0C4A">
        <w:t xml:space="preserve"> č. 1</w:t>
      </w:r>
      <w:r w:rsidR="00DF4B7E">
        <w:t>3</w:t>
      </w:r>
      <w:r w:rsidR="00BD0C4A">
        <w:t xml:space="preserve"> a č. 1</w:t>
      </w:r>
      <w:r w:rsidR="00DF4B7E">
        <w:t>4</w:t>
      </w:r>
      <w:r w:rsidR="00BD0C4A">
        <w:t>)</w:t>
      </w:r>
      <w:r w:rsidR="00DC515C">
        <w:t xml:space="preserve">. </w:t>
      </w:r>
      <w:r w:rsidR="00DF4B7E">
        <w:t>Investiční programy</w:t>
      </w:r>
      <w:r w:rsidR="002800BB" w:rsidRPr="009B4E61">
        <w:t xml:space="preserve"> však MV</w:t>
      </w:r>
      <w:r w:rsidR="00A9537F">
        <w:t xml:space="preserve">, MK a </w:t>
      </w:r>
      <w:proofErr w:type="spellStart"/>
      <w:r w:rsidR="00A9537F">
        <w:t>MZd</w:t>
      </w:r>
      <w:proofErr w:type="spellEnd"/>
      <w:r w:rsidR="002800BB" w:rsidRPr="009B4E61">
        <w:t xml:space="preserve"> do doby ukončení kontroly NKÚ nevyhlásil</w:t>
      </w:r>
      <w:r w:rsidR="00A9537F">
        <w:t>y</w:t>
      </w:r>
      <w:r w:rsidR="002800BB" w:rsidRPr="009B4E61">
        <w:t>.</w:t>
      </w:r>
    </w:p>
    <w:p w14:paraId="371A7F3D" w14:textId="0241EFD2" w:rsidR="00AF0D1D" w:rsidRDefault="00AF0D1D" w:rsidP="00427E0C">
      <w:pPr>
        <w:rPr>
          <w:lang w:eastAsia="cs-CZ"/>
        </w:rPr>
      </w:pPr>
    </w:p>
    <w:p w14:paraId="3791340C" w14:textId="48E65757" w:rsidR="00E734E0" w:rsidRDefault="00E734E0" w:rsidP="00427E0C">
      <w:pPr>
        <w:rPr>
          <w:lang w:eastAsia="cs-CZ"/>
        </w:rPr>
      </w:pPr>
    </w:p>
    <w:p w14:paraId="47B18929" w14:textId="77777777" w:rsidR="00427E0C" w:rsidRDefault="00427E0C" w:rsidP="00427E0C">
      <w:pPr>
        <w:rPr>
          <w:lang w:eastAsia="cs-CZ"/>
        </w:rPr>
      </w:pPr>
    </w:p>
    <w:p w14:paraId="404B5254" w14:textId="7ACEB521" w:rsidR="00F83209" w:rsidRPr="006A7C88" w:rsidRDefault="00F83209" w:rsidP="00427E0C">
      <w:pPr>
        <w:keepNext/>
        <w:spacing w:after="60"/>
        <w:ind w:left="2552" w:hanging="2552"/>
      </w:pPr>
      <w:r w:rsidRPr="009B4E61">
        <w:rPr>
          <w:rFonts w:cstheme="minorHAnsi"/>
          <w:b/>
          <w:lang w:eastAsia="cs-CZ"/>
        </w:rPr>
        <w:t>Seznam zkratek</w:t>
      </w:r>
    </w:p>
    <w:p w14:paraId="0DBEDC60" w14:textId="53039C7A" w:rsidR="007C1559" w:rsidRPr="009B4E61" w:rsidRDefault="007C1559" w:rsidP="00427E0C">
      <w:pPr>
        <w:keepNext/>
        <w:spacing w:after="60"/>
        <w:ind w:left="2552" w:hanging="2552"/>
        <w:rPr>
          <w:rFonts w:cstheme="minorHAnsi"/>
        </w:rPr>
      </w:pPr>
      <w:r w:rsidRPr="009B4E61">
        <w:rPr>
          <w:rFonts w:cstheme="minorHAnsi"/>
        </w:rPr>
        <w:t>ČR</w:t>
      </w:r>
      <w:r w:rsidRPr="009B4E61">
        <w:rPr>
          <w:rFonts w:cstheme="minorHAnsi"/>
        </w:rPr>
        <w:tab/>
        <w:t>Česká republika</w:t>
      </w:r>
    </w:p>
    <w:p w14:paraId="69D3FFE8" w14:textId="5CFCD240" w:rsidR="007C584F" w:rsidRDefault="007C584F" w:rsidP="00427E0C">
      <w:pPr>
        <w:keepNext/>
        <w:spacing w:after="60"/>
        <w:ind w:left="2552" w:hanging="2552"/>
        <w:rPr>
          <w:rFonts w:cstheme="minorHAnsi"/>
        </w:rPr>
      </w:pPr>
      <w:r>
        <w:rPr>
          <w:rFonts w:cstheme="minorHAnsi"/>
        </w:rPr>
        <w:t>HW</w:t>
      </w:r>
      <w:r>
        <w:rPr>
          <w:rFonts w:cstheme="minorHAnsi"/>
        </w:rPr>
        <w:tab/>
        <w:t>hardware</w:t>
      </w:r>
    </w:p>
    <w:p w14:paraId="4A66AAFE" w14:textId="791D084A" w:rsidR="007C1559" w:rsidRPr="009B4E61" w:rsidRDefault="007C1559" w:rsidP="00427E0C">
      <w:pPr>
        <w:keepNext/>
        <w:spacing w:after="60"/>
        <w:ind w:left="2552" w:hanging="2552"/>
        <w:rPr>
          <w:rFonts w:cstheme="minorHAnsi"/>
        </w:rPr>
      </w:pPr>
      <w:r w:rsidRPr="009B4E61">
        <w:rPr>
          <w:rFonts w:cstheme="minorHAnsi"/>
        </w:rPr>
        <w:t>Koncepce OMC</w:t>
      </w:r>
      <w:r w:rsidRPr="009B4E61">
        <w:rPr>
          <w:rFonts w:cstheme="minorHAnsi"/>
        </w:rPr>
        <w:tab/>
      </w:r>
      <w:r w:rsidRPr="00083FD2">
        <w:rPr>
          <w:rFonts w:eastAsia="Calibri" w:cstheme="minorHAnsi"/>
          <w:i/>
        </w:rPr>
        <w:t>Koncepce ochrany měkkých cílů pro roky 2017–2020</w:t>
      </w:r>
    </w:p>
    <w:p w14:paraId="224B808D" w14:textId="77777777" w:rsidR="00DC3E08" w:rsidRDefault="00DC3E08" w:rsidP="00427E0C">
      <w:pPr>
        <w:keepNext/>
        <w:spacing w:after="60"/>
        <w:ind w:left="2552" w:hanging="2552"/>
        <w:rPr>
          <w:rFonts w:cstheme="minorHAnsi"/>
        </w:rPr>
      </w:pPr>
      <w:r>
        <w:rPr>
          <w:rFonts w:cstheme="minorHAnsi"/>
        </w:rPr>
        <w:t>KZ</w:t>
      </w:r>
      <w:r>
        <w:rPr>
          <w:rFonts w:cstheme="minorHAnsi"/>
        </w:rPr>
        <w:tab/>
        <w:t>kontrolní závěr</w:t>
      </w:r>
    </w:p>
    <w:p w14:paraId="5FBAA73E" w14:textId="66F6BA07" w:rsidR="007C1559" w:rsidRDefault="007C1559" w:rsidP="00427E0C">
      <w:pPr>
        <w:keepNext/>
        <w:spacing w:after="60"/>
        <w:ind w:left="2552" w:hanging="2552"/>
        <w:rPr>
          <w:rFonts w:cstheme="minorHAnsi"/>
        </w:rPr>
      </w:pPr>
      <w:r w:rsidRPr="009B4E61">
        <w:rPr>
          <w:rFonts w:cstheme="minorHAnsi"/>
        </w:rPr>
        <w:t>MC</w:t>
      </w:r>
      <w:r w:rsidRPr="009B4E61">
        <w:rPr>
          <w:rFonts w:cstheme="minorHAnsi"/>
        </w:rPr>
        <w:tab/>
        <w:t>měkké cíle</w:t>
      </w:r>
    </w:p>
    <w:p w14:paraId="16AECE9E" w14:textId="4971ECAC" w:rsidR="007C1559" w:rsidRPr="009B4E61" w:rsidRDefault="007C1559" w:rsidP="00427E0C">
      <w:pPr>
        <w:keepNext/>
        <w:spacing w:after="60"/>
        <w:ind w:left="2552" w:hanging="2552"/>
        <w:rPr>
          <w:rFonts w:cstheme="minorHAnsi"/>
        </w:rPr>
      </w:pPr>
      <w:r w:rsidRPr="009B4E61">
        <w:rPr>
          <w:rFonts w:cstheme="minorHAnsi"/>
        </w:rPr>
        <w:t>MK</w:t>
      </w:r>
      <w:r w:rsidRPr="009B4E61">
        <w:rPr>
          <w:rFonts w:cstheme="minorHAnsi"/>
        </w:rPr>
        <w:tab/>
        <w:t>Ministerstvo kultury</w:t>
      </w:r>
    </w:p>
    <w:p w14:paraId="4B3935C0" w14:textId="1F8071A1" w:rsidR="007C1559" w:rsidRPr="009B4E61" w:rsidRDefault="007C1559" w:rsidP="00427E0C">
      <w:pPr>
        <w:keepNext/>
        <w:spacing w:after="60"/>
        <w:ind w:left="2552" w:hanging="2552"/>
        <w:rPr>
          <w:rFonts w:cstheme="minorHAnsi"/>
        </w:rPr>
      </w:pPr>
      <w:r w:rsidRPr="009B4E61">
        <w:rPr>
          <w:rFonts w:cstheme="minorHAnsi"/>
        </w:rPr>
        <w:t>MV</w:t>
      </w:r>
      <w:r w:rsidRPr="009B4E61">
        <w:rPr>
          <w:rFonts w:cstheme="minorHAnsi"/>
        </w:rPr>
        <w:tab/>
        <w:t>Ministerstvo vnitra</w:t>
      </w:r>
    </w:p>
    <w:p w14:paraId="6CCFE2FC" w14:textId="2C6660E9" w:rsidR="007C1559" w:rsidRPr="009B4E61" w:rsidRDefault="007C1559" w:rsidP="00427E0C">
      <w:pPr>
        <w:keepNext/>
        <w:spacing w:after="60"/>
        <w:ind w:left="2552" w:hanging="2552"/>
        <w:rPr>
          <w:rFonts w:cstheme="minorHAnsi"/>
        </w:rPr>
      </w:pPr>
      <w:proofErr w:type="spellStart"/>
      <w:r w:rsidRPr="009B4E61">
        <w:rPr>
          <w:rFonts w:cstheme="minorHAnsi"/>
        </w:rPr>
        <w:t>MZd</w:t>
      </w:r>
      <w:proofErr w:type="spellEnd"/>
      <w:r w:rsidRPr="009B4E61">
        <w:rPr>
          <w:rFonts w:cstheme="minorHAnsi"/>
        </w:rPr>
        <w:tab/>
        <w:t>Ministerstvo zdravotnictví</w:t>
      </w:r>
    </w:p>
    <w:p w14:paraId="7E43CE63" w14:textId="287E9255" w:rsidR="007C1559" w:rsidRPr="009B4E61" w:rsidRDefault="007C1559" w:rsidP="00427E0C">
      <w:pPr>
        <w:keepNext/>
        <w:spacing w:after="60"/>
        <w:ind w:left="2552" w:hanging="2552"/>
        <w:rPr>
          <w:rFonts w:cstheme="minorHAnsi"/>
        </w:rPr>
      </w:pPr>
      <w:r w:rsidRPr="009B4E61">
        <w:rPr>
          <w:rFonts w:eastAsia="Calibri" w:cstheme="minorHAnsi"/>
        </w:rPr>
        <w:t>Návrh programů OMC</w:t>
      </w:r>
      <w:r w:rsidRPr="009B4E61">
        <w:rPr>
          <w:rFonts w:eastAsia="Calibri" w:cstheme="minorHAnsi"/>
        </w:rPr>
        <w:tab/>
      </w:r>
      <w:r w:rsidR="005A519F" w:rsidRPr="00083FD2">
        <w:rPr>
          <w:rFonts w:eastAsia="Calibri" w:cstheme="minorHAnsi"/>
          <w:i/>
        </w:rPr>
        <w:t>N</w:t>
      </w:r>
      <w:r w:rsidRPr="00083FD2">
        <w:rPr>
          <w:rFonts w:eastAsia="Calibri" w:cstheme="minorHAnsi"/>
          <w:i/>
        </w:rPr>
        <w:t>ávrh na zřízení dotačních programů za účelem zvýšení ochrany měkkých cílů</w:t>
      </w:r>
    </w:p>
    <w:p w14:paraId="0A519B16" w14:textId="6D61F5F0" w:rsidR="007C1559" w:rsidRPr="009B4E61" w:rsidRDefault="007C1559" w:rsidP="00427E0C">
      <w:pPr>
        <w:keepNext/>
        <w:spacing w:after="60"/>
        <w:ind w:left="2552" w:hanging="2552"/>
        <w:rPr>
          <w:rFonts w:cstheme="minorHAnsi"/>
        </w:rPr>
      </w:pPr>
      <w:r w:rsidRPr="009B4E61">
        <w:rPr>
          <w:rFonts w:cstheme="minorHAnsi"/>
        </w:rPr>
        <w:t>NKÚ</w:t>
      </w:r>
      <w:r w:rsidRPr="009B4E61">
        <w:rPr>
          <w:rFonts w:cstheme="minorHAnsi"/>
        </w:rPr>
        <w:tab/>
        <w:t>Nejvyšší kontrolní úřad</w:t>
      </w:r>
    </w:p>
    <w:p w14:paraId="77B75CDA" w14:textId="1CAD8AD3" w:rsidR="007C1559" w:rsidRPr="009B4E61" w:rsidRDefault="007C1559" w:rsidP="00427E0C">
      <w:pPr>
        <w:keepNext/>
        <w:spacing w:after="60"/>
        <w:ind w:left="2552" w:hanging="2552"/>
        <w:rPr>
          <w:rFonts w:cstheme="minorHAnsi"/>
        </w:rPr>
      </w:pPr>
      <w:r w:rsidRPr="009B4E61">
        <w:rPr>
          <w:rFonts w:cstheme="minorHAnsi"/>
        </w:rPr>
        <w:t>OMC</w:t>
      </w:r>
      <w:r w:rsidRPr="009B4E61">
        <w:rPr>
          <w:rFonts w:cstheme="minorHAnsi"/>
        </w:rPr>
        <w:tab/>
        <w:t>ochrana měkkých cílů</w:t>
      </w:r>
    </w:p>
    <w:p w14:paraId="50720A6F" w14:textId="2B7FF8BE" w:rsidR="007C1559" w:rsidRPr="009B4E61" w:rsidRDefault="007C1559" w:rsidP="00427E0C">
      <w:pPr>
        <w:keepNext/>
        <w:spacing w:after="60"/>
        <w:ind w:left="2552" w:hanging="2552"/>
        <w:rPr>
          <w:rFonts w:cstheme="minorHAnsi"/>
        </w:rPr>
      </w:pPr>
      <w:r w:rsidRPr="009B4E61">
        <w:rPr>
          <w:rFonts w:eastAsia="Calibri" w:cstheme="minorHAnsi"/>
        </w:rPr>
        <w:t>Program OMCK</w:t>
      </w:r>
      <w:r w:rsidRPr="009B4E61">
        <w:rPr>
          <w:rFonts w:eastAsia="Calibri" w:cstheme="minorHAnsi"/>
        </w:rPr>
        <w:tab/>
      </w:r>
      <w:r w:rsidRPr="00083FD2">
        <w:rPr>
          <w:rFonts w:eastAsia="Calibri" w:cstheme="minorHAnsi"/>
          <w:bCs/>
          <w:i/>
        </w:rPr>
        <w:t xml:space="preserve">Dotační program </w:t>
      </w:r>
      <w:r w:rsidRPr="00083FD2">
        <w:rPr>
          <w:rFonts w:eastAsia="Calibri" w:cstheme="minorHAnsi"/>
          <w:i/>
        </w:rPr>
        <w:t>pro ochranu měkkých cílů v oblasti kultury</w:t>
      </w:r>
    </w:p>
    <w:p w14:paraId="42072C40" w14:textId="52B19292" w:rsidR="007C1559" w:rsidRPr="009B4E61" w:rsidRDefault="007C1559" w:rsidP="00427E0C">
      <w:pPr>
        <w:keepNext/>
        <w:spacing w:after="60"/>
        <w:ind w:left="2552" w:hanging="2552"/>
        <w:rPr>
          <w:rFonts w:eastAsia="Calibri" w:cstheme="minorHAnsi"/>
        </w:rPr>
      </w:pPr>
      <w:r w:rsidRPr="009B4E61">
        <w:rPr>
          <w:rFonts w:eastAsia="Calibri" w:cstheme="minorHAnsi"/>
        </w:rPr>
        <w:t>Program OMCV</w:t>
      </w:r>
      <w:r w:rsidRPr="009B4E61">
        <w:rPr>
          <w:rFonts w:cstheme="minorHAnsi"/>
        </w:rPr>
        <w:t xml:space="preserve"> </w:t>
      </w:r>
      <w:r w:rsidRPr="009B4E61">
        <w:rPr>
          <w:rFonts w:cstheme="minorHAnsi"/>
        </w:rPr>
        <w:tab/>
      </w:r>
      <w:r w:rsidRPr="00083FD2">
        <w:rPr>
          <w:rFonts w:eastAsia="Calibri" w:cstheme="minorHAnsi"/>
          <w:bCs/>
          <w:i/>
        </w:rPr>
        <w:t xml:space="preserve">Dotační </w:t>
      </w:r>
      <w:r w:rsidRPr="00083FD2">
        <w:rPr>
          <w:rFonts w:eastAsia="Calibri" w:cstheme="minorHAnsi"/>
          <w:i/>
        </w:rPr>
        <w:t>program pro zvýšení ochrany veřejných prostranství a</w:t>
      </w:r>
      <w:r w:rsidR="00427E0C" w:rsidRPr="00083FD2">
        <w:rPr>
          <w:rFonts w:eastAsia="Calibri" w:cstheme="minorHAnsi"/>
          <w:i/>
        </w:rPr>
        <w:t> </w:t>
      </w:r>
      <w:r w:rsidRPr="00083FD2">
        <w:rPr>
          <w:rFonts w:eastAsia="Calibri" w:cstheme="minorHAnsi"/>
          <w:i/>
        </w:rPr>
        <w:t>objektů (akcí) veřejné správy, škol a školských zařízení jako měkkých cílů</w:t>
      </w:r>
    </w:p>
    <w:p w14:paraId="28396A9E" w14:textId="2410FBFF" w:rsidR="007C1559" w:rsidRPr="009B4E61" w:rsidRDefault="007C1559" w:rsidP="00427E0C">
      <w:pPr>
        <w:keepNext/>
        <w:spacing w:after="60"/>
        <w:ind w:left="2552" w:hanging="2552"/>
        <w:rPr>
          <w:rFonts w:eastAsia="Calibri" w:cstheme="minorHAnsi"/>
        </w:rPr>
      </w:pPr>
      <w:r w:rsidRPr="009B4E61">
        <w:rPr>
          <w:rFonts w:eastAsia="Calibri" w:cstheme="minorHAnsi"/>
        </w:rPr>
        <w:t>Program OMCZ</w:t>
      </w:r>
      <w:r w:rsidRPr="009B4E61">
        <w:rPr>
          <w:rFonts w:cstheme="minorHAnsi"/>
        </w:rPr>
        <w:t xml:space="preserve"> </w:t>
      </w:r>
      <w:r w:rsidRPr="009B4E61">
        <w:rPr>
          <w:rFonts w:cstheme="minorHAnsi"/>
        </w:rPr>
        <w:tab/>
      </w:r>
      <w:r w:rsidRPr="00083FD2">
        <w:rPr>
          <w:rFonts w:eastAsia="Calibri" w:cstheme="minorHAnsi"/>
          <w:i/>
        </w:rPr>
        <w:t>Dotační program na zvýšení ochrany měkkých cílů v resortu zdravotnictví</w:t>
      </w:r>
    </w:p>
    <w:p w14:paraId="3BA6D31A" w14:textId="4C1666B8" w:rsidR="00C16221" w:rsidRDefault="007C1559" w:rsidP="00427E0C">
      <w:pPr>
        <w:keepNext/>
        <w:spacing w:after="60"/>
        <w:ind w:left="2552" w:hanging="2552"/>
        <w:rPr>
          <w:rFonts w:cstheme="minorHAnsi"/>
        </w:rPr>
      </w:pPr>
      <w:r w:rsidRPr="009B4E61">
        <w:rPr>
          <w:rFonts w:cstheme="minorHAnsi"/>
        </w:rPr>
        <w:t>ROPD</w:t>
      </w:r>
      <w:r w:rsidRPr="009B4E61">
        <w:rPr>
          <w:rFonts w:cstheme="minorHAnsi"/>
        </w:rPr>
        <w:tab/>
        <w:t>rozhodnutí o poskytnutí dotace</w:t>
      </w:r>
    </w:p>
    <w:p w14:paraId="126F755E" w14:textId="3E73ED9F" w:rsidR="007C584F" w:rsidRDefault="007C584F" w:rsidP="00427E0C">
      <w:pPr>
        <w:keepNext/>
        <w:spacing w:after="60"/>
        <w:ind w:left="2552" w:hanging="2552"/>
      </w:pPr>
      <w:r>
        <w:t>SW</w:t>
      </w:r>
      <w:r>
        <w:tab/>
        <w:t>software</w:t>
      </w:r>
    </w:p>
    <w:p w14:paraId="006FCE66" w14:textId="51A324FC" w:rsidR="00083FD2" w:rsidRPr="009B4E61" w:rsidRDefault="00083FD2" w:rsidP="00427E0C">
      <w:pPr>
        <w:keepNext/>
        <w:spacing w:after="60"/>
        <w:ind w:left="2552" w:hanging="2552"/>
      </w:pPr>
      <w:r>
        <w:t>UV</w:t>
      </w:r>
      <w:r>
        <w:tab/>
        <w:t>usnesení vlády</w:t>
      </w:r>
    </w:p>
    <w:p w14:paraId="022819B0" w14:textId="5A670D3E" w:rsidR="00C16221" w:rsidRPr="009B4E61" w:rsidRDefault="00C16221" w:rsidP="009B4E61"/>
    <w:sectPr w:rsidR="00C16221" w:rsidRPr="009B4E61" w:rsidSect="009B4E61">
      <w:footerReference w:type="defaul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809DB" w16cex:dateUtc="2022-04-18T14:01:00Z"/>
  <w16cex:commentExtensible w16cex:durableId="26080ABF" w16cex:dateUtc="2022-04-18T14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51C3B" w14:textId="77777777" w:rsidR="00FD77C9" w:rsidRDefault="00FD77C9">
      <w:r>
        <w:separator/>
      </w:r>
    </w:p>
  </w:endnote>
  <w:endnote w:type="continuationSeparator" w:id="0">
    <w:p w14:paraId="07058FE7" w14:textId="77777777" w:rsidR="00FD77C9" w:rsidRDefault="00FD77C9">
      <w:r>
        <w:continuationSeparator/>
      </w:r>
    </w:p>
  </w:endnote>
  <w:endnote w:type="continuationNotice" w:id="1">
    <w:p w14:paraId="51F4B4D6" w14:textId="77777777" w:rsidR="00FD77C9" w:rsidRDefault="00FD77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0916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2B6FF1" w14:textId="1D905605" w:rsidR="000F6FFD" w:rsidRDefault="000F6FFD" w:rsidP="00B97398">
        <w:pPr>
          <w:pStyle w:val="Zpat"/>
          <w:jc w:val="center"/>
          <w:rPr>
            <w:noProof/>
          </w:rPr>
        </w:pPr>
        <w:r w:rsidRPr="00634727">
          <w:rPr>
            <w:noProof/>
          </w:rPr>
          <w:fldChar w:fldCharType="begin"/>
        </w:r>
        <w:r w:rsidRPr="00634727">
          <w:rPr>
            <w:noProof/>
          </w:rPr>
          <w:instrText>PAGE   \* MERGEFORMAT</w:instrText>
        </w:r>
        <w:r w:rsidRPr="00634727">
          <w:rPr>
            <w:noProof/>
          </w:rPr>
          <w:fldChar w:fldCharType="separate"/>
        </w:r>
        <w:r>
          <w:rPr>
            <w:noProof/>
          </w:rPr>
          <w:t>18</w:t>
        </w:r>
        <w:r w:rsidRPr="0063472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2EB65" w14:textId="77777777" w:rsidR="00FD77C9" w:rsidRDefault="00FD77C9" w:rsidP="00395345">
      <w:r>
        <w:separator/>
      </w:r>
    </w:p>
  </w:footnote>
  <w:footnote w:type="continuationSeparator" w:id="0">
    <w:p w14:paraId="28D57C05" w14:textId="77777777" w:rsidR="00FD77C9" w:rsidRDefault="00FD77C9" w:rsidP="00395345">
      <w:r>
        <w:continuationSeparator/>
      </w:r>
    </w:p>
  </w:footnote>
  <w:footnote w:type="continuationNotice" w:id="1">
    <w:p w14:paraId="1EE3AA29" w14:textId="77777777" w:rsidR="00FD77C9" w:rsidRDefault="00FD77C9"/>
  </w:footnote>
  <w:footnote w:id="2">
    <w:p w14:paraId="1E1F1D3B" w14:textId="2F3C3C3D" w:rsidR="00F27C4A" w:rsidRDefault="00F27C4A" w:rsidP="00F27C4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Pojem „neinvestiční programy“ je užíván kontrolovanými osobami.</w:t>
      </w:r>
    </w:p>
  </w:footnote>
  <w:footnote w:id="3">
    <w:p w14:paraId="1331F868" w14:textId="48D3EC38" w:rsidR="000F6FFD" w:rsidRPr="00B60964" w:rsidRDefault="000F6FFD" w:rsidP="00B60964">
      <w:p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60964">
        <w:rPr>
          <w:rStyle w:val="Znakapoznpodarou"/>
          <w:rFonts w:ascii="Calibri" w:hAnsi="Calibri" w:cs="Calibri"/>
          <w:sz w:val="20"/>
          <w:szCs w:val="20"/>
        </w:rPr>
        <w:footnoteRef/>
      </w:r>
      <w:r w:rsidRPr="00B60964">
        <w:rPr>
          <w:rFonts w:ascii="Calibri" w:hAnsi="Calibri" w:cs="Calibri"/>
          <w:sz w:val="20"/>
          <w:szCs w:val="20"/>
        </w:rPr>
        <w:t xml:space="preserve"> </w:t>
      </w:r>
      <w:r w:rsidR="00B60964">
        <w:rPr>
          <w:rFonts w:ascii="Calibri" w:hAnsi="Calibri" w:cs="Calibri"/>
          <w:sz w:val="20"/>
          <w:szCs w:val="20"/>
        </w:rPr>
        <w:tab/>
      </w:r>
      <w:r w:rsidRPr="00B60964">
        <w:rPr>
          <w:rFonts w:ascii="Calibri" w:hAnsi="Calibri" w:cs="Calibri"/>
          <w:sz w:val="20"/>
          <w:szCs w:val="20"/>
        </w:rPr>
        <w:t>Zákon č. 218/2000 Sb., o rozpočtových pravidlech a o změně některých souvisejících zákonů (rozpočtová pravidla).</w:t>
      </w:r>
    </w:p>
  </w:footnote>
  <w:footnote w:id="4">
    <w:p w14:paraId="0FA9C955" w14:textId="0519F9BD" w:rsidR="000F6FFD" w:rsidRPr="00B60964" w:rsidRDefault="000F6FFD" w:rsidP="00B60964">
      <w:p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B60964">
        <w:rPr>
          <w:rStyle w:val="Znakapoznpodarou"/>
          <w:rFonts w:ascii="Calibri" w:hAnsi="Calibri" w:cs="Calibri"/>
          <w:sz w:val="20"/>
          <w:szCs w:val="20"/>
        </w:rPr>
        <w:footnoteRef/>
      </w:r>
      <w:r w:rsidRPr="00B60964">
        <w:rPr>
          <w:rFonts w:ascii="Calibri" w:hAnsi="Calibri" w:cs="Calibri"/>
          <w:sz w:val="20"/>
          <w:szCs w:val="20"/>
        </w:rPr>
        <w:t xml:space="preserve"> </w:t>
      </w:r>
      <w:r w:rsidR="00B60964">
        <w:rPr>
          <w:rFonts w:ascii="Calibri" w:hAnsi="Calibri" w:cs="Calibri"/>
          <w:sz w:val="20"/>
          <w:szCs w:val="20"/>
        </w:rPr>
        <w:tab/>
      </w:r>
      <w:r w:rsidRPr="00B60964">
        <w:rPr>
          <w:rFonts w:ascii="Calibri" w:hAnsi="Calibri" w:cs="Calibri"/>
          <w:sz w:val="20"/>
          <w:szCs w:val="20"/>
        </w:rPr>
        <w:t>Zákon č. 320/2001 Sb., o finanční kontrole ve veřejné správě a o změně některých zákonů (zákon o finanční kontrole).</w:t>
      </w:r>
    </w:p>
  </w:footnote>
  <w:footnote w:id="5">
    <w:p w14:paraId="34EE90E1" w14:textId="3CADE85E" w:rsidR="00A60771" w:rsidRDefault="00A60771" w:rsidP="00813EA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 w:rsidR="00813EAB">
        <w:tab/>
      </w:r>
      <w:r>
        <w:t>Usnesení vlády ČR ze dne 24. července 2017 č. 527</w:t>
      </w:r>
      <w:r w:rsidR="00D736DB">
        <w:t>,</w:t>
      </w:r>
      <w:r>
        <w:t xml:space="preserve"> </w:t>
      </w:r>
      <w:r w:rsidRPr="009C7D5E">
        <w:rPr>
          <w:i/>
        </w:rPr>
        <w:t>k návrhu na zřízení dotačních programů za účelem zvýšení ochrany měkkých cílů</w:t>
      </w:r>
      <w:r>
        <w:t>.</w:t>
      </w:r>
    </w:p>
  </w:footnote>
  <w:footnote w:id="6">
    <w:p w14:paraId="53C7752A" w14:textId="55331A06" w:rsidR="000F6FFD" w:rsidRPr="0047402B" w:rsidRDefault="000F6FFD" w:rsidP="00ED199B">
      <w:pPr>
        <w:autoSpaceDE w:val="0"/>
        <w:autoSpaceDN w:val="0"/>
        <w:adjustRightInd w:val="0"/>
        <w:ind w:left="284" w:hanging="284"/>
        <w:jc w:val="both"/>
        <w:rPr>
          <w:rFonts w:eastAsia="Calibri" w:cs="Calibri"/>
          <w:color w:val="000000"/>
          <w:lang w:eastAsia="cs-CZ"/>
        </w:rPr>
      </w:pPr>
      <w:r w:rsidRPr="0047402B">
        <w:rPr>
          <w:rStyle w:val="Znakapoznpodarou"/>
          <w:sz w:val="20"/>
          <w:szCs w:val="20"/>
        </w:rPr>
        <w:footnoteRef/>
      </w:r>
      <w:r w:rsidRPr="0047402B">
        <w:rPr>
          <w:sz w:val="20"/>
          <w:szCs w:val="20"/>
        </w:rPr>
        <w:t xml:space="preserve"> </w:t>
      </w:r>
      <w:r w:rsidR="00ED199B">
        <w:rPr>
          <w:sz w:val="20"/>
          <w:szCs w:val="20"/>
        </w:rPr>
        <w:tab/>
      </w:r>
      <w:r w:rsidRPr="00664C02">
        <w:rPr>
          <w:rFonts w:cs="Calibri"/>
          <w:sz w:val="20"/>
          <w:szCs w:val="20"/>
        </w:rPr>
        <w:t>Usnesení vlády ČR ze dne 22. března 2010 č. 221</w:t>
      </w:r>
      <w:r w:rsidR="00426EC2">
        <w:rPr>
          <w:rFonts w:cs="Calibri"/>
          <w:sz w:val="20"/>
          <w:szCs w:val="20"/>
        </w:rPr>
        <w:t>,</w:t>
      </w:r>
      <w:r w:rsidRPr="00664C02">
        <w:rPr>
          <w:rFonts w:cs="Calibri"/>
          <w:sz w:val="20"/>
          <w:szCs w:val="20"/>
        </w:rPr>
        <w:t xml:space="preserve"> </w:t>
      </w:r>
      <w:r w:rsidRPr="009C7D5E">
        <w:rPr>
          <w:rFonts w:cs="Calibri"/>
          <w:i/>
          <w:sz w:val="20"/>
          <w:szCs w:val="20"/>
        </w:rPr>
        <w:t>o Strategii boje proti terorismu pro léta 2010 až 2012</w:t>
      </w:r>
      <w:r w:rsidRPr="00664C02">
        <w:rPr>
          <w:rFonts w:cs="Calibri"/>
          <w:sz w:val="20"/>
          <w:szCs w:val="20"/>
        </w:rPr>
        <w:t>.</w:t>
      </w:r>
    </w:p>
  </w:footnote>
  <w:footnote w:id="7">
    <w:p w14:paraId="25E69E9B" w14:textId="247A3924" w:rsidR="000F6FFD" w:rsidRPr="00FC6373" w:rsidRDefault="000F6FFD" w:rsidP="00ED199B">
      <w:pPr>
        <w:ind w:left="284" w:hanging="284"/>
        <w:jc w:val="both"/>
      </w:pPr>
      <w:r w:rsidRPr="0047402B">
        <w:rPr>
          <w:rStyle w:val="Znakapoznpodarou"/>
          <w:sz w:val="20"/>
          <w:szCs w:val="20"/>
        </w:rPr>
        <w:footnoteRef/>
      </w:r>
      <w:r w:rsidRPr="0047402B">
        <w:rPr>
          <w:sz w:val="20"/>
          <w:szCs w:val="20"/>
        </w:rPr>
        <w:t xml:space="preserve"> </w:t>
      </w:r>
      <w:r w:rsidR="00ED199B">
        <w:rPr>
          <w:sz w:val="20"/>
          <w:szCs w:val="20"/>
        </w:rPr>
        <w:tab/>
      </w:r>
      <w:r w:rsidRPr="001D6CA8">
        <w:rPr>
          <w:rFonts w:ascii="Calibri" w:eastAsia="Times New Roman" w:hAnsi="Calibri" w:cs="Times New Roman"/>
          <w:sz w:val="20"/>
          <w:szCs w:val="20"/>
        </w:rPr>
        <w:t>Usnesení vlády ČR ze dne 19. dubna 2017 č. 293</w:t>
      </w:r>
      <w:r w:rsidR="00426EC2">
        <w:rPr>
          <w:rFonts w:ascii="Calibri" w:eastAsia="Times New Roman" w:hAnsi="Calibri" w:cs="Times New Roman"/>
          <w:sz w:val="20"/>
          <w:szCs w:val="20"/>
        </w:rPr>
        <w:t>,</w:t>
      </w:r>
      <w:r w:rsidRPr="001D6CA8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9C7D5E">
        <w:rPr>
          <w:rFonts w:ascii="Calibri" w:eastAsia="Times New Roman" w:hAnsi="Calibri" w:cs="Times New Roman"/>
          <w:i/>
          <w:sz w:val="20"/>
          <w:szCs w:val="20"/>
        </w:rPr>
        <w:t>ke Koncepci ochrany měkkých cílů pro roky 2017</w:t>
      </w:r>
      <w:r w:rsidRPr="00426EC2">
        <w:rPr>
          <w:i/>
          <w:iCs/>
          <w:lang w:eastAsia="cs-CZ"/>
        </w:rPr>
        <w:t>–</w:t>
      </w:r>
      <w:r w:rsidRPr="009C7D5E">
        <w:rPr>
          <w:rFonts w:ascii="Calibri" w:eastAsia="Times New Roman" w:hAnsi="Calibri" w:cs="Times New Roman"/>
          <w:i/>
          <w:sz w:val="20"/>
          <w:szCs w:val="20"/>
        </w:rPr>
        <w:t>2020</w:t>
      </w:r>
      <w:r w:rsidRPr="001D6CA8">
        <w:rPr>
          <w:rFonts w:ascii="Calibri" w:eastAsia="Times New Roman" w:hAnsi="Calibri" w:cs="Times New Roman"/>
          <w:sz w:val="20"/>
          <w:szCs w:val="20"/>
        </w:rPr>
        <w:t xml:space="preserve">. </w:t>
      </w:r>
    </w:p>
  </w:footnote>
  <w:footnote w:id="8">
    <w:p w14:paraId="36B30E70" w14:textId="72DB283A" w:rsidR="000F6FFD" w:rsidRPr="00ED199B" w:rsidRDefault="000F6FFD" w:rsidP="00ED199B">
      <w:pPr>
        <w:pStyle w:val="Textpoznpodarou"/>
        <w:ind w:left="284" w:hanging="284"/>
        <w:jc w:val="both"/>
        <w:rPr>
          <w:rFonts w:cs="Calibri"/>
        </w:rPr>
      </w:pPr>
      <w:r w:rsidRPr="00ED199B">
        <w:rPr>
          <w:rStyle w:val="Znakapoznpodarou"/>
          <w:rFonts w:cs="Calibri"/>
        </w:rPr>
        <w:footnoteRef/>
      </w:r>
      <w:r w:rsidRPr="00ED199B">
        <w:rPr>
          <w:rFonts w:cs="Calibri"/>
        </w:rPr>
        <w:t xml:space="preserve"> </w:t>
      </w:r>
      <w:r w:rsidR="00ED199B">
        <w:rPr>
          <w:rFonts w:cs="Calibri"/>
        </w:rPr>
        <w:tab/>
      </w:r>
      <w:r w:rsidRPr="009C7D5E">
        <w:rPr>
          <w:rFonts w:cs="Calibri"/>
          <w:i/>
        </w:rPr>
        <w:t>Zásady pro poskytování dotací ze státního rozpočtu na výdaje realizované v rámci Programu OMCV</w:t>
      </w:r>
      <w:r w:rsidRPr="00ED199B">
        <w:rPr>
          <w:rFonts w:cs="Calibri"/>
        </w:rPr>
        <w:t xml:space="preserve"> (MV), </w:t>
      </w:r>
      <w:r w:rsidRPr="009C7D5E">
        <w:rPr>
          <w:rFonts w:cs="Calibri"/>
          <w:i/>
        </w:rPr>
        <w:t>Program OMCK – Metodika</w:t>
      </w:r>
      <w:r w:rsidRPr="00ED199B">
        <w:rPr>
          <w:rFonts w:cs="Calibri"/>
        </w:rPr>
        <w:t xml:space="preserve"> (MK), </w:t>
      </w:r>
      <w:r w:rsidRPr="009C7D5E">
        <w:rPr>
          <w:rFonts w:cs="Calibri"/>
          <w:i/>
        </w:rPr>
        <w:t>Metodika pro poskytování dotací ze státního rozpočtu na výdaje realizované Programem OMCZ</w:t>
      </w:r>
      <w:r w:rsidRPr="00ED199B">
        <w:rPr>
          <w:rFonts w:cs="Calibri"/>
        </w:rPr>
        <w:t xml:space="preserve"> (</w:t>
      </w:r>
      <w:proofErr w:type="spellStart"/>
      <w:r w:rsidRPr="00ED199B">
        <w:rPr>
          <w:rFonts w:cs="Calibri"/>
        </w:rPr>
        <w:t>MZd</w:t>
      </w:r>
      <w:proofErr w:type="spellEnd"/>
      <w:r w:rsidRPr="00ED199B">
        <w:rPr>
          <w:rFonts w:cs="Calibri"/>
        </w:rPr>
        <w:t>).</w:t>
      </w:r>
    </w:p>
  </w:footnote>
  <w:footnote w:id="9">
    <w:p w14:paraId="7F6FB39E" w14:textId="4961F874" w:rsidR="000F6FFD" w:rsidRPr="00ED199B" w:rsidRDefault="000F6FFD" w:rsidP="00ED199B">
      <w:pPr>
        <w:pStyle w:val="Textpoznpodarou"/>
        <w:ind w:left="284" w:hanging="284"/>
        <w:jc w:val="both"/>
        <w:rPr>
          <w:rFonts w:cs="Calibri"/>
        </w:rPr>
      </w:pPr>
      <w:r w:rsidRPr="00ED199B">
        <w:rPr>
          <w:rStyle w:val="Znakapoznpodarou"/>
          <w:rFonts w:cs="Calibri"/>
        </w:rPr>
        <w:footnoteRef/>
      </w:r>
      <w:r w:rsidRPr="00ED199B">
        <w:rPr>
          <w:rFonts w:cs="Calibri"/>
        </w:rPr>
        <w:t xml:space="preserve"> </w:t>
      </w:r>
      <w:r w:rsidR="00ED199B">
        <w:rPr>
          <w:rFonts w:cs="Calibri"/>
        </w:rPr>
        <w:tab/>
      </w:r>
      <w:r w:rsidRPr="00ED199B">
        <w:rPr>
          <w:rFonts w:cs="Calibri"/>
        </w:rPr>
        <w:t>U podprogramu</w:t>
      </w:r>
      <w:r w:rsidRPr="00ED199B">
        <w:rPr>
          <w:rFonts w:eastAsia="Calibri" w:cs="Calibri"/>
          <w:i/>
        </w:rPr>
        <w:t xml:space="preserve"> Ochrana a zabezpečení škol a školských zařízení jako možných měkkých cílů</w:t>
      </w:r>
      <w:r w:rsidRPr="00ED199B">
        <w:rPr>
          <w:rFonts w:eastAsia="Calibri" w:cs="Calibri"/>
        </w:rPr>
        <w:t xml:space="preserve"> bylo vždy v rámci jednoho projektu podpořeno více objektů (škol a školských zařízení). Např. </w:t>
      </w:r>
      <w:r w:rsidR="001A7B9A">
        <w:rPr>
          <w:rFonts w:eastAsia="Calibri" w:cs="Calibri"/>
        </w:rPr>
        <w:t>h</w:t>
      </w:r>
      <w:r w:rsidRPr="00ED199B">
        <w:rPr>
          <w:rFonts w:eastAsia="Calibri" w:cs="Calibri"/>
        </w:rPr>
        <w:t>lavní město Praha podpořilo v roce 2019 prostřednictvím projektu č.</w:t>
      </w:r>
      <w:r w:rsidRPr="008D4741">
        <w:rPr>
          <w:rFonts w:eastAsia="Calibri" w:cs="Calibri"/>
        </w:rPr>
        <w:t xml:space="preserve"> </w:t>
      </w:r>
      <w:r w:rsidRPr="00ED199B">
        <w:rPr>
          <w:rFonts w:eastAsia="Calibri" w:cs="Calibri"/>
        </w:rPr>
        <w:t>MV</w:t>
      </w:r>
      <w:r w:rsidR="008D4741">
        <w:rPr>
          <w:rFonts w:eastAsia="Calibri" w:cs="Calibri"/>
        </w:rPr>
        <w:t>-</w:t>
      </w:r>
      <w:r w:rsidRPr="00ED199B">
        <w:rPr>
          <w:rFonts w:eastAsia="Calibri" w:cs="Calibri"/>
        </w:rPr>
        <w:t>26471-4/OBP-2019 celkem 65 škol.</w:t>
      </w:r>
    </w:p>
  </w:footnote>
  <w:footnote w:id="10">
    <w:p w14:paraId="42779373" w14:textId="2E6EBA97" w:rsidR="000F6FFD" w:rsidRPr="00ED199B" w:rsidRDefault="000F6FFD" w:rsidP="00ED199B">
      <w:pPr>
        <w:pStyle w:val="Textpoznpodarou"/>
        <w:ind w:left="284" w:hanging="284"/>
        <w:jc w:val="both"/>
        <w:rPr>
          <w:rFonts w:cs="Calibri"/>
        </w:rPr>
      </w:pPr>
      <w:r w:rsidRPr="00ED199B">
        <w:rPr>
          <w:rStyle w:val="Znakapoznpodarou"/>
          <w:rFonts w:cs="Calibri"/>
        </w:rPr>
        <w:footnoteRef/>
      </w:r>
      <w:r w:rsidRPr="00ED199B">
        <w:rPr>
          <w:rFonts w:cs="Calibri"/>
        </w:rPr>
        <w:t xml:space="preserve"> </w:t>
      </w:r>
      <w:r w:rsidR="00ED199B">
        <w:rPr>
          <w:rFonts w:cs="Calibri"/>
        </w:rPr>
        <w:tab/>
      </w:r>
      <w:r w:rsidRPr="00ED199B">
        <w:rPr>
          <w:rFonts w:cs="Calibri"/>
        </w:rPr>
        <w:t>Ustanovení § 39 zákona č. 218/2000 Sb., o rozpočtových pravidlech a o změně některých souvisejících zákonů (rozpočtová pravidla).</w:t>
      </w:r>
    </w:p>
  </w:footnote>
  <w:footnote w:id="11">
    <w:p w14:paraId="0C524F0A" w14:textId="68F909FF" w:rsidR="000F6FFD" w:rsidRPr="00ED199B" w:rsidRDefault="000F6FFD" w:rsidP="00ED199B">
      <w:pPr>
        <w:pStyle w:val="Textpoznpodarou"/>
        <w:ind w:left="284" w:hanging="284"/>
        <w:jc w:val="both"/>
        <w:rPr>
          <w:rFonts w:cs="Calibri"/>
        </w:rPr>
      </w:pPr>
      <w:r w:rsidRPr="00ED199B">
        <w:rPr>
          <w:rStyle w:val="Znakapoznpodarou"/>
          <w:rFonts w:cs="Calibri"/>
        </w:rPr>
        <w:footnoteRef/>
      </w:r>
      <w:r w:rsidRPr="00ED199B">
        <w:rPr>
          <w:rFonts w:cs="Calibri"/>
        </w:rPr>
        <w:t xml:space="preserve"> </w:t>
      </w:r>
      <w:r w:rsidR="00ED199B">
        <w:rPr>
          <w:rFonts w:cs="Calibri"/>
        </w:rPr>
        <w:tab/>
      </w:r>
      <w:r w:rsidRPr="00ED199B">
        <w:rPr>
          <w:rFonts w:cs="Calibri"/>
        </w:rPr>
        <w:t>Pokud je v KZ uveden příklad, kde figuruje kontrolovaná osoba, je uveden název kontrolované osoby. Pokud je uveden příklad projektu vybraného vzorku u poskytovatele dotace, je uvedeno pouze číslo tohoto projektu.</w:t>
      </w:r>
    </w:p>
  </w:footnote>
  <w:footnote w:id="12">
    <w:p w14:paraId="3B1C45AF" w14:textId="2ADF009F" w:rsidR="000F6FFD" w:rsidRPr="00CE0FAB" w:rsidRDefault="000F6FFD" w:rsidP="005B4E20">
      <w:pPr>
        <w:ind w:left="284" w:hanging="284"/>
        <w:jc w:val="both"/>
      </w:pPr>
      <w:r w:rsidRPr="009B4E61">
        <w:rPr>
          <w:rStyle w:val="Znakapoznpodarou"/>
          <w:sz w:val="20"/>
          <w:szCs w:val="20"/>
        </w:rPr>
        <w:footnoteRef/>
      </w:r>
      <w:r w:rsidRPr="009B4E61">
        <w:rPr>
          <w:sz w:val="20"/>
          <w:szCs w:val="20"/>
        </w:rPr>
        <w:t xml:space="preserve"> </w:t>
      </w:r>
      <w:r w:rsidR="005B4E20">
        <w:rPr>
          <w:sz w:val="20"/>
          <w:szCs w:val="20"/>
        </w:rPr>
        <w:tab/>
      </w:r>
      <w:r w:rsidRPr="009B4E61">
        <w:rPr>
          <w:rFonts w:ascii="Calibri" w:eastAsia="Times New Roman" w:hAnsi="Calibri" w:cs="Times New Roman"/>
          <w:sz w:val="20"/>
          <w:szCs w:val="20"/>
        </w:rPr>
        <w:t>Usnesení vlády ČR ze dne 14. prosince 2016 č. 1125</w:t>
      </w:r>
      <w:r w:rsidR="00B13A32">
        <w:rPr>
          <w:rFonts w:ascii="Calibri" w:eastAsia="Times New Roman" w:hAnsi="Calibri" w:cs="Times New Roman"/>
          <w:sz w:val="20"/>
          <w:szCs w:val="20"/>
        </w:rPr>
        <w:t>,</w:t>
      </w:r>
      <w:r w:rsidRPr="009B4E61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F26667">
        <w:rPr>
          <w:rFonts w:ascii="Calibri" w:eastAsia="Times New Roman" w:hAnsi="Calibri" w:cs="Times New Roman"/>
          <w:i/>
          <w:sz w:val="20"/>
          <w:szCs w:val="20"/>
        </w:rPr>
        <w:t>o Auditu národní bezpečnosti</w:t>
      </w:r>
      <w:r w:rsidRPr="009B4E61">
        <w:rPr>
          <w:rFonts w:ascii="Calibri" w:eastAsia="Times New Roman" w:hAnsi="Calibri" w:cs="Times New Roman"/>
          <w:sz w:val="20"/>
          <w:szCs w:val="20"/>
        </w:rPr>
        <w:t>.</w:t>
      </w:r>
    </w:p>
  </w:footnote>
  <w:footnote w:id="13">
    <w:p w14:paraId="06A014C3" w14:textId="2CB19924" w:rsidR="000F6FFD" w:rsidRDefault="000F6FFD" w:rsidP="005B4E20">
      <w:pPr>
        <w:ind w:left="284" w:hanging="284"/>
        <w:jc w:val="both"/>
      </w:pPr>
      <w:r w:rsidRPr="006A7C88">
        <w:rPr>
          <w:rStyle w:val="Znakapoznpodarou"/>
          <w:sz w:val="20"/>
          <w:szCs w:val="20"/>
        </w:rPr>
        <w:footnoteRef/>
      </w:r>
      <w:r w:rsidRPr="006A7C88">
        <w:rPr>
          <w:sz w:val="20"/>
          <w:szCs w:val="20"/>
        </w:rPr>
        <w:t xml:space="preserve"> </w:t>
      </w:r>
      <w:r w:rsidR="005B4E20">
        <w:rPr>
          <w:sz w:val="20"/>
          <w:szCs w:val="20"/>
        </w:rPr>
        <w:tab/>
      </w:r>
      <w:r w:rsidRPr="006A7C88">
        <w:rPr>
          <w:sz w:val="20"/>
          <w:szCs w:val="20"/>
        </w:rPr>
        <w:t xml:space="preserve">Ministerstvo pro lidská práva, rovné příležitosti a legislativu doporučilo MV v </w:t>
      </w:r>
      <w:r w:rsidRPr="006A7C88">
        <w:rPr>
          <w:i/>
          <w:iCs/>
          <w:sz w:val="20"/>
          <w:szCs w:val="20"/>
        </w:rPr>
        <w:t>Návrhu na zřízení dotačních programů za účelem zvýšení ochrany měkkých cílů</w:t>
      </w:r>
      <w:r w:rsidRPr="006A7C88">
        <w:rPr>
          <w:sz w:val="20"/>
          <w:szCs w:val="20"/>
        </w:rPr>
        <w:t xml:space="preserve"> (č. j.: MV-32105-19/OBP-2017) mj. lépe vymezit předmět neinvestičních dotačních programů a cílů, které by dotační program měl přinést, lépe zdůvodnit výši alokovaných finančních prostředků nebo zdůvodnit, proč je nutné zřizovat pět</w:t>
      </w:r>
      <w:r w:rsidR="00637307">
        <w:rPr>
          <w:sz w:val="20"/>
          <w:szCs w:val="20"/>
        </w:rPr>
        <w:t xml:space="preserve"> </w:t>
      </w:r>
      <w:r w:rsidRPr="006A7C88">
        <w:rPr>
          <w:sz w:val="20"/>
          <w:szCs w:val="20"/>
        </w:rPr>
        <w:t xml:space="preserve">dotačních programů na úrovni jednotlivých ministerstev.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520A"/>
    <w:multiLevelType w:val="hybridMultilevel"/>
    <w:tmpl w:val="32F0A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4D64"/>
    <w:multiLevelType w:val="hybridMultilevel"/>
    <w:tmpl w:val="7256A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76F6C"/>
    <w:multiLevelType w:val="hybridMultilevel"/>
    <w:tmpl w:val="BBB25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E6696"/>
    <w:multiLevelType w:val="hybridMultilevel"/>
    <w:tmpl w:val="CFDA65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A22480"/>
    <w:multiLevelType w:val="hybridMultilevel"/>
    <w:tmpl w:val="03D0B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5291"/>
    <w:multiLevelType w:val="multilevel"/>
    <w:tmpl w:val="02607C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9905731"/>
    <w:multiLevelType w:val="hybridMultilevel"/>
    <w:tmpl w:val="DC1A5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C5FD6"/>
    <w:multiLevelType w:val="hybridMultilevel"/>
    <w:tmpl w:val="9DC04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D0909"/>
    <w:multiLevelType w:val="hybridMultilevel"/>
    <w:tmpl w:val="963C17E2"/>
    <w:lvl w:ilvl="0" w:tplc="907EB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68C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C80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60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400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ECE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92F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581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98F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7896B48"/>
    <w:multiLevelType w:val="hybridMultilevel"/>
    <w:tmpl w:val="CA3E59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35D1A"/>
    <w:multiLevelType w:val="hybridMultilevel"/>
    <w:tmpl w:val="E3863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939C8"/>
    <w:multiLevelType w:val="hybridMultilevel"/>
    <w:tmpl w:val="C4F6C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4299D"/>
    <w:multiLevelType w:val="hybridMultilevel"/>
    <w:tmpl w:val="4E2E8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735A1"/>
    <w:multiLevelType w:val="hybridMultilevel"/>
    <w:tmpl w:val="2DA8C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835C2"/>
    <w:multiLevelType w:val="hybridMultilevel"/>
    <w:tmpl w:val="2D72C6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6F7BBA"/>
    <w:multiLevelType w:val="hybridMultilevel"/>
    <w:tmpl w:val="B2A63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F0A8D"/>
    <w:multiLevelType w:val="hybridMultilevel"/>
    <w:tmpl w:val="E6D88060"/>
    <w:lvl w:ilvl="0" w:tplc="7DAE0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52EFE"/>
    <w:multiLevelType w:val="multilevel"/>
    <w:tmpl w:val="F90A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4BC7B19"/>
    <w:multiLevelType w:val="hybridMultilevel"/>
    <w:tmpl w:val="5E52EF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B772F"/>
    <w:multiLevelType w:val="hybridMultilevel"/>
    <w:tmpl w:val="AA9E0726"/>
    <w:lvl w:ilvl="0" w:tplc="9E7C8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050D3"/>
    <w:multiLevelType w:val="hybridMultilevel"/>
    <w:tmpl w:val="C890C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52146"/>
    <w:multiLevelType w:val="hybridMultilevel"/>
    <w:tmpl w:val="6422CBA6"/>
    <w:lvl w:ilvl="0" w:tplc="D2FA804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50F82"/>
    <w:multiLevelType w:val="multilevel"/>
    <w:tmpl w:val="2FFEA7E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2"/>
  </w:num>
  <w:num w:numId="3">
    <w:abstractNumId w:val="19"/>
  </w:num>
  <w:num w:numId="4">
    <w:abstractNumId w:val="6"/>
  </w:num>
  <w:num w:numId="5">
    <w:abstractNumId w:val="20"/>
  </w:num>
  <w:num w:numId="6">
    <w:abstractNumId w:val="1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"/>
  </w:num>
  <w:num w:numId="10">
    <w:abstractNumId w:val="9"/>
  </w:num>
  <w:num w:numId="11">
    <w:abstractNumId w:val="7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"/>
  </w:num>
  <w:num w:numId="23">
    <w:abstractNumId w:val="0"/>
  </w:num>
  <w:num w:numId="24">
    <w:abstractNumId w:val="12"/>
  </w:num>
  <w:num w:numId="25">
    <w:abstractNumId w:val="4"/>
  </w:num>
  <w:num w:numId="26">
    <w:abstractNumId w:val="10"/>
  </w:num>
  <w:num w:numId="27">
    <w:abstractNumId w:val="1"/>
  </w:num>
  <w:num w:numId="28">
    <w:abstractNumId w:val="15"/>
  </w:num>
  <w:num w:numId="29">
    <w:abstractNumId w:val="13"/>
  </w:num>
  <w:num w:numId="30">
    <w:abstractNumId w:val="8"/>
  </w:num>
  <w:num w:numId="31">
    <w:abstractNumId w:val="17"/>
  </w:num>
  <w:num w:numId="32">
    <w:abstractNumId w:val="21"/>
  </w:num>
  <w:num w:numId="33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stylePaneSortMethod w:val="0004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7F"/>
    <w:rsid w:val="00000362"/>
    <w:rsid w:val="00004425"/>
    <w:rsid w:val="0000529B"/>
    <w:rsid w:val="000059A6"/>
    <w:rsid w:val="000060E3"/>
    <w:rsid w:val="00007080"/>
    <w:rsid w:val="00007DFA"/>
    <w:rsid w:val="00010057"/>
    <w:rsid w:val="00010AA1"/>
    <w:rsid w:val="00010C0A"/>
    <w:rsid w:val="00014C50"/>
    <w:rsid w:val="000158DA"/>
    <w:rsid w:val="00016605"/>
    <w:rsid w:val="0001690F"/>
    <w:rsid w:val="00017C25"/>
    <w:rsid w:val="000204A3"/>
    <w:rsid w:val="00020DAD"/>
    <w:rsid w:val="00021547"/>
    <w:rsid w:val="000216F0"/>
    <w:rsid w:val="000217D2"/>
    <w:rsid w:val="0002273A"/>
    <w:rsid w:val="00023819"/>
    <w:rsid w:val="00023C34"/>
    <w:rsid w:val="000251FB"/>
    <w:rsid w:val="000269D3"/>
    <w:rsid w:val="00026EBE"/>
    <w:rsid w:val="00026EDC"/>
    <w:rsid w:val="000306F4"/>
    <w:rsid w:val="00032B77"/>
    <w:rsid w:val="00033208"/>
    <w:rsid w:val="0003481D"/>
    <w:rsid w:val="0003761C"/>
    <w:rsid w:val="000378F5"/>
    <w:rsid w:val="00040174"/>
    <w:rsid w:val="0004099B"/>
    <w:rsid w:val="0004193A"/>
    <w:rsid w:val="000439C2"/>
    <w:rsid w:val="00043FD7"/>
    <w:rsid w:val="00045100"/>
    <w:rsid w:val="00045227"/>
    <w:rsid w:val="000458B8"/>
    <w:rsid w:val="00046A13"/>
    <w:rsid w:val="00046C27"/>
    <w:rsid w:val="00047220"/>
    <w:rsid w:val="000473B9"/>
    <w:rsid w:val="00047479"/>
    <w:rsid w:val="0005163E"/>
    <w:rsid w:val="00051A02"/>
    <w:rsid w:val="0005244C"/>
    <w:rsid w:val="00052E98"/>
    <w:rsid w:val="00053227"/>
    <w:rsid w:val="000552AD"/>
    <w:rsid w:val="00055860"/>
    <w:rsid w:val="000567DA"/>
    <w:rsid w:val="00056C9E"/>
    <w:rsid w:val="00056FAA"/>
    <w:rsid w:val="00061085"/>
    <w:rsid w:val="00063059"/>
    <w:rsid w:val="00063307"/>
    <w:rsid w:val="0006537B"/>
    <w:rsid w:val="00065C40"/>
    <w:rsid w:val="00066536"/>
    <w:rsid w:val="00067180"/>
    <w:rsid w:val="000719A4"/>
    <w:rsid w:val="0007391F"/>
    <w:rsid w:val="00074225"/>
    <w:rsid w:val="00074DAE"/>
    <w:rsid w:val="00074EB9"/>
    <w:rsid w:val="0007520C"/>
    <w:rsid w:val="0008131C"/>
    <w:rsid w:val="0008156D"/>
    <w:rsid w:val="000820FB"/>
    <w:rsid w:val="00082327"/>
    <w:rsid w:val="00083FD2"/>
    <w:rsid w:val="000845DB"/>
    <w:rsid w:val="000848F6"/>
    <w:rsid w:val="00084B6A"/>
    <w:rsid w:val="00084DD4"/>
    <w:rsid w:val="00085B96"/>
    <w:rsid w:val="00085EC7"/>
    <w:rsid w:val="00087C29"/>
    <w:rsid w:val="00087E22"/>
    <w:rsid w:val="00091BF7"/>
    <w:rsid w:val="00093C09"/>
    <w:rsid w:val="00093E77"/>
    <w:rsid w:val="00094330"/>
    <w:rsid w:val="00094A67"/>
    <w:rsid w:val="00095089"/>
    <w:rsid w:val="00095A42"/>
    <w:rsid w:val="0009686B"/>
    <w:rsid w:val="00097348"/>
    <w:rsid w:val="0009747B"/>
    <w:rsid w:val="00097E2E"/>
    <w:rsid w:val="000A045B"/>
    <w:rsid w:val="000A091A"/>
    <w:rsid w:val="000A0D9D"/>
    <w:rsid w:val="000A197D"/>
    <w:rsid w:val="000A2794"/>
    <w:rsid w:val="000A3C84"/>
    <w:rsid w:val="000A3E24"/>
    <w:rsid w:val="000A4880"/>
    <w:rsid w:val="000A4A6F"/>
    <w:rsid w:val="000A57EB"/>
    <w:rsid w:val="000A6D10"/>
    <w:rsid w:val="000A760A"/>
    <w:rsid w:val="000B138C"/>
    <w:rsid w:val="000B2196"/>
    <w:rsid w:val="000B2421"/>
    <w:rsid w:val="000B2534"/>
    <w:rsid w:val="000B2852"/>
    <w:rsid w:val="000B5FC0"/>
    <w:rsid w:val="000B680E"/>
    <w:rsid w:val="000B6929"/>
    <w:rsid w:val="000B6A3C"/>
    <w:rsid w:val="000B70EB"/>
    <w:rsid w:val="000B71BD"/>
    <w:rsid w:val="000C09C2"/>
    <w:rsid w:val="000C1472"/>
    <w:rsid w:val="000C324F"/>
    <w:rsid w:val="000C3939"/>
    <w:rsid w:val="000C5862"/>
    <w:rsid w:val="000C5887"/>
    <w:rsid w:val="000C66E9"/>
    <w:rsid w:val="000C6C4A"/>
    <w:rsid w:val="000C7B4D"/>
    <w:rsid w:val="000D00C3"/>
    <w:rsid w:val="000D11EB"/>
    <w:rsid w:val="000D1C85"/>
    <w:rsid w:val="000D378E"/>
    <w:rsid w:val="000D4791"/>
    <w:rsid w:val="000D4C56"/>
    <w:rsid w:val="000D4FC4"/>
    <w:rsid w:val="000D5BFA"/>
    <w:rsid w:val="000D5EFC"/>
    <w:rsid w:val="000D6452"/>
    <w:rsid w:val="000D779D"/>
    <w:rsid w:val="000E02F0"/>
    <w:rsid w:val="000E0335"/>
    <w:rsid w:val="000E1713"/>
    <w:rsid w:val="000E3151"/>
    <w:rsid w:val="000E701A"/>
    <w:rsid w:val="000E7E67"/>
    <w:rsid w:val="000F1618"/>
    <w:rsid w:val="000F4668"/>
    <w:rsid w:val="000F468E"/>
    <w:rsid w:val="000F4C02"/>
    <w:rsid w:val="000F6FFD"/>
    <w:rsid w:val="000F7163"/>
    <w:rsid w:val="000F7CEB"/>
    <w:rsid w:val="00101A79"/>
    <w:rsid w:val="001032E7"/>
    <w:rsid w:val="001037A4"/>
    <w:rsid w:val="00103F25"/>
    <w:rsid w:val="001048DA"/>
    <w:rsid w:val="00104AD8"/>
    <w:rsid w:val="00104EB8"/>
    <w:rsid w:val="001058AC"/>
    <w:rsid w:val="00110E8E"/>
    <w:rsid w:val="0011199F"/>
    <w:rsid w:val="00112686"/>
    <w:rsid w:val="00114310"/>
    <w:rsid w:val="00117BC1"/>
    <w:rsid w:val="0012055C"/>
    <w:rsid w:val="00120A86"/>
    <w:rsid w:val="001221E0"/>
    <w:rsid w:val="001234CD"/>
    <w:rsid w:val="00123FD7"/>
    <w:rsid w:val="00125324"/>
    <w:rsid w:val="00126103"/>
    <w:rsid w:val="0012784D"/>
    <w:rsid w:val="001310AA"/>
    <w:rsid w:val="00135792"/>
    <w:rsid w:val="0013699B"/>
    <w:rsid w:val="0013757E"/>
    <w:rsid w:val="00137B4A"/>
    <w:rsid w:val="0014008E"/>
    <w:rsid w:val="00140D32"/>
    <w:rsid w:val="00141703"/>
    <w:rsid w:val="00141AB2"/>
    <w:rsid w:val="00145E4E"/>
    <w:rsid w:val="001470BF"/>
    <w:rsid w:val="00150C72"/>
    <w:rsid w:val="00151455"/>
    <w:rsid w:val="00151DF7"/>
    <w:rsid w:val="00151E23"/>
    <w:rsid w:val="00152C6B"/>
    <w:rsid w:val="00153160"/>
    <w:rsid w:val="001550C9"/>
    <w:rsid w:val="00155568"/>
    <w:rsid w:val="00157A27"/>
    <w:rsid w:val="00157DAB"/>
    <w:rsid w:val="00160758"/>
    <w:rsid w:val="00164B22"/>
    <w:rsid w:val="001675D1"/>
    <w:rsid w:val="00173439"/>
    <w:rsid w:val="00173738"/>
    <w:rsid w:val="0017430D"/>
    <w:rsid w:val="00174B19"/>
    <w:rsid w:val="001757EC"/>
    <w:rsid w:val="00177B22"/>
    <w:rsid w:val="00177B81"/>
    <w:rsid w:val="00181E60"/>
    <w:rsid w:val="00182DE9"/>
    <w:rsid w:val="0018328E"/>
    <w:rsid w:val="00183DF0"/>
    <w:rsid w:val="00187950"/>
    <w:rsid w:val="00190D5A"/>
    <w:rsid w:val="001916E4"/>
    <w:rsid w:val="001928EB"/>
    <w:rsid w:val="0019432A"/>
    <w:rsid w:val="001943BB"/>
    <w:rsid w:val="001961C7"/>
    <w:rsid w:val="00196202"/>
    <w:rsid w:val="001968F3"/>
    <w:rsid w:val="00196AB6"/>
    <w:rsid w:val="00196D18"/>
    <w:rsid w:val="00196EE9"/>
    <w:rsid w:val="0019799D"/>
    <w:rsid w:val="001A0F9E"/>
    <w:rsid w:val="001A1B32"/>
    <w:rsid w:val="001A4499"/>
    <w:rsid w:val="001A523D"/>
    <w:rsid w:val="001A562E"/>
    <w:rsid w:val="001A607E"/>
    <w:rsid w:val="001A7B9A"/>
    <w:rsid w:val="001B139C"/>
    <w:rsid w:val="001B1D79"/>
    <w:rsid w:val="001B235C"/>
    <w:rsid w:val="001B3010"/>
    <w:rsid w:val="001B5516"/>
    <w:rsid w:val="001B68D7"/>
    <w:rsid w:val="001C1A3E"/>
    <w:rsid w:val="001C1CDE"/>
    <w:rsid w:val="001C2CAB"/>
    <w:rsid w:val="001C2EA6"/>
    <w:rsid w:val="001C4455"/>
    <w:rsid w:val="001C4FA1"/>
    <w:rsid w:val="001C6BCE"/>
    <w:rsid w:val="001C6C23"/>
    <w:rsid w:val="001D0F89"/>
    <w:rsid w:val="001D137C"/>
    <w:rsid w:val="001D14FE"/>
    <w:rsid w:val="001D2E2B"/>
    <w:rsid w:val="001D361E"/>
    <w:rsid w:val="001D5B02"/>
    <w:rsid w:val="001D5CD3"/>
    <w:rsid w:val="001D6878"/>
    <w:rsid w:val="001D7D46"/>
    <w:rsid w:val="001E03AD"/>
    <w:rsid w:val="001E1B58"/>
    <w:rsid w:val="001E1C22"/>
    <w:rsid w:val="001E39E0"/>
    <w:rsid w:val="001E5F92"/>
    <w:rsid w:val="001F0CCF"/>
    <w:rsid w:val="001F16E9"/>
    <w:rsid w:val="001F3097"/>
    <w:rsid w:val="001F3997"/>
    <w:rsid w:val="001F47D6"/>
    <w:rsid w:val="001F632A"/>
    <w:rsid w:val="001F7EF5"/>
    <w:rsid w:val="00200A43"/>
    <w:rsid w:val="0020107A"/>
    <w:rsid w:val="00202612"/>
    <w:rsid w:val="00203504"/>
    <w:rsid w:val="002038DB"/>
    <w:rsid w:val="00203EF7"/>
    <w:rsid w:val="00205D75"/>
    <w:rsid w:val="00205F6E"/>
    <w:rsid w:val="002061F5"/>
    <w:rsid w:val="002067B3"/>
    <w:rsid w:val="00213052"/>
    <w:rsid w:val="00213D2C"/>
    <w:rsid w:val="00214306"/>
    <w:rsid w:val="00220146"/>
    <w:rsid w:val="00220CE8"/>
    <w:rsid w:val="00221508"/>
    <w:rsid w:val="00221B3C"/>
    <w:rsid w:val="00221EE7"/>
    <w:rsid w:val="00222237"/>
    <w:rsid w:val="00223888"/>
    <w:rsid w:val="0022403A"/>
    <w:rsid w:val="00224168"/>
    <w:rsid w:val="002266F7"/>
    <w:rsid w:val="002278D3"/>
    <w:rsid w:val="00230DF1"/>
    <w:rsid w:val="0023328E"/>
    <w:rsid w:val="00234C19"/>
    <w:rsid w:val="002350E3"/>
    <w:rsid w:val="00235501"/>
    <w:rsid w:val="00237104"/>
    <w:rsid w:val="00237472"/>
    <w:rsid w:val="002379DC"/>
    <w:rsid w:val="00237D3D"/>
    <w:rsid w:val="00240256"/>
    <w:rsid w:val="0024213D"/>
    <w:rsid w:val="0024350A"/>
    <w:rsid w:val="0024398F"/>
    <w:rsid w:val="00244917"/>
    <w:rsid w:val="002455B3"/>
    <w:rsid w:val="0024598A"/>
    <w:rsid w:val="00247590"/>
    <w:rsid w:val="00247673"/>
    <w:rsid w:val="00251CF2"/>
    <w:rsid w:val="0025238E"/>
    <w:rsid w:val="002528F7"/>
    <w:rsid w:val="00252B25"/>
    <w:rsid w:val="00252D84"/>
    <w:rsid w:val="0025464D"/>
    <w:rsid w:val="00254A83"/>
    <w:rsid w:val="00255223"/>
    <w:rsid w:val="002558D2"/>
    <w:rsid w:val="00257488"/>
    <w:rsid w:val="00260EC7"/>
    <w:rsid w:val="00264C7B"/>
    <w:rsid w:val="00265C01"/>
    <w:rsid w:val="00266375"/>
    <w:rsid w:val="0026645E"/>
    <w:rsid w:val="00267CDE"/>
    <w:rsid w:val="00270731"/>
    <w:rsid w:val="00273768"/>
    <w:rsid w:val="00274061"/>
    <w:rsid w:val="00274195"/>
    <w:rsid w:val="00274557"/>
    <w:rsid w:val="00275C8E"/>
    <w:rsid w:val="00276941"/>
    <w:rsid w:val="00276A26"/>
    <w:rsid w:val="00276CB2"/>
    <w:rsid w:val="00276CDE"/>
    <w:rsid w:val="00276F4B"/>
    <w:rsid w:val="002774DC"/>
    <w:rsid w:val="00277BD1"/>
    <w:rsid w:val="002800BB"/>
    <w:rsid w:val="002821A7"/>
    <w:rsid w:val="00283265"/>
    <w:rsid w:val="00283F57"/>
    <w:rsid w:val="00284425"/>
    <w:rsid w:val="00284692"/>
    <w:rsid w:val="00286176"/>
    <w:rsid w:val="00287DB7"/>
    <w:rsid w:val="00292CCA"/>
    <w:rsid w:val="00293599"/>
    <w:rsid w:val="002936DC"/>
    <w:rsid w:val="00293A61"/>
    <w:rsid w:val="002949D7"/>
    <w:rsid w:val="00295152"/>
    <w:rsid w:val="0029679D"/>
    <w:rsid w:val="00296E64"/>
    <w:rsid w:val="002A0096"/>
    <w:rsid w:val="002A18E0"/>
    <w:rsid w:val="002A1A4B"/>
    <w:rsid w:val="002A51B9"/>
    <w:rsid w:val="002A57EF"/>
    <w:rsid w:val="002A7059"/>
    <w:rsid w:val="002A7A29"/>
    <w:rsid w:val="002B1E91"/>
    <w:rsid w:val="002B269F"/>
    <w:rsid w:val="002B3CC9"/>
    <w:rsid w:val="002B4681"/>
    <w:rsid w:val="002B50C8"/>
    <w:rsid w:val="002B5DF8"/>
    <w:rsid w:val="002B6249"/>
    <w:rsid w:val="002C3A5A"/>
    <w:rsid w:val="002C3DCC"/>
    <w:rsid w:val="002C4286"/>
    <w:rsid w:val="002C4DEC"/>
    <w:rsid w:val="002C4E4B"/>
    <w:rsid w:val="002C56AE"/>
    <w:rsid w:val="002C581D"/>
    <w:rsid w:val="002C5AA5"/>
    <w:rsid w:val="002C76A1"/>
    <w:rsid w:val="002D0794"/>
    <w:rsid w:val="002D08A2"/>
    <w:rsid w:val="002D24A0"/>
    <w:rsid w:val="002D2F9B"/>
    <w:rsid w:val="002D363C"/>
    <w:rsid w:val="002D475B"/>
    <w:rsid w:val="002D53E8"/>
    <w:rsid w:val="002D62D5"/>
    <w:rsid w:val="002D6B5B"/>
    <w:rsid w:val="002E15D7"/>
    <w:rsid w:val="002E2343"/>
    <w:rsid w:val="002E25BB"/>
    <w:rsid w:val="002E4784"/>
    <w:rsid w:val="002E4F0C"/>
    <w:rsid w:val="002E5D55"/>
    <w:rsid w:val="002E6158"/>
    <w:rsid w:val="002E7031"/>
    <w:rsid w:val="002E76CD"/>
    <w:rsid w:val="002E7ECE"/>
    <w:rsid w:val="002F4014"/>
    <w:rsid w:val="002F419E"/>
    <w:rsid w:val="002F469A"/>
    <w:rsid w:val="002F4A9C"/>
    <w:rsid w:val="002F6F5A"/>
    <w:rsid w:val="002F712A"/>
    <w:rsid w:val="002F798E"/>
    <w:rsid w:val="003002B9"/>
    <w:rsid w:val="0030136F"/>
    <w:rsid w:val="003014AE"/>
    <w:rsid w:val="003022AD"/>
    <w:rsid w:val="00302D22"/>
    <w:rsid w:val="00303694"/>
    <w:rsid w:val="00303B5C"/>
    <w:rsid w:val="00304182"/>
    <w:rsid w:val="00305600"/>
    <w:rsid w:val="00305CA9"/>
    <w:rsid w:val="00306F9A"/>
    <w:rsid w:val="00310422"/>
    <w:rsid w:val="003109D4"/>
    <w:rsid w:val="00310D05"/>
    <w:rsid w:val="003110DE"/>
    <w:rsid w:val="00311A0C"/>
    <w:rsid w:val="00311A2D"/>
    <w:rsid w:val="00311B3A"/>
    <w:rsid w:val="0031201B"/>
    <w:rsid w:val="00313B59"/>
    <w:rsid w:val="00314343"/>
    <w:rsid w:val="0031517A"/>
    <w:rsid w:val="0031665A"/>
    <w:rsid w:val="003168F8"/>
    <w:rsid w:val="00320238"/>
    <w:rsid w:val="003202EB"/>
    <w:rsid w:val="00320837"/>
    <w:rsid w:val="00320960"/>
    <w:rsid w:val="00320DF7"/>
    <w:rsid w:val="003235CF"/>
    <w:rsid w:val="0032360A"/>
    <w:rsid w:val="0032424D"/>
    <w:rsid w:val="00324412"/>
    <w:rsid w:val="00324C2A"/>
    <w:rsid w:val="003251A1"/>
    <w:rsid w:val="003257AF"/>
    <w:rsid w:val="00326624"/>
    <w:rsid w:val="0032772A"/>
    <w:rsid w:val="0032787F"/>
    <w:rsid w:val="00330A23"/>
    <w:rsid w:val="00330D8A"/>
    <w:rsid w:val="00331BD9"/>
    <w:rsid w:val="0033223F"/>
    <w:rsid w:val="00332F53"/>
    <w:rsid w:val="003345B3"/>
    <w:rsid w:val="00336145"/>
    <w:rsid w:val="00336576"/>
    <w:rsid w:val="003377C0"/>
    <w:rsid w:val="00337EEE"/>
    <w:rsid w:val="003409F2"/>
    <w:rsid w:val="00341B85"/>
    <w:rsid w:val="00342337"/>
    <w:rsid w:val="0034283B"/>
    <w:rsid w:val="0034301B"/>
    <w:rsid w:val="00343169"/>
    <w:rsid w:val="00343815"/>
    <w:rsid w:val="0034463B"/>
    <w:rsid w:val="00344891"/>
    <w:rsid w:val="003452B7"/>
    <w:rsid w:val="00345759"/>
    <w:rsid w:val="003458EC"/>
    <w:rsid w:val="003459C7"/>
    <w:rsid w:val="00345A29"/>
    <w:rsid w:val="00347E6E"/>
    <w:rsid w:val="00353DEA"/>
    <w:rsid w:val="0035681B"/>
    <w:rsid w:val="00356921"/>
    <w:rsid w:val="00356927"/>
    <w:rsid w:val="00361054"/>
    <w:rsid w:val="00361943"/>
    <w:rsid w:val="0036324B"/>
    <w:rsid w:val="00364124"/>
    <w:rsid w:val="003641A7"/>
    <w:rsid w:val="00364754"/>
    <w:rsid w:val="0036490F"/>
    <w:rsid w:val="00365B48"/>
    <w:rsid w:val="00365C78"/>
    <w:rsid w:val="00365C9F"/>
    <w:rsid w:val="00366B32"/>
    <w:rsid w:val="00367D6C"/>
    <w:rsid w:val="00367E2A"/>
    <w:rsid w:val="00370723"/>
    <w:rsid w:val="00371C0C"/>
    <w:rsid w:val="00373EAA"/>
    <w:rsid w:val="003742A5"/>
    <w:rsid w:val="00375E15"/>
    <w:rsid w:val="00376A96"/>
    <w:rsid w:val="00377AAD"/>
    <w:rsid w:val="00383977"/>
    <w:rsid w:val="003864E7"/>
    <w:rsid w:val="00386619"/>
    <w:rsid w:val="00387889"/>
    <w:rsid w:val="0039049D"/>
    <w:rsid w:val="00390878"/>
    <w:rsid w:val="003917E8"/>
    <w:rsid w:val="00392786"/>
    <w:rsid w:val="0039364D"/>
    <w:rsid w:val="003940F4"/>
    <w:rsid w:val="00395345"/>
    <w:rsid w:val="003958F9"/>
    <w:rsid w:val="00397A6E"/>
    <w:rsid w:val="003A1618"/>
    <w:rsid w:val="003A2565"/>
    <w:rsid w:val="003A2CCC"/>
    <w:rsid w:val="003A5DFC"/>
    <w:rsid w:val="003B1185"/>
    <w:rsid w:val="003B13B2"/>
    <w:rsid w:val="003B271C"/>
    <w:rsid w:val="003B3891"/>
    <w:rsid w:val="003B3BE1"/>
    <w:rsid w:val="003B3E19"/>
    <w:rsid w:val="003B5E81"/>
    <w:rsid w:val="003B7709"/>
    <w:rsid w:val="003C0294"/>
    <w:rsid w:val="003C19E7"/>
    <w:rsid w:val="003C1BFE"/>
    <w:rsid w:val="003C2803"/>
    <w:rsid w:val="003C4CE2"/>
    <w:rsid w:val="003C4F9F"/>
    <w:rsid w:val="003C5FF9"/>
    <w:rsid w:val="003C6742"/>
    <w:rsid w:val="003C7F5A"/>
    <w:rsid w:val="003D0B89"/>
    <w:rsid w:val="003D10F8"/>
    <w:rsid w:val="003D1A93"/>
    <w:rsid w:val="003D24DD"/>
    <w:rsid w:val="003D30F6"/>
    <w:rsid w:val="003D312E"/>
    <w:rsid w:val="003D407D"/>
    <w:rsid w:val="003D45A2"/>
    <w:rsid w:val="003D52A5"/>
    <w:rsid w:val="003D5424"/>
    <w:rsid w:val="003D6B89"/>
    <w:rsid w:val="003D7610"/>
    <w:rsid w:val="003D7B50"/>
    <w:rsid w:val="003E09C2"/>
    <w:rsid w:val="003E26B9"/>
    <w:rsid w:val="003E28D1"/>
    <w:rsid w:val="003E41DF"/>
    <w:rsid w:val="003E45CF"/>
    <w:rsid w:val="003E6549"/>
    <w:rsid w:val="003E6FBB"/>
    <w:rsid w:val="003F27B2"/>
    <w:rsid w:val="003F30D7"/>
    <w:rsid w:val="003F32D6"/>
    <w:rsid w:val="003F437D"/>
    <w:rsid w:val="003F4DEC"/>
    <w:rsid w:val="004009F6"/>
    <w:rsid w:val="00400A35"/>
    <w:rsid w:val="00400B91"/>
    <w:rsid w:val="004041AD"/>
    <w:rsid w:val="00404ECB"/>
    <w:rsid w:val="0040531A"/>
    <w:rsid w:val="00405914"/>
    <w:rsid w:val="00406053"/>
    <w:rsid w:val="0040654D"/>
    <w:rsid w:val="00406903"/>
    <w:rsid w:val="00406DD4"/>
    <w:rsid w:val="0041059D"/>
    <w:rsid w:val="00411BDD"/>
    <w:rsid w:val="00412A92"/>
    <w:rsid w:val="004130D4"/>
    <w:rsid w:val="00414CA1"/>
    <w:rsid w:val="00415F0D"/>
    <w:rsid w:val="0041659C"/>
    <w:rsid w:val="00416CE8"/>
    <w:rsid w:val="00416D65"/>
    <w:rsid w:val="00417F6D"/>
    <w:rsid w:val="004200B5"/>
    <w:rsid w:val="00420956"/>
    <w:rsid w:val="00422B80"/>
    <w:rsid w:val="0042432D"/>
    <w:rsid w:val="004251AE"/>
    <w:rsid w:val="004258BE"/>
    <w:rsid w:val="0042671B"/>
    <w:rsid w:val="00426EC2"/>
    <w:rsid w:val="00427580"/>
    <w:rsid w:val="00427E0C"/>
    <w:rsid w:val="00430DB5"/>
    <w:rsid w:val="004314A7"/>
    <w:rsid w:val="0043287F"/>
    <w:rsid w:val="00432D12"/>
    <w:rsid w:val="00433D74"/>
    <w:rsid w:val="004340A5"/>
    <w:rsid w:val="00434427"/>
    <w:rsid w:val="00435AFD"/>
    <w:rsid w:val="004362A7"/>
    <w:rsid w:val="00436C77"/>
    <w:rsid w:val="00436FEE"/>
    <w:rsid w:val="00440268"/>
    <w:rsid w:val="00441053"/>
    <w:rsid w:val="004421AA"/>
    <w:rsid w:val="004429BE"/>
    <w:rsid w:val="00443953"/>
    <w:rsid w:val="00443C77"/>
    <w:rsid w:val="0044409D"/>
    <w:rsid w:val="00444690"/>
    <w:rsid w:val="00446E1A"/>
    <w:rsid w:val="00447C9B"/>
    <w:rsid w:val="00450884"/>
    <w:rsid w:val="00451060"/>
    <w:rsid w:val="00451F26"/>
    <w:rsid w:val="0045237C"/>
    <w:rsid w:val="004529E2"/>
    <w:rsid w:val="00454E9B"/>
    <w:rsid w:val="00455F2C"/>
    <w:rsid w:val="00460673"/>
    <w:rsid w:val="00463260"/>
    <w:rsid w:val="0046666D"/>
    <w:rsid w:val="00466E6F"/>
    <w:rsid w:val="00470C47"/>
    <w:rsid w:val="00475099"/>
    <w:rsid w:val="00475736"/>
    <w:rsid w:val="00476151"/>
    <w:rsid w:val="00480524"/>
    <w:rsid w:val="004815C8"/>
    <w:rsid w:val="00481BF7"/>
    <w:rsid w:val="00481FC1"/>
    <w:rsid w:val="004823F3"/>
    <w:rsid w:val="00483369"/>
    <w:rsid w:val="0048423D"/>
    <w:rsid w:val="00485A08"/>
    <w:rsid w:val="0048600A"/>
    <w:rsid w:val="004867C7"/>
    <w:rsid w:val="00486A42"/>
    <w:rsid w:val="00487360"/>
    <w:rsid w:val="004902A1"/>
    <w:rsid w:val="00490999"/>
    <w:rsid w:val="00490E12"/>
    <w:rsid w:val="00490E2F"/>
    <w:rsid w:val="0049133A"/>
    <w:rsid w:val="00491A48"/>
    <w:rsid w:val="0049207C"/>
    <w:rsid w:val="004926DF"/>
    <w:rsid w:val="00493B5E"/>
    <w:rsid w:val="00493B8E"/>
    <w:rsid w:val="004942E0"/>
    <w:rsid w:val="004950B4"/>
    <w:rsid w:val="00495767"/>
    <w:rsid w:val="00497092"/>
    <w:rsid w:val="00497D8F"/>
    <w:rsid w:val="004A08AB"/>
    <w:rsid w:val="004A0B13"/>
    <w:rsid w:val="004A13FE"/>
    <w:rsid w:val="004A3617"/>
    <w:rsid w:val="004A3746"/>
    <w:rsid w:val="004A4835"/>
    <w:rsid w:val="004A486C"/>
    <w:rsid w:val="004A5328"/>
    <w:rsid w:val="004A5839"/>
    <w:rsid w:val="004A6B1A"/>
    <w:rsid w:val="004A7224"/>
    <w:rsid w:val="004A7B35"/>
    <w:rsid w:val="004A7DCD"/>
    <w:rsid w:val="004B10BF"/>
    <w:rsid w:val="004B19F7"/>
    <w:rsid w:val="004B2F43"/>
    <w:rsid w:val="004B5277"/>
    <w:rsid w:val="004C2DEB"/>
    <w:rsid w:val="004C3251"/>
    <w:rsid w:val="004C3B11"/>
    <w:rsid w:val="004C5638"/>
    <w:rsid w:val="004D08BC"/>
    <w:rsid w:val="004D2145"/>
    <w:rsid w:val="004D2926"/>
    <w:rsid w:val="004D3298"/>
    <w:rsid w:val="004D484D"/>
    <w:rsid w:val="004D623A"/>
    <w:rsid w:val="004D651E"/>
    <w:rsid w:val="004E0D4E"/>
    <w:rsid w:val="004E11D5"/>
    <w:rsid w:val="004E2068"/>
    <w:rsid w:val="004E3825"/>
    <w:rsid w:val="004E68A7"/>
    <w:rsid w:val="004E7288"/>
    <w:rsid w:val="004F0599"/>
    <w:rsid w:val="004F2037"/>
    <w:rsid w:val="004F2D20"/>
    <w:rsid w:val="004F3E1C"/>
    <w:rsid w:val="004F546F"/>
    <w:rsid w:val="004F7C3E"/>
    <w:rsid w:val="005007B0"/>
    <w:rsid w:val="00500B56"/>
    <w:rsid w:val="00500F46"/>
    <w:rsid w:val="005015C4"/>
    <w:rsid w:val="00501FCB"/>
    <w:rsid w:val="00503723"/>
    <w:rsid w:val="0050446F"/>
    <w:rsid w:val="005046A5"/>
    <w:rsid w:val="005060F2"/>
    <w:rsid w:val="00506CE4"/>
    <w:rsid w:val="00507CCB"/>
    <w:rsid w:val="00511C34"/>
    <w:rsid w:val="00512139"/>
    <w:rsid w:val="00512190"/>
    <w:rsid w:val="00514ED1"/>
    <w:rsid w:val="005240FD"/>
    <w:rsid w:val="0052454A"/>
    <w:rsid w:val="00524BE3"/>
    <w:rsid w:val="00524CE3"/>
    <w:rsid w:val="005264A9"/>
    <w:rsid w:val="00527651"/>
    <w:rsid w:val="00530293"/>
    <w:rsid w:val="005321AC"/>
    <w:rsid w:val="00534234"/>
    <w:rsid w:val="00535087"/>
    <w:rsid w:val="005354DE"/>
    <w:rsid w:val="00535E18"/>
    <w:rsid w:val="00536530"/>
    <w:rsid w:val="005400DB"/>
    <w:rsid w:val="005414EB"/>
    <w:rsid w:val="005417E6"/>
    <w:rsid w:val="00543A1B"/>
    <w:rsid w:val="00544546"/>
    <w:rsid w:val="00544F90"/>
    <w:rsid w:val="00545E41"/>
    <w:rsid w:val="00546915"/>
    <w:rsid w:val="00546AF1"/>
    <w:rsid w:val="00552306"/>
    <w:rsid w:val="00552D02"/>
    <w:rsid w:val="005530F8"/>
    <w:rsid w:val="005545A1"/>
    <w:rsid w:val="00557221"/>
    <w:rsid w:val="005602AD"/>
    <w:rsid w:val="00561982"/>
    <w:rsid w:val="00562989"/>
    <w:rsid w:val="0056314C"/>
    <w:rsid w:val="005631FC"/>
    <w:rsid w:val="005636DB"/>
    <w:rsid w:val="005643BB"/>
    <w:rsid w:val="00564B22"/>
    <w:rsid w:val="00564EEB"/>
    <w:rsid w:val="00565F57"/>
    <w:rsid w:val="00567108"/>
    <w:rsid w:val="00567FD6"/>
    <w:rsid w:val="00571ABE"/>
    <w:rsid w:val="00572D07"/>
    <w:rsid w:val="00573CE1"/>
    <w:rsid w:val="0057590A"/>
    <w:rsid w:val="00576D1E"/>
    <w:rsid w:val="00576ED6"/>
    <w:rsid w:val="0057761E"/>
    <w:rsid w:val="00580C83"/>
    <w:rsid w:val="00582EFB"/>
    <w:rsid w:val="005844FD"/>
    <w:rsid w:val="005852A3"/>
    <w:rsid w:val="005853CD"/>
    <w:rsid w:val="005865E2"/>
    <w:rsid w:val="00592052"/>
    <w:rsid w:val="00594881"/>
    <w:rsid w:val="00595218"/>
    <w:rsid w:val="00597EC2"/>
    <w:rsid w:val="005A098E"/>
    <w:rsid w:val="005A148F"/>
    <w:rsid w:val="005A519F"/>
    <w:rsid w:val="005A669F"/>
    <w:rsid w:val="005A6CF9"/>
    <w:rsid w:val="005A7199"/>
    <w:rsid w:val="005A7CA1"/>
    <w:rsid w:val="005B1641"/>
    <w:rsid w:val="005B3730"/>
    <w:rsid w:val="005B476B"/>
    <w:rsid w:val="005B4E20"/>
    <w:rsid w:val="005B573B"/>
    <w:rsid w:val="005C11A9"/>
    <w:rsid w:val="005C25CE"/>
    <w:rsid w:val="005C6137"/>
    <w:rsid w:val="005C65C6"/>
    <w:rsid w:val="005C7499"/>
    <w:rsid w:val="005C7661"/>
    <w:rsid w:val="005D0508"/>
    <w:rsid w:val="005D0657"/>
    <w:rsid w:val="005D1222"/>
    <w:rsid w:val="005D1B5B"/>
    <w:rsid w:val="005D282E"/>
    <w:rsid w:val="005D288C"/>
    <w:rsid w:val="005D3C01"/>
    <w:rsid w:val="005D5D36"/>
    <w:rsid w:val="005D6AAA"/>
    <w:rsid w:val="005D6BBF"/>
    <w:rsid w:val="005E1F0A"/>
    <w:rsid w:val="005E3024"/>
    <w:rsid w:val="005E31DA"/>
    <w:rsid w:val="005E4148"/>
    <w:rsid w:val="005E4372"/>
    <w:rsid w:val="005E50E9"/>
    <w:rsid w:val="005E55D8"/>
    <w:rsid w:val="005E7213"/>
    <w:rsid w:val="005F2F9E"/>
    <w:rsid w:val="005F4547"/>
    <w:rsid w:val="005F5226"/>
    <w:rsid w:val="005F5CFD"/>
    <w:rsid w:val="0060057C"/>
    <w:rsid w:val="00602CEE"/>
    <w:rsid w:val="006039A8"/>
    <w:rsid w:val="0060445E"/>
    <w:rsid w:val="0060477E"/>
    <w:rsid w:val="00605A5A"/>
    <w:rsid w:val="0060665C"/>
    <w:rsid w:val="00606AEF"/>
    <w:rsid w:val="00607712"/>
    <w:rsid w:val="00610BCE"/>
    <w:rsid w:val="00613D37"/>
    <w:rsid w:val="00616139"/>
    <w:rsid w:val="00617B5F"/>
    <w:rsid w:val="0062105B"/>
    <w:rsid w:val="00621F1A"/>
    <w:rsid w:val="006232B5"/>
    <w:rsid w:val="00623AF0"/>
    <w:rsid w:val="00625E5D"/>
    <w:rsid w:val="006265D4"/>
    <w:rsid w:val="00627966"/>
    <w:rsid w:val="00634618"/>
    <w:rsid w:val="00634757"/>
    <w:rsid w:val="00635EBF"/>
    <w:rsid w:val="00636B0A"/>
    <w:rsid w:val="00637307"/>
    <w:rsid w:val="006374EF"/>
    <w:rsid w:val="006402F6"/>
    <w:rsid w:val="006403F8"/>
    <w:rsid w:val="0064094D"/>
    <w:rsid w:val="00641D30"/>
    <w:rsid w:val="006430E5"/>
    <w:rsid w:val="00644D5C"/>
    <w:rsid w:val="006454A7"/>
    <w:rsid w:val="0064563A"/>
    <w:rsid w:val="006473FB"/>
    <w:rsid w:val="006475BE"/>
    <w:rsid w:val="00650793"/>
    <w:rsid w:val="00651010"/>
    <w:rsid w:val="00651733"/>
    <w:rsid w:val="0065231D"/>
    <w:rsid w:val="00652598"/>
    <w:rsid w:val="00653E12"/>
    <w:rsid w:val="006541AA"/>
    <w:rsid w:val="00656270"/>
    <w:rsid w:val="00656A88"/>
    <w:rsid w:val="00657EA5"/>
    <w:rsid w:val="00660B46"/>
    <w:rsid w:val="00662189"/>
    <w:rsid w:val="00664C02"/>
    <w:rsid w:val="0066628A"/>
    <w:rsid w:val="006662F7"/>
    <w:rsid w:val="0066650E"/>
    <w:rsid w:val="00666FD5"/>
    <w:rsid w:val="00667166"/>
    <w:rsid w:val="00670005"/>
    <w:rsid w:val="006708C6"/>
    <w:rsid w:val="00671279"/>
    <w:rsid w:val="00671DB3"/>
    <w:rsid w:val="00680013"/>
    <w:rsid w:val="00682006"/>
    <w:rsid w:val="0068336B"/>
    <w:rsid w:val="006841B5"/>
    <w:rsid w:val="0068681D"/>
    <w:rsid w:val="00687675"/>
    <w:rsid w:val="00691499"/>
    <w:rsid w:val="00691FE3"/>
    <w:rsid w:val="006945D0"/>
    <w:rsid w:val="006A0B3B"/>
    <w:rsid w:val="006A1161"/>
    <w:rsid w:val="006A4720"/>
    <w:rsid w:val="006A47DF"/>
    <w:rsid w:val="006A673F"/>
    <w:rsid w:val="006A79F1"/>
    <w:rsid w:val="006A7C88"/>
    <w:rsid w:val="006A7EE4"/>
    <w:rsid w:val="006B098A"/>
    <w:rsid w:val="006B0C59"/>
    <w:rsid w:val="006B35A1"/>
    <w:rsid w:val="006B3B82"/>
    <w:rsid w:val="006B54C4"/>
    <w:rsid w:val="006B5E7D"/>
    <w:rsid w:val="006B6F14"/>
    <w:rsid w:val="006B7B4D"/>
    <w:rsid w:val="006B7F18"/>
    <w:rsid w:val="006C07E6"/>
    <w:rsid w:val="006C0AEB"/>
    <w:rsid w:val="006C2355"/>
    <w:rsid w:val="006C276F"/>
    <w:rsid w:val="006C32CE"/>
    <w:rsid w:val="006C4568"/>
    <w:rsid w:val="006C6DA3"/>
    <w:rsid w:val="006D1740"/>
    <w:rsid w:val="006D33D2"/>
    <w:rsid w:val="006D38AF"/>
    <w:rsid w:val="006D5B47"/>
    <w:rsid w:val="006E09BD"/>
    <w:rsid w:val="006E1464"/>
    <w:rsid w:val="006E2CDE"/>
    <w:rsid w:val="006E2D28"/>
    <w:rsid w:val="006E3969"/>
    <w:rsid w:val="006E3B89"/>
    <w:rsid w:val="006E402B"/>
    <w:rsid w:val="006E4EC1"/>
    <w:rsid w:val="006E5328"/>
    <w:rsid w:val="006E6820"/>
    <w:rsid w:val="006E70D8"/>
    <w:rsid w:val="006E7731"/>
    <w:rsid w:val="006E7751"/>
    <w:rsid w:val="006E7D0F"/>
    <w:rsid w:val="006F001C"/>
    <w:rsid w:val="006F003F"/>
    <w:rsid w:val="006F1786"/>
    <w:rsid w:val="006F1827"/>
    <w:rsid w:val="006F26B7"/>
    <w:rsid w:val="006F3894"/>
    <w:rsid w:val="006F4C50"/>
    <w:rsid w:val="006F5E95"/>
    <w:rsid w:val="006F5F76"/>
    <w:rsid w:val="006F604E"/>
    <w:rsid w:val="006F68A3"/>
    <w:rsid w:val="006F6BF4"/>
    <w:rsid w:val="006F79ED"/>
    <w:rsid w:val="00700CE6"/>
    <w:rsid w:val="007014A4"/>
    <w:rsid w:val="00701CF4"/>
    <w:rsid w:val="00703A61"/>
    <w:rsid w:val="00703BDD"/>
    <w:rsid w:val="00703C59"/>
    <w:rsid w:val="00704DD4"/>
    <w:rsid w:val="00705522"/>
    <w:rsid w:val="00706D86"/>
    <w:rsid w:val="00707489"/>
    <w:rsid w:val="00707D77"/>
    <w:rsid w:val="00711C82"/>
    <w:rsid w:val="007120B4"/>
    <w:rsid w:val="00713A40"/>
    <w:rsid w:val="00713D80"/>
    <w:rsid w:val="0071594F"/>
    <w:rsid w:val="00716BA3"/>
    <w:rsid w:val="00717E37"/>
    <w:rsid w:val="007204DD"/>
    <w:rsid w:val="00721013"/>
    <w:rsid w:val="007223B1"/>
    <w:rsid w:val="00722A00"/>
    <w:rsid w:val="00723525"/>
    <w:rsid w:val="00723B6D"/>
    <w:rsid w:val="00723BF3"/>
    <w:rsid w:val="00723FA3"/>
    <w:rsid w:val="007260C4"/>
    <w:rsid w:val="007317B4"/>
    <w:rsid w:val="00731D7C"/>
    <w:rsid w:val="00732F28"/>
    <w:rsid w:val="00732F51"/>
    <w:rsid w:val="00736AF6"/>
    <w:rsid w:val="0074038D"/>
    <w:rsid w:val="00741A44"/>
    <w:rsid w:val="00742E41"/>
    <w:rsid w:val="007430BF"/>
    <w:rsid w:val="00743EE7"/>
    <w:rsid w:val="00747022"/>
    <w:rsid w:val="007473F7"/>
    <w:rsid w:val="007477D0"/>
    <w:rsid w:val="00747E6A"/>
    <w:rsid w:val="0075089C"/>
    <w:rsid w:val="00751455"/>
    <w:rsid w:val="00754966"/>
    <w:rsid w:val="00755281"/>
    <w:rsid w:val="00755D72"/>
    <w:rsid w:val="007577EB"/>
    <w:rsid w:val="00760B11"/>
    <w:rsid w:val="007613BE"/>
    <w:rsid w:val="007638D1"/>
    <w:rsid w:val="00764071"/>
    <w:rsid w:val="007665CC"/>
    <w:rsid w:val="00766D76"/>
    <w:rsid w:val="0076796D"/>
    <w:rsid w:val="007703D0"/>
    <w:rsid w:val="007734B4"/>
    <w:rsid w:val="0077372B"/>
    <w:rsid w:val="00773D96"/>
    <w:rsid w:val="00773E35"/>
    <w:rsid w:val="00775459"/>
    <w:rsid w:val="00776704"/>
    <w:rsid w:val="00776A4A"/>
    <w:rsid w:val="00781C81"/>
    <w:rsid w:val="00781F0E"/>
    <w:rsid w:val="0078249E"/>
    <w:rsid w:val="00783369"/>
    <w:rsid w:val="00783A2C"/>
    <w:rsid w:val="00785697"/>
    <w:rsid w:val="007864E7"/>
    <w:rsid w:val="00786D71"/>
    <w:rsid w:val="00790550"/>
    <w:rsid w:val="00790E83"/>
    <w:rsid w:val="00792D1A"/>
    <w:rsid w:val="007933EE"/>
    <w:rsid w:val="007934B5"/>
    <w:rsid w:val="00794516"/>
    <w:rsid w:val="00797530"/>
    <w:rsid w:val="00797B95"/>
    <w:rsid w:val="00797C46"/>
    <w:rsid w:val="007A0C9A"/>
    <w:rsid w:val="007A191B"/>
    <w:rsid w:val="007A26DE"/>
    <w:rsid w:val="007A32D8"/>
    <w:rsid w:val="007A4380"/>
    <w:rsid w:val="007A4918"/>
    <w:rsid w:val="007A5045"/>
    <w:rsid w:val="007A651C"/>
    <w:rsid w:val="007A66DA"/>
    <w:rsid w:val="007B018B"/>
    <w:rsid w:val="007B1FFD"/>
    <w:rsid w:val="007B25EB"/>
    <w:rsid w:val="007B4765"/>
    <w:rsid w:val="007B52F4"/>
    <w:rsid w:val="007B5D03"/>
    <w:rsid w:val="007B7354"/>
    <w:rsid w:val="007B7E6D"/>
    <w:rsid w:val="007C0327"/>
    <w:rsid w:val="007C1377"/>
    <w:rsid w:val="007C1559"/>
    <w:rsid w:val="007C243F"/>
    <w:rsid w:val="007C249E"/>
    <w:rsid w:val="007C2ECA"/>
    <w:rsid w:val="007C326F"/>
    <w:rsid w:val="007C4167"/>
    <w:rsid w:val="007C4576"/>
    <w:rsid w:val="007C4781"/>
    <w:rsid w:val="007C584F"/>
    <w:rsid w:val="007D017F"/>
    <w:rsid w:val="007D02E4"/>
    <w:rsid w:val="007D0A61"/>
    <w:rsid w:val="007D1161"/>
    <w:rsid w:val="007D1944"/>
    <w:rsid w:val="007D1C8D"/>
    <w:rsid w:val="007D4911"/>
    <w:rsid w:val="007D6D8B"/>
    <w:rsid w:val="007E22FA"/>
    <w:rsid w:val="007E2656"/>
    <w:rsid w:val="007E30DF"/>
    <w:rsid w:val="007E3C30"/>
    <w:rsid w:val="007E455E"/>
    <w:rsid w:val="007E4934"/>
    <w:rsid w:val="007E4D2E"/>
    <w:rsid w:val="007E54E8"/>
    <w:rsid w:val="007E5822"/>
    <w:rsid w:val="007E589E"/>
    <w:rsid w:val="007E7FF7"/>
    <w:rsid w:val="007F0BCE"/>
    <w:rsid w:val="007F200E"/>
    <w:rsid w:val="007F28BD"/>
    <w:rsid w:val="007F30F6"/>
    <w:rsid w:val="007F3205"/>
    <w:rsid w:val="007F39D1"/>
    <w:rsid w:val="007F4147"/>
    <w:rsid w:val="007F439C"/>
    <w:rsid w:val="007F4A26"/>
    <w:rsid w:val="007F539A"/>
    <w:rsid w:val="00800335"/>
    <w:rsid w:val="008005CC"/>
    <w:rsid w:val="00800ED3"/>
    <w:rsid w:val="00801276"/>
    <w:rsid w:val="008044EE"/>
    <w:rsid w:val="00805103"/>
    <w:rsid w:val="0080695A"/>
    <w:rsid w:val="00806AE3"/>
    <w:rsid w:val="00807A8B"/>
    <w:rsid w:val="00810546"/>
    <w:rsid w:val="00810F1B"/>
    <w:rsid w:val="0081156A"/>
    <w:rsid w:val="0081271D"/>
    <w:rsid w:val="00812B8A"/>
    <w:rsid w:val="00813EAB"/>
    <w:rsid w:val="00813FAE"/>
    <w:rsid w:val="00814844"/>
    <w:rsid w:val="00815722"/>
    <w:rsid w:val="00815943"/>
    <w:rsid w:val="00816E47"/>
    <w:rsid w:val="00820660"/>
    <w:rsid w:val="00820FF0"/>
    <w:rsid w:val="0082201D"/>
    <w:rsid w:val="00822237"/>
    <w:rsid w:val="00822488"/>
    <w:rsid w:val="0082318C"/>
    <w:rsid w:val="00823449"/>
    <w:rsid w:val="00823F7E"/>
    <w:rsid w:val="00823FA2"/>
    <w:rsid w:val="008245C1"/>
    <w:rsid w:val="00824F6E"/>
    <w:rsid w:val="00825C2D"/>
    <w:rsid w:val="008268A3"/>
    <w:rsid w:val="008272EA"/>
    <w:rsid w:val="00827745"/>
    <w:rsid w:val="00827B51"/>
    <w:rsid w:val="00827F50"/>
    <w:rsid w:val="008307C9"/>
    <w:rsid w:val="00830810"/>
    <w:rsid w:val="0083366C"/>
    <w:rsid w:val="00835F6D"/>
    <w:rsid w:val="0083638E"/>
    <w:rsid w:val="00836AE4"/>
    <w:rsid w:val="00836F8A"/>
    <w:rsid w:val="00837A8A"/>
    <w:rsid w:val="00840711"/>
    <w:rsid w:val="00841BB5"/>
    <w:rsid w:val="0084372E"/>
    <w:rsid w:val="00843E8C"/>
    <w:rsid w:val="00843EB2"/>
    <w:rsid w:val="008441E2"/>
    <w:rsid w:val="00844D80"/>
    <w:rsid w:val="00847AFB"/>
    <w:rsid w:val="00850959"/>
    <w:rsid w:val="0085163B"/>
    <w:rsid w:val="00851937"/>
    <w:rsid w:val="00851B4D"/>
    <w:rsid w:val="00853675"/>
    <w:rsid w:val="00853F7F"/>
    <w:rsid w:val="0085489E"/>
    <w:rsid w:val="008563FD"/>
    <w:rsid w:val="0085640A"/>
    <w:rsid w:val="00857A4F"/>
    <w:rsid w:val="00857BE5"/>
    <w:rsid w:val="00860B38"/>
    <w:rsid w:val="00861DB8"/>
    <w:rsid w:val="008621CE"/>
    <w:rsid w:val="00862274"/>
    <w:rsid w:val="0086315E"/>
    <w:rsid w:val="00863E9E"/>
    <w:rsid w:val="008644AE"/>
    <w:rsid w:val="008650F1"/>
    <w:rsid w:val="008668C0"/>
    <w:rsid w:val="008676D1"/>
    <w:rsid w:val="00867AEF"/>
    <w:rsid w:val="00870BB3"/>
    <w:rsid w:val="00870C2A"/>
    <w:rsid w:val="0087199C"/>
    <w:rsid w:val="0087214F"/>
    <w:rsid w:val="008724FD"/>
    <w:rsid w:val="00874452"/>
    <w:rsid w:val="008749C0"/>
    <w:rsid w:val="00874A12"/>
    <w:rsid w:val="0087507A"/>
    <w:rsid w:val="00880940"/>
    <w:rsid w:val="00882DB4"/>
    <w:rsid w:val="00891030"/>
    <w:rsid w:val="00892664"/>
    <w:rsid w:val="00893666"/>
    <w:rsid w:val="0089524F"/>
    <w:rsid w:val="00895EE7"/>
    <w:rsid w:val="0089602C"/>
    <w:rsid w:val="00896FEA"/>
    <w:rsid w:val="008A20D9"/>
    <w:rsid w:val="008A27E4"/>
    <w:rsid w:val="008A453E"/>
    <w:rsid w:val="008A4A80"/>
    <w:rsid w:val="008A664E"/>
    <w:rsid w:val="008A6680"/>
    <w:rsid w:val="008A692B"/>
    <w:rsid w:val="008B00C8"/>
    <w:rsid w:val="008B0F68"/>
    <w:rsid w:val="008B1210"/>
    <w:rsid w:val="008B13D6"/>
    <w:rsid w:val="008B17E1"/>
    <w:rsid w:val="008B1F21"/>
    <w:rsid w:val="008B4716"/>
    <w:rsid w:val="008B4A0D"/>
    <w:rsid w:val="008B562D"/>
    <w:rsid w:val="008B56B4"/>
    <w:rsid w:val="008B5DCD"/>
    <w:rsid w:val="008B62BC"/>
    <w:rsid w:val="008C077E"/>
    <w:rsid w:val="008C2A2A"/>
    <w:rsid w:val="008C2DBE"/>
    <w:rsid w:val="008C2E3E"/>
    <w:rsid w:val="008C347F"/>
    <w:rsid w:val="008C39CA"/>
    <w:rsid w:val="008C41D9"/>
    <w:rsid w:val="008C7896"/>
    <w:rsid w:val="008D07EC"/>
    <w:rsid w:val="008D2370"/>
    <w:rsid w:val="008D3C59"/>
    <w:rsid w:val="008D45B8"/>
    <w:rsid w:val="008D4741"/>
    <w:rsid w:val="008D5CBA"/>
    <w:rsid w:val="008E0A19"/>
    <w:rsid w:val="008E1849"/>
    <w:rsid w:val="008E43C2"/>
    <w:rsid w:val="008E68AB"/>
    <w:rsid w:val="008E6A4F"/>
    <w:rsid w:val="008E7B96"/>
    <w:rsid w:val="008E7CBA"/>
    <w:rsid w:val="008E7F0F"/>
    <w:rsid w:val="008F03BA"/>
    <w:rsid w:val="008F1F78"/>
    <w:rsid w:val="008F3A6C"/>
    <w:rsid w:val="008F45E7"/>
    <w:rsid w:val="008F4766"/>
    <w:rsid w:val="008F53B5"/>
    <w:rsid w:val="008F5CFB"/>
    <w:rsid w:val="008F6817"/>
    <w:rsid w:val="009002AD"/>
    <w:rsid w:val="00900B9C"/>
    <w:rsid w:val="00904983"/>
    <w:rsid w:val="0090564D"/>
    <w:rsid w:val="00906015"/>
    <w:rsid w:val="0090759A"/>
    <w:rsid w:val="00907CCB"/>
    <w:rsid w:val="00911883"/>
    <w:rsid w:val="00912431"/>
    <w:rsid w:val="00912823"/>
    <w:rsid w:val="0091548D"/>
    <w:rsid w:val="009161A8"/>
    <w:rsid w:val="0091626A"/>
    <w:rsid w:val="00916CDF"/>
    <w:rsid w:val="009177A5"/>
    <w:rsid w:val="009213D6"/>
    <w:rsid w:val="00921926"/>
    <w:rsid w:val="00921BE8"/>
    <w:rsid w:val="00922075"/>
    <w:rsid w:val="009227EB"/>
    <w:rsid w:val="00922F44"/>
    <w:rsid w:val="0092470B"/>
    <w:rsid w:val="0092476A"/>
    <w:rsid w:val="00926B76"/>
    <w:rsid w:val="009270F6"/>
    <w:rsid w:val="0092781C"/>
    <w:rsid w:val="00930288"/>
    <w:rsid w:val="00930738"/>
    <w:rsid w:val="00932D33"/>
    <w:rsid w:val="00933AD0"/>
    <w:rsid w:val="0093420F"/>
    <w:rsid w:val="00934E4A"/>
    <w:rsid w:val="00937411"/>
    <w:rsid w:val="009415A4"/>
    <w:rsid w:val="009430B2"/>
    <w:rsid w:val="00945196"/>
    <w:rsid w:val="00946994"/>
    <w:rsid w:val="00946C19"/>
    <w:rsid w:val="00947A88"/>
    <w:rsid w:val="00947B93"/>
    <w:rsid w:val="009501E8"/>
    <w:rsid w:val="00950B4C"/>
    <w:rsid w:val="00950C31"/>
    <w:rsid w:val="00950FD2"/>
    <w:rsid w:val="009511B0"/>
    <w:rsid w:val="0095144D"/>
    <w:rsid w:val="00953D0D"/>
    <w:rsid w:val="00955153"/>
    <w:rsid w:val="0095673E"/>
    <w:rsid w:val="00961326"/>
    <w:rsid w:val="00961DCD"/>
    <w:rsid w:val="009622C6"/>
    <w:rsid w:val="00962725"/>
    <w:rsid w:val="00964C23"/>
    <w:rsid w:val="00964D66"/>
    <w:rsid w:val="00966C33"/>
    <w:rsid w:val="00967029"/>
    <w:rsid w:val="00970BFF"/>
    <w:rsid w:val="00971B66"/>
    <w:rsid w:val="00973914"/>
    <w:rsid w:val="009753DE"/>
    <w:rsid w:val="00975776"/>
    <w:rsid w:val="00975973"/>
    <w:rsid w:val="00975DA9"/>
    <w:rsid w:val="00975F8B"/>
    <w:rsid w:val="00976291"/>
    <w:rsid w:val="00976BE8"/>
    <w:rsid w:val="00977107"/>
    <w:rsid w:val="00980408"/>
    <w:rsid w:val="009809C1"/>
    <w:rsid w:val="0098109E"/>
    <w:rsid w:val="00982D1B"/>
    <w:rsid w:val="009837FE"/>
    <w:rsid w:val="00984A59"/>
    <w:rsid w:val="00987941"/>
    <w:rsid w:val="00987DDD"/>
    <w:rsid w:val="00990008"/>
    <w:rsid w:val="00991493"/>
    <w:rsid w:val="009917F6"/>
    <w:rsid w:val="00992E9D"/>
    <w:rsid w:val="0099346B"/>
    <w:rsid w:val="00995F62"/>
    <w:rsid w:val="0099688F"/>
    <w:rsid w:val="00996C90"/>
    <w:rsid w:val="00997291"/>
    <w:rsid w:val="0099743C"/>
    <w:rsid w:val="00997B14"/>
    <w:rsid w:val="009A1085"/>
    <w:rsid w:val="009A1CE8"/>
    <w:rsid w:val="009A2291"/>
    <w:rsid w:val="009A2577"/>
    <w:rsid w:val="009A2A59"/>
    <w:rsid w:val="009A54BB"/>
    <w:rsid w:val="009A75A4"/>
    <w:rsid w:val="009A7C0B"/>
    <w:rsid w:val="009B0134"/>
    <w:rsid w:val="009B1979"/>
    <w:rsid w:val="009B2D08"/>
    <w:rsid w:val="009B4E61"/>
    <w:rsid w:val="009B5DFE"/>
    <w:rsid w:val="009B7649"/>
    <w:rsid w:val="009C0490"/>
    <w:rsid w:val="009C204E"/>
    <w:rsid w:val="009C30BC"/>
    <w:rsid w:val="009C3339"/>
    <w:rsid w:val="009C59F8"/>
    <w:rsid w:val="009C7D5E"/>
    <w:rsid w:val="009C7DC6"/>
    <w:rsid w:val="009D28E9"/>
    <w:rsid w:val="009D5BD5"/>
    <w:rsid w:val="009D691B"/>
    <w:rsid w:val="009D6AC0"/>
    <w:rsid w:val="009E0D3B"/>
    <w:rsid w:val="009E3A20"/>
    <w:rsid w:val="009E4173"/>
    <w:rsid w:val="009E492F"/>
    <w:rsid w:val="009E4A2B"/>
    <w:rsid w:val="009E6D32"/>
    <w:rsid w:val="009E7040"/>
    <w:rsid w:val="009E708A"/>
    <w:rsid w:val="009F1B93"/>
    <w:rsid w:val="009F215C"/>
    <w:rsid w:val="009F50F3"/>
    <w:rsid w:val="009F7E91"/>
    <w:rsid w:val="00A00569"/>
    <w:rsid w:val="00A0129D"/>
    <w:rsid w:val="00A04065"/>
    <w:rsid w:val="00A04EC4"/>
    <w:rsid w:val="00A05F5C"/>
    <w:rsid w:val="00A06377"/>
    <w:rsid w:val="00A109AF"/>
    <w:rsid w:val="00A15D7D"/>
    <w:rsid w:val="00A16708"/>
    <w:rsid w:val="00A17793"/>
    <w:rsid w:val="00A17E51"/>
    <w:rsid w:val="00A20BB0"/>
    <w:rsid w:val="00A22127"/>
    <w:rsid w:val="00A23160"/>
    <w:rsid w:val="00A23801"/>
    <w:rsid w:val="00A247A4"/>
    <w:rsid w:val="00A247AB"/>
    <w:rsid w:val="00A270E6"/>
    <w:rsid w:val="00A27299"/>
    <w:rsid w:val="00A2786B"/>
    <w:rsid w:val="00A300AE"/>
    <w:rsid w:val="00A33734"/>
    <w:rsid w:val="00A33AEB"/>
    <w:rsid w:val="00A34ABC"/>
    <w:rsid w:val="00A3505C"/>
    <w:rsid w:val="00A360B2"/>
    <w:rsid w:val="00A36661"/>
    <w:rsid w:val="00A3770D"/>
    <w:rsid w:val="00A4084A"/>
    <w:rsid w:val="00A41CA3"/>
    <w:rsid w:val="00A42172"/>
    <w:rsid w:val="00A4268C"/>
    <w:rsid w:val="00A43659"/>
    <w:rsid w:val="00A43CAC"/>
    <w:rsid w:val="00A44840"/>
    <w:rsid w:val="00A44E85"/>
    <w:rsid w:val="00A4606F"/>
    <w:rsid w:val="00A507A6"/>
    <w:rsid w:val="00A51831"/>
    <w:rsid w:val="00A52326"/>
    <w:rsid w:val="00A5281E"/>
    <w:rsid w:val="00A5457C"/>
    <w:rsid w:val="00A54A1F"/>
    <w:rsid w:val="00A54AA8"/>
    <w:rsid w:val="00A60771"/>
    <w:rsid w:val="00A6094A"/>
    <w:rsid w:val="00A60F9B"/>
    <w:rsid w:val="00A61005"/>
    <w:rsid w:val="00A6366E"/>
    <w:rsid w:val="00A65213"/>
    <w:rsid w:val="00A65565"/>
    <w:rsid w:val="00A65922"/>
    <w:rsid w:val="00A673DE"/>
    <w:rsid w:val="00A67BDC"/>
    <w:rsid w:val="00A70B4F"/>
    <w:rsid w:val="00A71663"/>
    <w:rsid w:val="00A7289D"/>
    <w:rsid w:val="00A731C3"/>
    <w:rsid w:val="00A74144"/>
    <w:rsid w:val="00A74CF3"/>
    <w:rsid w:val="00A7795E"/>
    <w:rsid w:val="00A81708"/>
    <w:rsid w:val="00A83607"/>
    <w:rsid w:val="00A83655"/>
    <w:rsid w:val="00A860B3"/>
    <w:rsid w:val="00A871B3"/>
    <w:rsid w:val="00A871C7"/>
    <w:rsid w:val="00A8744A"/>
    <w:rsid w:val="00A90629"/>
    <w:rsid w:val="00A907FD"/>
    <w:rsid w:val="00A91090"/>
    <w:rsid w:val="00A92C84"/>
    <w:rsid w:val="00A9537F"/>
    <w:rsid w:val="00A9641D"/>
    <w:rsid w:val="00AA1A0C"/>
    <w:rsid w:val="00AA1DC7"/>
    <w:rsid w:val="00AA3F96"/>
    <w:rsid w:val="00AA417C"/>
    <w:rsid w:val="00AA4206"/>
    <w:rsid w:val="00AB09A3"/>
    <w:rsid w:val="00AB1CC2"/>
    <w:rsid w:val="00AB2F3E"/>
    <w:rsid w:val="00AB3905"/>
    <w:rsid w:val="00AB40BE"/>
    <w:rsid w:val="00AB616A"/>
    <w:rsid w:val="00AB645A"/>
    <w:rsid w:val="00AB714D"/>
    <w:rsid w:val="00AB7ECC"/>
    <w:rsid w:val="00AC1044"/>
    <w:rsid w:val="00AC73A8"/>
    <w:rsid w:val="00AC7A0C"/>
    <w:rsid w:val="00AD03A5"/>
    <w:rsid w:val="00AD095F"/>
    <w:rsid w:val="00AD2F1B"/>
    <w:rsid w:val="00AD35AC"/>
    <w:rsid w:val="00AD3EEA"/>
    <w:rsid w:val="00AD4AFA"/>
    <w:rsid w:val="00AD5E9F"/>
    <w:rsid w:val="00AD5F23"/>
    <w:rsid w:val="00AD60B4"/>
    <w:rsid w:val="00AD74E7"/>
    <w:rsid w:val="00AE1F22"/>
    <w:rsid w:val="00AE2306"/>
    <w:rsid w:val="00AE29FD"/>
    <w:rsid w:val="00AE2DC1"/>
    <w:rsid w:val="00AE2F45"/>
    <w:rsid w:val="00AE32AC"/>
    <w:rsid w:val="00AE4516"/>
    <w:rsid w:val="00AE5151"/>
    <w:rsid w:val="00AE6E13"/>
    <w:rsid w:val="00AE7F44"/>
    <w:rsid w:val="00AF0558"/>
    <w:rsid w:val="00AF0885"/>
    <w:rsid w:val="00AF0D1D"/>
    <w:rsid w:val="00AF7F79"/>
    <w:rsid w:val="00B048B7"/>
    <w:rsid w:val="00B05A16"/>
    <w:rsid w:val="00B05C12"/>
    <w:rsid w:val="00B07269"/>
    <w:rsid w:val="00B07A51"/>
    <w:rsid w:val="00B11953"/>
    <w:rsid w:val="00B13A32"/>
    <w:rsid w:val="00B14774"/>
    <w:rsid w:val="00B14E3C"/>
    <w:rsid w:val="00B15AD9"/>
    <w:rsid w:val="00B162E5"/>
    <w:rsid w:val="00B1650A"/>
    <w:rsid w:val="00B21231"/>
    <w:rsid w:val="00B22883"/>
    <w:rsid w:val="00B2349B"/>
    <w:rsid w:val="00B24AC1"/>
    <w:rsid w:val="00B24FF4"/>
    <w:rsid w:val="00B254CC"/>
    <w:rsid w:val="00B25EA3"/>
    <w:rsid w:val="00B34540"/>
    <w:rsid w:val="00B3498D"/>
    <w:rsid w:val="00B34DA2"/>
    <w:rsid w:val="00B3511D"/>
    <w:rsid w:val="00B35D0C"/>
    <w:rsid w:val="00B36EDC"/>
    <w:rsid w:val="00B37192"/>
    <w:rsid w:val="00B4107F"/>
    <w:rsid w:val="00B4118C"/>
    <w:rsid w:val="00B450A4"/>
    <w:rsid w:val="00B465DC"/>
    <w:rsid w:val="00B5079C"/>
    <w:rsid w:val="00B51BF9"/>
    <w:rsid w:val="00B52455"/>
    <w:rsid w:val="00B5263B"/>
    <w:rsid w:val="00B54692"/>
    <w:rsid w:val="00B55B54"/>
    <w:rsid w:val="00B55C32"/>
    <w:rsid w:val="00B55C97"/>
    <w:rsid w:val="00B571F6"/>
    <w:rsid w:val="00B60221"/>
    <w:rsid w:val="00B60964"/>
    <w:rsid w:val="00B61A65"/>
    <w:rsid w:val="00B64557"/>
    <w:rsid w:val="00B647A2"/>
    <w:rsid w:val="00B65F56"/>
    <w:rsid w:val="00B70923"/>
    <w:rsid w:val="00B718F6"/>
    <w:rsid w:val="00B71ADC"/>
    <w:rsid w:val="00B7211E"/>
    <w:rsid w:val="00B7267E"/>
    <w:rsid w:val="00B73B99"/>
    <w:rsid w:val="00B745B7"/>
    <w:rsid w:val="00B74F11"/>
    <w:rsid w:val="00B74F9A"/>
    <w:rsid w:val="00B7568C"/>
    <w:rsid w:val="00B75B3C"/>
    <w:rsid w:val="00B75D56"/>
    <w:rsid w:val="00B80F28"/>
    <w:rsid w:val="00B817AB"/>
    <w:rsid w:val="00B826C2"/>
    <w:rsid w:val="00B82AF9"/>
    <w:rsid w:val="00B86714"/>
    <w:rsid w:val="00B8675F"/>
    <w:rsid w:val="00B86A48"/>
    <w:rsid w:val="00B901E4"/>
    <w:rsid w:val="00B904E2"/>
    <w:rsid w:val="00B923FE"/>
    <w:rsid w:val="00B92C20"/>
    <w:rsid w:val="00B9337F"/>
    <w:rsid w:val="00B93766"/>
    <w:rsid w:val="00B93852"/>
    <w:rsid w:val="00B938A9"/>
    <w:rsid w:val="00B9400E"/>
    <w:rsid w:val="00B96F76"/>
    <w:rsid w:val="00B97398"/>
    <w:rsid w:val="00B974D7"/>
    <w:rsid w:val="00BA29EA"/>
    <w:rsid w:val="00BA3F51"/>
    <w:rsid w:val="00BA3FB0"/>
    <w:rsid w:val="00BA48CA"/>
    <w:rsid w:val="00BA5152"/>
    <w:rsid w:val="00BA5A2C"/>
    <w:rsid w:val="00BA73D1"/>
    <w:rsid w:val="00BA7AE9"/>
    <w:rsid w:val="00BB0010"/>
    <w:rsid w:val="00BB107D"/>
    <w:rsid w:val="00BB2022"/>
    <w:rsid w:val="00BB299F"/>
    <w:rsid w:val="00BB3BFC"/>
    <w:rsid w:val="00BB43F5"/>
    <w:rsid w:val="00BB4872"/>
    <w:rsid w:val="00BB5242"/>
    <w:rsid w:val="00BB7916"/>
    <w:rsid w:val="00BC183C"/>
    <w:rsid w:val="00BC1EAD"/>
    <w:rsid w:val="00BC1F51"/>
    <w:rsid w:val="00BC3EE3"/>
    <w:rsid w:val="00BC419B"/>
    <w:rsid w:val="00BC43B7"/>
    <w:rsid w:val="00BC4CCA"/>
    <w:rsid w:val="00BC7A50"/>
    <w:rsid w:val="00BD05DE"/>
    <w:rsid w:val="00BD075C"/>
    <w:rsid w:val="00BD08DB"/>
    <w:rsid w:val="00BD0C4A"/>
    <w:rsid w:val="00BD118C"/>
    <w:rsid w:val="00BD1EFF"/>
    <w:rsid w:val="00BD3386"/>
    <w:rsid w:val="00BD3B5F"/>
    <w:rsid w:val="00BD4E84"/>
    <w:rsid w:val="00BD540F"/>
    <w:rsid w:val="00BD5CDC"/>
    <w:rsid w:val="00BD616C"/>
    <w:rsid w:val="00BD6DB2"/>
    <w:rsid w:val="00BD7D4A"/>
    <w:rsid w:val="00BE0468"/>
    <w:rsid w:val="00BE1017"/>
    <w:rsid w:val="00BE1645"/>
    <w:rsid w:val="00BE3A0A"/>
    <w:rsid w:val="00BE3C95"/>
    <w:rsid w:val="00BE508A"/>
    <w:rsid w:val="00BE6AAC"/>
    <w:rsid w:val="00BE7193"/>
    <w:rsid w:val="00BE78A2"/>
    <w:rsid w:val="00BF0DEB"/>
    <w:rsid w:val="00BF1DD5"/>
    <w:rsid w:val="00BF24F6"/>
    <w:rsid w:val="00BF3116"/>
    <w:rsid w:val="00BF34C0"/>
    <w:rsid w:val="00BF5311"/>
    <w:rsid w:val="00BF5DAF"/>
    <w:rsid w:val="00BF7A45"/>
    <w:rsid w:val="00C0018D"/>
    <w:rsid w:val="00C024A0"/>
    <w:rsid w:val="00C036F8"/>
    <w:rsid w:val="00C07AD2"/>
    <w:rsid w:val="00C107E4"/>
    <w:rsid w:val="00C11FA5"/>
    <w:rsid w:val="00C11FE4"/>
    <w:rsid w:val="00C12E5A"/>
    <w:rsid w:val="00C13F04"/>
    <w:rsid w:val="00C15D52"/>
    <w:rsid w:val="00C16221"/>
    <w:rsid w:val="00C20C89"/>
    <w:rsid w:val="00C20ED5"/>
    <w:rsid w:val="00C21BA8"/>
    <w:rsid w:val="00C21C50"/>
    <w:rsid w:val="00C21F7A"/>
    <w:rsid w:val="00C23E20"/>
    <w:rsid w:val="00C260A7"/>
    <w:rsid w:val="00C26C84"/>
    <w:rsid w:val="00C26F85"/>
    <w:rsid w:val="00C31222"/>
    <w:rsid w:val="00C31270"/>
    <w:rsid w:val="00C333CC"/>
    <w:rsid w:val="00C3463E"/>
    <w:rsid w:val="00C34A5E"/>
    <w:rsid w:val="00C35A9F"/>
    <w:rsid w:val="00C35CDE"/>
    <w:rsid w:val="00C3793E"/>
    <w:rsid w:val="00C40448"/>
    <w:rsid w:val="00C40D29"/>
    <w:rsid w:val="00C41E35"/>
    <w:rsid w:val="00C445FE"/>
    <w:rsid w:val="00C45A50"/>
    <w:rsid w:val="00C46023"/>
    <w:rsid w:val="00C4673D"/>
    <w:rsid w:val="00C50618"/>
    <w:rsid w:val="00C50D30"/>
    <w:rsid w:val="00C5761B"/>
    <w:rsid w:val="00C577FC"/>
    <w:rsid w:val="00C57EA6"/>
    <w:rsid w:val="00C610C1"/>
    <w:rsid w:val="00C62FA8"/>
    <w:rsid w:val="00C6548E"/>
    <w:rsid w:val="00C6600F"/>
    <w:rsid w:val="00C66F33"/>
    <w:rsid w:val="00C6723F"/>
    <w:rsid w:val="00C673C7"/>
    <w:rsid w:val="00C7031E"/>
    <w:rsid w:val="00C70B9C"/>
    <w:rsid w:val="00C721DE"/>
    <w:rsid w:val="00C733E5"/>
    <w:rsid w:val="00C736CF"/>
    <w:rsid w:val="00C73A5E"/>
    <w:rsid w:val="00C74088"/>
    <w:rsid w:val="00C74811"/>
    <w:rsid w:val="00C749DE"/>
    <w:rsid w:val="00C769EF"/>
    <w:rsid w:val="00C77A45"/>
    <w:rsid w:val="00C77BCF"/>
    <w:rsid w:val="00C826F4"/>
    <w:rsid w:val="00C841E2"/>
    <w:rsid w:val="00C84464"/>
    <w:rsid w:val="00C845AF"/>
    <w:rsid w:val="00C853F0"/>
    <w:rsid w:val="00C86D93"/>
    <w:rsid w:val="00C86DAC"/>
    <w:rsid w:val="00C876D3"/>
    <w:rsid w:val="00C90478"/>
    <w:rsid w:val="00C906CA"/>
    <w:rsid w:val="00C9248B"/>
    <w:rsid w:val="00C93095"/>
    <w:rsid w:val="00C93D37"/>
    <w:rsid w:val="00C95FD1"/>
    <w:rsid w:val="00C96053"/>
    <w:rsid w:val="00C9684F"/>
    <w:rsid w:val="00C97953"/>
    <w:rsid w:val="00CA07A4"/>
    <w:rsid w:val="00CA30AE"/>
    <w:rsid w:val="00CA3BDF"/>
    <w:rsid w:val="00CA4210"/>
    <w:rsid w:val="00CA5B1B"/>
    <w:rsid w:val="00CA6272"/>
    <w:rsid w:val="00CA63BA"/>
    <w:rsid w:val="00CA750E"/>
    <w:rsid w:val="00CB0642"/>
    <w:rsid w:val="00CB574A"/>
    <w:rsid w:val="00CB584B"/>
    <w:rsid w:val="00CB6A83"/>
    <w:rsid w:val="00CB74F3"/>
    <w:rsid w:val="00CC099E"/>
    <w:rsid w:val="00CC23C2"/>
    <w:rsid w:val="00CC31F4"/>
    <w:rsid w:val="00CC351D"/>
    <w:rsid w:val="00CC4CB8"/>
    <w:rsid w:val="00CC577C"/>
    <w:rsid w:val="00CC5888"/>
    <w:rsid w:val="00CC6F18"/>
    <w:rsid w:val="00CC78AA"/>
    <w:rsid w:val="00CD1E43"/>
    <w:rsid w:val="00CD3AE1"/>
    <w:rsid w:val="00CD3D69"/>
    <w:rsid w:val="00CD67CF"/>
    <w:rsid w:val="00CD6CBE"/>
    <w:rsid w:val="00CE0474"/>
    <w:rsid w:val="00CE1A09"/>
    <w:rsid w:val="00CE23D5"/>
    <w:rsid w:val="00CE31E8"/>
    <w:rsid w:val="00CE3A78"/>
    <w:rsid w:val="00CE5C65"/>
    <w:rsid w:val="00CE5F0C"/>
    <w:rsid w:val="00CE63F6"/>
    <w:rsid w:val="00CF0C55"/>
    <w:rsid w:val="00CF1810"/>
    <w:rsid w:val="00CF18C1"/>
    <w:rsid w:val="00CF2766"/>
    <w:rsid w:val="00CF278B"/>
    <w:rsid w:val="00CF3544"/>
    <w:rsid w:val="00CF4BD1"/>
    <w:rsid w:val="00CF5058"/>
    <w:rsid w:val="00CF52A4"/>
    <w:rsid w:val="00CF577E"/>
    <w:rsid w:val="00CF5E0D"/>
    <w:rsid w:val="00CF5E86"/>
    <w:rsid w:val="00CF657C"/>
    <w:rsid w:val="00CF69CC"/>
    <w:rsid w:val="00CF6FC8"/>
    <w:rsid w:val="00D00C3E"/>
    <w:rsid w:val="00D026D4"/>
    <w:rsid w:val="00D02F4A"/>
    <w:rsid w:val="00D0359B"/>
    <w:rsid w:val="00D039A2"/>
    <w:rsid w:val="00D040DD"/>
    <w:rsid w:val="00D041E3"/>
    <w:rsid w:val="00D04A0C"/>
    <w:rsid w:val="00D04DDC"/>
    <w:rsid w:val="00D04E73"/>
    <w:rsid w:val="00D06068"/>
    <w:rsid w:val="00D076BB"/>
    <w:rsid w:val="00D076F6"/>
    <w:rsid w:val="00D07D82"/>
    <w:rsid w:val="00D07E07"/>
    <w:rsid w:val="00D10704"/>
    <w:rsid w:val="00D122CB"/>
    <w:rsid w:val="00D12D0D"/>
    <w:rsid w:val="00D14B03"/>
    <w:rsid w:val="00D14C61"/>
    <w:rsid w:val="00D157AF"/>
    <w:rsid w:val="00D15B54"/>
    <w:rsid w:val="00D202B5"/>
    <w:rsid w:val="00D210D5"/>
    <w:rsid w:val="00D2191B"/>
    <w:rsid w:val="00D22DB4"/>
    <w:rsid w:val="00D24395"/>
    <w:rsid w:val="00D24707"/>
    <w:rsid w:val="00D247BE"/>
    <w:rsid w:val="00D25553"/>
    <w:rsid w:val="00D267DE"/>
    <w:rsid w:val="00D26AEE"/>
    <w:rsid w:val="00D26DF1"/>
    <w:rsid w:val="00D278EF"/>
    <w:rsid w:val="00D30F3D"/>
    <w:rsid w:val="00D31300"/>
    <w:rsid w:val="00D328F6"/>
    <w:rsid w:val="00D33DC4"/>
    <w:rsid w:val="00D352E1"/>
    <w:rsid w:val="00D35B71"/>
    <w:rsid w:val="00D36048"/>
    <w:rsid w:val="00D37411"/>
    <w:rsid w:val="00D376DB"/>
    <w:rsid w:val="00D37A73"/>
    <w:rsid w:val="00D4043D"/>
    <w:rsid w:val="00D416ED"/>
    <w:rsid w:val="00D4360C"/>
    <w:rsid w:val="00D443BB"/>
    <w:rsid w:val="00D448E5"/>
    <w:rsid w:val="00D4535D"/>
    <w:rsid w:val="00D45D37"/>
    <w:rsid w:val="00D46F04"/>
    <w:rsid w:val="00D46FBE"/>
    <w:rsid w:val="00D47B4E"/>
    <w:rsid w:val="00D508AC"/>
    <w:rsid w:val="00D50943"/>
    <w:rsid w:val="00D522C7"/>
    <w:rsid w:val="00D52320"/>
    <w:rsid w:val="00D535AE"/>
    <w:rsid w:val="00D53A42"/>
    <w:rsid w:val="00D601D8"/>
    <w:rsid w:val="00D60E7A"/>
    <w:rsid w:val="00D6284E"/>
    <w:rsid w:val="00D62D7C"/>
    <w:rsid w:val="00D63064"/>
    <w:rsid w:val="00D632B9"/>
    <w:rsid w:val="00D6383B"/>
    <w:rsid w:val="00D63E18"/>
    <w:rsid w:val="00D64812"/>
    <w:rsid w:val="00D64B0E"/>
    <w:rsid w:val="00D64E44"/>
    <w:rsid w:val="00D66740"/>
    <w:rsid w:val="00D701F1"/>
    <w:rsid w:val="00D7151C"/>
    <w:rsid w:val="00D72E5F"/>
    <w:rsid w:val="00D7343B"/>
    <w:rsid w:val="00D735FC"/>
    <w:rsid w:val="00D736DB"/>
    <w:rsid w:val="00D7435F"/>
    <w:rsid w:val="00D76725"/>
    <w:rsid w:val="00D77787"/>
    <w:rsid w:val="00D80834"/>
    <w:rsid w:val="00D80E55"/>
    <w:rsid w:val="00D81011"/>
    <w:rsid w:val="00D81FB6"/>
    <w:rsid w:val="00D8211E"/>
    <w:rsid w:val="00D82FBB"/>
    <w:rsid w:val="00D8471F"/>
    <w:rsid w:val="00D859BB"/>
    <w:rsid w:val="00D85A42"/>
    <w:rsid w:val="00D85B42"/>
    <w:rsid w:val="00D86CB1"/>
    <w:rsid w:val="00D86E19"/>
    <w:rsid w:val="00D87315"/>
    <w:rsid w:val="00D875B3"/>
    <w:rsid w:val="00D90948"/>
    <w:rsid w:val="00D91FD6"/>
    <w:rsid w:val="00D92240"/>
    <w:rsid w:val="00D92F09"/>
    <w:rsid w:val="00D940DB"/>
    <w:rsid w:val="00D96AF1"/>
    <w:rsid w:val="00D97739"/>
    <w:rsid w:val="00D97C2D"/>
    <w:rsid w:val="00D97F08"/>
    <w:rsid w:val="00D97FBA"/>
    <w:rsid w:val="00DA208C"/>
    <w:rsid w:val="00DA27A1"/>
    <w:rsid w:val="00DA2ED8"/>
    <w:rsid w:val="00DA3A68"/>
    <w:rsid w:val="00DA4451"/>
    <w:rsid w:val="00DA68E1"/>
    <w:rsid w:val="00DA695A"/>
    <w:rsid w:val="00DA6E55"/>
    <w:rsid w:val="00DA7F2F"/>
    <w:rsid w:val="00DB124D"/>
    <w:rsid w:val="00DB195E"/>
    <w:rsid w:val="00DB255F"/>
    <w:rsid w:val="00DB2C00"/>
    <w:rsid w:val="00DB35DD"/>
    <w:rsid w:val="00DB365B"/>
    <w:rsid w:val="00DB434A"/>
    <w:rsid w:val="00DB47DD"/>
    <w:rsid w:val="00DB4D83"/>
    <w:rsid w:val="00DB5114"/>
    <w:rsid w:val="00DB6B73"/>
    <w:rsid w:val="00DB6E84"/>
    <w:rsid w:val="00DB752A"/>
    <w:rsid w:val="00DC1082"/>
    <w:rsid w:val="00DC1F8A"/>
    <w:rsid w:val="00DC2931"/>
    <w:rsid w:val="00DC2A1D"/>
    <w:rsid w:val="00DC3E08"/>
    <w:rsid w:val="00DC515C"/>
    <w:rsid w:val="00DC64AF"/>
    <w:rsid w:val="00DC7AB0"/>
    <w:rsid w:val="00DC7CD8"/>
    <w:rsid w:val="00DC7EB1"/>
    <w:rsid w:val="00DD09C3"/>
    <w:rsid w:val="00DD2418"/>
    <w:rsid w:val="00DD3FBA"/>
    <w:rsid w:val="00DD40A3"/>
    <w:rsid w:val="00DD47CA"/>
    <w:rsid w:val="00DD4C7C"/>
    <w:rsid w:val="00DD5BB1"/>
    <w:rsid w:val="00DD6966"/>
    <w:rsid w:val="00DD7496"/>
    <w:rsid w:val="00DE078C"/>
    <w:rsid w:val="00DE0AD2"/>
    <w:rsid w:val="00DE0C48"/>
    <w:rsid w:val="00DE2B70"/>
    <w:rsid w:val="00DE31EE"/>
    <w:rsid w:val="00DE4FE4"/>
    <w:rsid w:val="00DE6810"/>
    <w:rsid w:val="00DE79D7"/>
    <w:rsid w:val="00DE7BBC"/>
    <w:rsid w:val="00DF1946"/>
    <w:rsid w:val="00DF2010"/>
    <w:rsid w:val="00DF22DF"/>
    <w:rsid w:val="00DF2544"/>
    <w:rsid w:val="00DF34EA"/>
    <w:rsid w:val="00DF43C5"/>
    <w:rsid w:val="00DF4B7E"/>
    <w:rsid w:val="00DF5277"/>
    <w:rsid w:val="00DF6170"/>
    <w:rsid w:val="00DF665C"/>
    <w:rsid w:val="00DF66DC"/>
    <w:rsid w:val="00DF70C1"/>
    <w:rsid w:val="00DF7725"/>
    <w:rsid w:val="00DF7A3A"/>
    <w:rsid w:val="00E00A87"/>
    <w:rsid w:val="00E00E10"/>
    <w:rsid w:val="00E03186"/>
    <w:rsid w:val="00E0323E"/>
    <w:rsid w:val="00E03C07"/>
    <w:rsid w:val="00E05B79"/>
    <w:rsid w:val="00E06862"/>
    <w:rsid w:val="00E1150A"/>
    <w:rsid w:val="00E1448E"/>
    <w:rsid w:val="00E14823"/>
    <w:rsid w:val="00E20015"/>
    <w:rsid w:val="00E217C5"/>
    <w:rsid w:val="00E21BE9"/>
    <w:rsid w:val="00E22FDE"/>
    <w:rsid w:val="00E23E3A"/>
    <w:rsid w:val="00E25FCD"/>
    <w:rsid w:val="00E26145"/>
    <w:rsid w:val="00E275F1"/>
    <w:rsid w:val="00E27A68"/>
    <w:rsid w:val="00E311CA"/>
    <w:rsid w:val="00E316C1"/>
    <w:rsid w:val="00E31F01"/>
    <w:rsid w:val="00E32367"/>
    <w:rsid w:val="00E32386"/>
    <w:rsid w:val="00E34882"/>
    <w:rsid w:val="00E35AD5"/>
    <w:rsid w:val="00E371CD"/>
    <w:rsid w:val="00E3778F"/>
    <w:rsid w:val="00E4085C"/>
    <w:rsid w:val="00E40FB5"/>
    <w:rsid w:val="00E415D5"/>
    <w:rsid w:val="00E4162F"/>
    <w:rsid w:val="00E42670"/>
    <w:rsid w:val="00E43BA3"/>
    <w:rsid w:val="00E47DB1"/>
    <w:rsid w:val="00E512E9"/>
    <w:rsid w:val="00E51F60"/>
    <w:rsid w:val="00E52215"/>
    <w:rsid w:val="00E5223D"/>
    <w:rsid w:val="00E544F2"/>
    <w:rsid w:val="00E54C0D"/>
    <w:rsid w:val="00E55AA7"/>
    <w:rsid w:val="00E55CFB"/>
    <w:rsid w:val="00E5659B"/>
    <w:rsid w:val="00E61862"/>
    <w:rsid w:val="00E61C7A"/>
    <w:rsid w:val="00E64827"/>
    <w:rsid w:val="00E65AF2"/>
    <w:rsid w:val="00E702F0"/>
    <w:rsid w:val="00E711E8"/>
    <w:rsid w:val="00E71370"/>
    <w:rsid w:val="00E71881"/>
    <w:rsid w:val="00E7230E"/>
    <w:rsid w:val="00E734E0"/>
    <w:rsid w:val="00E759A3"/>
    <w:rsid w:val="00E76D8E"/>
    <w:rsid w:val="00E76E19"/>
    <w:rsid w:val="00E76EB1"/>
    <w:rsid w:val="00E80632"/>
    <w:rsid w:val="00E80779"/>
    <w:rsid w:val="00E82031"/>
    <w:rsid w:val="00E82B29"/>
    <w:rsid w:val="00E83F80"/>
    <w:rsid w:val="00E84804"/>
    <w:rsid w:val="00E8550D"/>
    <w:rsid w:val="00E85E08"/>
    <w:rsid w:val="00E86B33"/>
    <w:rsid w:val="00E86CC5"/>
    <w:rsid w:val="00E87252"/>
    <w:rsid w:val="00E872E7"/>
    <w:rsid w:val="00E87ABC"/>
    <w:rsid w:val="00E87C84"/>
    <w:rsid w:val="00E915C8"/>
    <w:rsid w:val="00E97134"/>
    <w:rsid w:val="00E97237"/>
    <w:rsid w:val="00E973EB"/>
    <w:rsid w:val="00EA057F"/>
    <w:rsid w:val="00EA088F"/>
    <w:rsid w:val="00EA108F"/>
    <w:rsid w:val="00EA1524"/>
    <w:rsid w:val="00EA1D1F"/>
    <w:rsid w:val="00EA2BF7"/>
    <w:rsid w:val="00EA4407"/>
    <w:rsid w:val="00EA4E0F"/>
    <w:rsid w:val="00EA6402"/>
    <w:rsid w:val="00EA69AA"/>
    <w:rsid w:val="00EB09CB"/>
    <w:rsid w:val="00EB18EF"/>
    <w:rsid w:val="00EB2024"/>
    <w:rsid w:val="00EB284C"/>
    <w:rsid w:val="00EB3CB1"/>
    <w:rsid w:val="00EB3E36"/>
    <w:rsid w:val="00EB45E1"/>
    <w:rsid w:val="00EB46B0"/>
    <w:rsid w:val="00EB477B"/>
    <w:rsid w:val="00EB55A6"/>
    <w:rsid w:val="00EB6C2A"/>
    <w:rsid w:val="00EB6FED"/>
    <w:rsid w:val="00EC1429"/>
    <w:rsid w:val="00EC227D"/>
    <w:rsid w:val="00EC22F2"/>
    <w:rsid w:val="00EC23D6"/>
    <w:rsid w:val="00EC38DC"/>
    <w:rsid w:val="00EC492A"/>
    <w:rsid w:val="00EC7030"/>
    <w:rsid w:val="00ED199B"/>
    <w:rsid w:val="00ED1C62"/>
    <w:rsid w:val="00ED2537"/>
    <w:rsid w:val="00ED2769"/>
    <w:rsid w:val="00ED3A54"/>
    <w:rsid w:val="00ED4449"/>
    <w:rsid w:val="00ED6EE2"/>
    <w:rsid w:val="00EE16BD"/>
    <w:rsid w:val="00EE20F4"/>
    <w:rsid w:val="00EE27BE"/>
    <w:rsid w:val="00EE2B26"/>
    <w:rsid w:val="00EE2B3C"/>
    <w:rsid w:val="00EE31AA"/>
    <w:rsid w:val="00EE3D72"/>
    <w:rsid w:val="00EE4051"/>
    <w:rsid w:val="00EE41F9"/>
    <w:rsid w:val="00EE45B6"/>
    <w:rsid w:val="00EE55AC"/>
    <w:rsid w:val="00EE61C9"/>
    <w:rsid w:val="00EE7F72"/>
    <w:rsid w:val="00EF0338"/>
    <w:rsid w:val="00EF0DE4"/>
    <w:rsid w:val="00EF1697"/>
    <w:rsid w:val="00EF23A2"/>
    <w:rsid w:val="00EF3D07"/>
    <w:rsid w:val="00EF3F3B"/>
    <w:rsid w:val="00EF544F"/>
    <w:rsid w:val="00F01BEF"/>
    <w:rsid w:val="00F03840"/>
    <w:rsid w:val="00F040EF"/>
    <w:rsid w:val="00F05174"/>
    <w:rsid w:val="00F05EF4"/>
    <w:rsid w:val="00F07BD4"/>
    <w:rsid w:val="00F10991"/>
    <w:rsid w:val="00F12033"/>
    <w:rsid w:val="00F12620"/>
    <w:rsid w:val="00F12E45"/>
    <w:rsid w:val="00F140A6"/>
    <w:rsid w:val="00F147DF"/>
    <w:rsid w:val="00F15452"/>
    <w:rsid w:val="00F16251"/>
    <w:rsid w:val="00F16288"/>
    <w:rsid w:val="00F1740F"/>
    <w:rsid w:val="00F2006E"/>
    <w:rsid w:val="00F21B78"/>
    <w:rsid w:val="00F23DF4"/>
    <w:rsid w:val="00F249F4"/>
    <w:rsid w:val="00F26667"/>
    <w:rsid w:val="00F26966"/>
    <w:rsid w:val="00F270E8"/>
    <w:rsid w:val="00F2776A"/>
    <w:rsid w:val="00F27C4A"/>
    <w:rsid w:val="00F30358"/>
    <w:rsid w:val="00F30814"/>
    <w:rsid w:val="00F3131F"/>
    <w:rsid w:val="00F317B6"/>
    <w:rsid w:val="00F31BE2"/>
    <w:rsid w:val="00F31FDE"/>
    <w:rsid w:val="00F33045"/>
    <w:rsid w:val="00F33538"/>
    <w:rsid w:val="00F341CC"/>
    <w:rsid w:val="00F34704"/>
    <w:rsid w:val="00F35C5C"/>
    <w:rsid w:val="00F35F20"/>
    <w:rsid w:val="00F366BA"/>
    <w:rsid w:val="00F36821"/>
    <w:rsid w:val="00F400FE"/>
    <w:rsid w:val="00F40536"/>
    <w:rsid w:val="00F408CF"/>
    <w:rsid w:val="00F41FD7"/>
    <w:rsid w:val="00F42454"/>
    <w:rsid w:val="00F437E1"/>
    <w:rsid w:val="00F43AC7"/>
    <w:rsid w:val="00F44435"/>
    <w:rsid w:val="00F44E7B"/>
    <w:rsid w:val="00F451D9"/>
    <w:rsid w:val="00F4657C"/>
    <w:rsid w:val="00F472A9"/>
    <w:rsid w:val="00F472F9"/>
    <w:rsid w:val="00F47327"/>
    <w:rsid w:val="00F47EB2"/>
    <w:rsid w:val="00F51B69"/>
    <w:rsid w:val="00F52C15"/>
    <w:rsid w:val="00F52F9F"/>
    <w:rsid w:val="00F53FAC"/>
    <w:rsid w:val="00F54403"/>
    <w:rsid w:val="00F547CE"/>
    <w:rsid w:val="00F55494"/>
    <w:rsid w:val="00F576DE"/>
    <w:rsid w:val="00F6032A"/>
    <w:rsid w:val="00F620F3"/>
    <w:rsid w:val="00F63BF8"/>
    <w:rsid w:val="00F64B1E"/>
    <w:rsid w:val="00F65191"/>
    <w:rsid w:val="00F655E9"/>
    <w:rsid w:val="00F6587C"/>
    <w:rsid w:val="00F664B3"/>
    <w:rsid w:val="00F679CD"/>
    <w:rsid w:val="00F704EA"/>
    <w:rsid w:val="00F71634"/>
    <w:rsid w:val="00F719F4"/>
    <w:rsid w:val="00F72B97"/>
    <w:rsid w:val="00F73718"/>
    <w:rsid w:val="00F80D03"/>
    <w:rsid w:val="00F825CD"/>
    <w:rsid w:val="00F83209"/>
    <w:rsid w:val="00F84627"/>
    <w:rsid w:val="00F850C0"/>
    <w:rsid w:val="00F85266"/>
    <w:rsid w:val="00F853E7"/>
    <w:rsid w:val="00F854AA"/>
    <w:rsid w:val="00F85FC2"/>
    <w:rsid w:val="00F868EE"/>
    <w:rsid w:val="00F86E64"/>
    <w:rsid w:val="00F9023F"/>
    <w:rsid w:val="00F91F3C"/>
    <w:rsid w:val="00F930E2"/>
    <w:rsid w:val="00F93285"/>
    <w:rsid w:val="00F93A64"/>
    <w:rsid w:val="00F942EA"/>
    <w:rsid w:val="00F94646"/>
    <w:rsid w:val="00F96E22"/>
    <w:rsid w:val="00F96F9C"/>
    <w:rsid w:val="00FA15CB"/>
    <w:rsid w:val="00FA27D6"/>
    <w:rsid w:val="00FA2E93"/>
    <w:rsid w:val="00FA3FB2"/>
    <w:rsid w:val="00FA5011"/>
    <w:rsid w:val="00FA54F9"/>
    <w:rsid w:val="00FA5CFF"/>
    <w:rsid w:val="00FA7CE5"/>
    <w:rsid w:val="00FB11D9"/>
    <w:rsid w:val="00FB356D"/>
    <w:rsid w:val="00FB47AE"/>
    <w:rsid w:val="00FB5391"/>
    <w:rsid w:val="00FB588E"/>
    <w:rsid w:val="00FB5E61"/>
    <w:rsid w:val="00FB778E"/>
    <w:rsid w:val="00FB79BB"/>
    <w:rsid w:val="00FC00D5"/>
    <w:rsid w:val="00FC0931"/>
    <w:rsid w:val="00FC1A69"/>
    <w:rsid w:val="00FC2AC8"/>
    <w:rsid w:val="00FC35B8"/>
    <w:rsid w:val="00FC3F07"/>
    <w:rsid w:val="00FC4290"/>
    <w:rsid w:val="00FC4DC0"/>
    <w:rsid w:val="00FC591A"/>
    <w:rsid w:val="00FD0477"/>
    <w:rsid w:val="00FD083C"/>
    <w:rsid w:val="00FD0A8C"/>
    <w:rsid w:val="00FD19C8"/>
    <w:rsid w:val="00FD306E"/>
    <w:rsid w:val="00FD3E1B"/>
    <w:rsid w:val="00FD48F1"/>
    <w:rsid w:val="00FD513A"/>
    <w:rsid w:val="00FD6FCF"/>
    <w:rsid w:val="00FD760D"/>
    <w:rsid w:val="00FD77C9"/>
    <w:rsid w:val="00FE1459"/>
    <w:rsid w:val="00FE3C56"/>
    <w:rsid w:val="00FE6231"/>
    <w:rsid w:val="00FE6E4D"/>
    <w:rsid w:val="00FE7538"/>
    <w:rsid w:val="00FF3A36"/>
    <w:rsid w:val="00FF3DEF"/>
    <w:rsid w:val="00FF3F23"/>
    <w:rsid w:val="00FF5CDC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341484"/>
  <w15:docId w15:val="{657CCBE6-6C81-442A-AC85-E62D829D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3B89"/>
    <w:rPr>
      <w:rFonts w:asciiTheme="minorHAnsi" w:hAnsiTheme="minorHAnsi"/>
    </w:rPr>
  </w:style>
  <w:style w:type="paragraph" w:styleId="Nadpis1">
    <w:name w:val="heading 1"/>
    <w:basedOn w:val="Text"/>
    <w:next w:val="Text"/>
    <w:link w:val="Nadpis1Char"/>
    <w:uiPriority w:val="99"/>
    <w:qFormat/>
    <w:rsid w:val="009C5669"/>
    <w:pPr>
      <w:keepNext/>
      <w:keepLines/>
      <w:numPr>
        <w:numId w:val="2"/>
      </w:numPr>
      <w:spacing w:before="240" w:after="240"/>
      <w:outlineLvl w:val="0"/>
    </w:pPr>
    <w:rPr>
      <w:b/>
      <w:sz w:val="28"/>
    </w:rPr>
  </w:style>
  <w:style w:type="paragraph" w:styleId="Nadpis2">
    <w:name w:val="heading 2"/>
    <w:basedOn w:val="Text"/>
    <w:next w:val="Text"/>
    <w:link w:val="Nadpis2Char"/>
    <w:uiPriority w:val="99"/>
    <w:unhideWhenUsed/>
    <w:qFormat/>
    <w:rsid w:val="009C5669"/>
    <w:pPr>
      <w:keepNext/>
      <w:keepLines/>
      <w:numPr>
        <w:ilvl w:val="1"/>
        <w:numId w:val="2"/>
      </w:numPr>
      <w:spacing w:after="120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Text"/>
    <w:next w:val="Text"/>
    <w:link w:val="Nadpis3Char"/>
    <w:uiPriority w:val="99"/>
    <w:unhideWhenUsed/>
    <w:qFormat/>
    <w:rsid w:val="007F7FC9"/>
    <w:pPr>
      <w:keepNext/>
      <w:keepLines/>
      <w:numPr>
        <w:ilvl w:val="2"/>
        <w:numId w:val="2"/>
      </w:numPr>
      <w:spacing w:after="120"/>
      <w:outlineLvl w:val="2"/>
    </w:pPr>
    <w:rPr>
      <w:rFonts w:eastAsiaTheme="majorEastAsia" w:cstheme="majorBidi"/>
      <w:b/>
    </w:rPr>
  </w:style>
  <w:style w:type="paragraph" w:styleId="Nadpis4">
    <w:name w:val="heading 4"/>
    <w:basedOn w:val="Text"/>
    <w:next w:val="Text"/>
    <w:link w:val="Nadpis4Char"/>
    <w:uiPriority w:val="99"/>
    <w:unhideWhenUsed/>
    <w:qFormat/>
    <w:rsid w:val="007F7FC9"/>
    <w:pPr>
      <w:keepNext/>
      <w:keepLines/>
      <w:numPr>
        <w:ilvl w:val="3"/>
        <w:numId w:val="1"/>
      </w:numPr>
      <w:spacing w:after="120"/>
      <w:ind w:left="851" w:hanging="851"/>
      <w:outlineLvl w:val="3"/>
    </w:pPr>
    <w:rPr>
      <w:rFonts w:eastAsiaTheme="majorEastAsia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unhideWhenUsed/>
    <w:rsid w:val="005444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unhideWhenUsed/>
    <w:rsid w:val="009C566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unhideWhenUsed/>
    <w:rsid w:val="009C566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9"/>
    <w:unhideWhenUsed/>
    <w:rsid w:val="009C566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9"/>
    <w:unhideWhenUsed/>
    <w:rsid w:val="009C566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basedOn w:val="Normln"/>
    <w:link w:val="TextnormlnChar"/>
    <w:rsid w:val="00544471"/>
  </w:style>
  <w:style w:type="character" w:customStyle="1" w:styleId="TextnormlnChar">
    <w:name w:val="Text normální Char"/>
    <w:basedOn w:val="Standardnpsmoodstavce"/>
    <w:link w:val="Textnormln"/>
    <w:rsid w:val="00544471"/>
  </w:style>
  <w:style w:type="character" w:customStyle="1" w:styleId="Nadpis4Char">
    <w:name w:val="Nadpis 4 Char"/>
    <w:basedOn w:val="Standardnpsmoodstavce"/>
    <w:link w:val="Nadpis4"/>
    <w:uiPriority w:val="99"/>
    <w:rsid w:val="007F7FC9"/>
    <w:rPr>
      <w:rFonts w:asciiTheme="minorHAnsi" w:eastAsiaTheme="majorEastAsia" w:hAnsiTheme="minorHAnsi" w:cstheme="majorBidi"/>
      <w:b/>
      <w:bCs/>
      <w:iCs/>
    </w:rPr>
  </w:style>
  <w:style w:type="character" w:customStyle="1" w:styleId="Nadpis1Char">
    <w:name w:val="Nadpis 1 Char"/>
    <w:basedOn w:val="Standardnpsmoodstavce"/>
    <w:link w:val="Nadpis1"/>
    <w:uiPriority w:val="99"/>
    <w:rsid w:val="009C5669"/>
    <w:rPr>
      <w:rFonts w:asciiTheme="minorHAnsi" w:hAnsiTheme="minorHAnsi" w:cstheme="minorHAnsi"/>
      <w:b/>
      <w:sz w:val="28"/>
    </w:rPr>
  </w:style>
  <w:style w:type="character" w:customStyle="1" w:styleId="Nadpis3Char">
    <w:name w:val="Nadpis 3 Char"/>
    <w:basedOn w:val="Standardnpsmoodstavce"/>
    <w:link w:val="Nadpis3"/>
    <w:uiPriority w:val="99"/>
    <w:rsid w:val="007F7FC9"/>
    <w:rPr>
      <w:rFonts w:asciiTheme="minorHAnsi" w:eastAsiaTheme="majorEastAsia" w:hAnsiTheme="minorHAnsi" w:cstheme="majorBidi"/>
      <w:b/>
    </w:rPr>
  </w:style>
  <w:style w:type="character" w:customStyle="1" w:styleId="Nadpis2Char">
    <w:name w:val="Nadpis 2 Char"/>
    <w:basedOn w:val="Standardnpsmoodstavce"/>
    <w:link w:val="Nadpis2"/>
    <w:uiPriority w:val="99"/>
    <w:rsid w:val="009C5669"/>
    <w:rPr>
      <w:rFonts w:asciiTheme="minorHAnsi" w:eastAsiaTheme="majorEastAsia" w:hAnsiTheme="minorHAnsi" w:cstheme="majorBidi"/>
      <w:b/>
      <w:szCs w:val="26"/>
    </w:rPr>
  </w:style>
  <w:style w:type="paragraph" w:customStyle="1" w:styleId="Zdrojeapozn">
    <w:name w:val="Zdroje a pozn."/>
    <w:basedOn w:val="Normln"/>
    <w:next w:val="Normln"/>
    <w:link w:val="ZdrojeapoznChar"/>
    <w:autoRedefine/>
    <w:rsid w:val="00C66F33"/>
    <w:pPr>
      <w:keepNext/>
      <w:spacing w:before="40"/>
      <w:jc w:val="both"/>
    </w:pPr>
    <w:rPr>
      <w:rFonts w:ascii="Calibri" w:hAnsi="Calibri"/>
      <w:sz w:val="20"/>
    </w:rPr>
  </w:style>
  <w:style w:type="character" w:customStyle="1" w:styleId="ZdrojeapoznChar">
    <w:name w:val="Zdroje a pozn. Char"/>
    <w:basedOn w:val="Standardnpsmoodstavce"/>
    <w:link w:val="Zdrojeapozn"/>
    <w:rsid w:val="00C66F33"/>
    <w:rPr>
      <w:sz w:val="20"/>
    </w:rPr>
  </w:style>
  <w:style w:type="paragraph" w:styleId="Citt">
    <w:name w:val="Quote"/>
    <w:basedOn w:val="Normln"/>
    <w:next w:val="Normln"/>
    <w:link w:val="CittChar"/>
    <w:uiPriority w:val="29"/>
    <w:rsid w:val="005444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44471"/>
    <w:rPr>
      <w:i/>
      <w:iCs/>
      <w:color w:val="404040" w:themeColor="text1" w:themeTint="BF"/>
    </w:rPr>
  </w:style>
  <w:style w:type="paragraph" w:styleId="Bezmezer">
    <w:name w:val="No Spacing"/>
    <w:link w:val="BezmezerChar"/>
    <w:uiPriority w:val="1"/>
    <w:qFormat/>
    <w:rsid w:val="00544471"/>
    <w:pPr>
      <w:jc w:val="both"/>
    </w:pPr>
  </w:style>
  <w:style w:type="character" w:customStyle="1" w:styleId="Nadpis5Char">
    <w:name w:val="Nadpis 5 Char"/>
    <w:basedOn w:val="Standardnpsmoodstavce"/>
    <w:link w:val="Nadpis5"/>
    <w:uiPriority w:val="99"/>
    <w:rsid w:val="0054447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zev">
    <w:name w:val="Title"/>
    <w:basedOn w:val="Normln"/>
    <w:next w:val="Normln"/>
    <w:link w:val="NzevChar"/>
    <w:uiPriority w:val="10"/>
    <w:rsid w:val="005444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4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rsid w:val="0054447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544471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rsid w:val="00544471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44471"/>
    <w:rPr>
      <w:i/>
      <w:iCs/>
    </w:rPr>
  </w:style>
  <w:style w:type="character" w:styleId="Zdraznnintenzivn">
    <w:name w:val="Intense Emphasis"/>
    <w:basedOn w:val="Standardnpsmoodstavce"/>
    <w:uiPriority w:val="21"/>
    <w:rsid w:val="00544471"/>
    <w:rPr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544471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rsid w:val="005444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44471"/>
    <w:rPr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rsid w:val="00544471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rsid w:val="00544471"/>
    <w:rPr>
      <w:b/>
      <w:bCs/>
      <w:smallCaps/>
      <w:color w:val="5B9BD5" w:themeColor="accent1"/>
      <w:spacing w:val="5"/>
    </w:rPr>
  </w:style>
  <w:style w:type="character" w:styleId="Nzevknihy">
    <w:name w:val="Book Title"/>
    <w:basedOn w:val="Standardnpsmoodstavce"/>
    <w:uiPriority w:val="33"/>
    <w:rsid w:val="00544471"/>
    <w:rPr>
      <w:b/>
      <w:bCs/>
      <w:i/>
      <w:iCs/>
      <w:spacing w:val="5"/>
    </w:rPr>
  </w:style>
  <w:style w:type="paragraph" w:styleId="Odstavecseseznamem">
    <w:name w:val="List Paragraph"/>
    <w:aliases w:val="Nad,Nadpis pro KZ,Odstavec cíl se seznamem,Odstavec se seznamem1,Odstavec se seznamem2,Odstavec_muj,můj Nadpis 2,odrážky,List Paragraph,List Paragraph_0,List Paragraph1,List Paragraph2,Nad1,Nad2,Odstavec_muj1,Odstavec_muj10,nad 1"/>
    <w:basedOn w:val="Normln"/>
    <w:link w:val="OdstavecseseznamemChar"/>
    <w:uiPriority w:val="34"/>
    <w:qFormat/>
    <w:rsid w:val="00544471"/>
    <w:pPr>
      <w:ind w:left="720"/>
      <w:contextualSpacing/>
    </w:pPr>
  </w:style>
  <w:style w:type="paragraph" w:customStyle="1" w:styleId="Text">
    <w:name w:val="Text"/>
    <w:basedOn w:val="Normln"/>
    <w:link w:val="TextChar"/>
    <w:qFormat/>
    <w:rsid w:val="009C5669"/>
    <w:pPr>
      <w:spacing w:before="120"/>
      <w:jc w:val="both"/>
    </w:pPr>
    <w:rPr>
      <w:rFonts w:cstheme="minorHAnsi"/>
    </w:rPr>
  </w:style>
  <w:style w:type="character" w:customStyle="1" w:styleId="TextChar">
    <w:name w:val="Text Char"/>
    <w:basedOn w:val="Standardnpsmoodstavce"/>
    <w:link w:val="Text"/>
    <w:rsid w:val="009C5669"/>
    <w:rPr>
      <w:rFonts w:asciiTheme="minorHAnsi" w:hAnsiTheme="minorHAnsi" w:cstheme="minorHAnsi"/>
    </w:rPr>
  </w:style>
  <w:style w:type="character" w:customStyle="1" w:styleId="Nadpis6Char">
    <w:name w:val="Nadpis 6 Char"/>
    <w:basedOn w:val="Standardnpsmoodstavce"/>
    <w:link w:val="Nadpis6"/>
    <w:uiPriority w:val="99"/>
    <w:rsid w:val="009C56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9"/>
    <w:rsid w:val="009C56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9"/>
    <w:rsid w:val="009C566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9"/>
    <w:rsid w:val="009C56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Text"/>
    <w:next w:val="Text"/>
    <w:uiPriority w:val="35"/>
    <w:unhideWhenUsed/>
    <w:qFormat/>
    <w:rsid w:val="00173FDA"/>
    <w:pPr>
      <w:tabs>
        <w:tab w:val="left" w:pos="7938"/>
      </w:tabs>
    </w:pPr>
    <w:rPr>
      <w:iCs/>
      <w:szCs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C5669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D68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688A"/>
    <w:rPr>
      <w:rFonts w:asciiTheme="minorHAnsi" w:hAnsiTheme="minorHAnsi"/>
    </w:rPr>
  </w:style>
  <w:style w:type="paragraph" w:styleId="Zpat">
    <w:name w:val="footer"/>
    <w:basedOn w:val="Normln"/>
    <w:link w:val="ZpatChar"/>
    <w:uiPriority w:val="99"/>
    <w:unhideWhenUsed/>
    <w:rsid w:val="001D68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688A"/>
    <w:rPr>
      <w:rFonts w:asciiTheme="minorHAnsi" w:hAnsiTheme="minorHAnsi"/>
    </w:rPr>
  </w:style>
  <w:style w:type="paragraph" w:styleId="Textpoznpodarou">
    <w:name w:val="footnote text"/>
    <w:aliases w:val="Boston 10,Char,Char Char Char1,Char1,Font: Geneva 9,Footnote,Footnote Text Char1,Fußnotentextf,Geneva 9,Schriftart: 10 pt,Schriftart: 8 pt,Schriftart: 9 pt,Text pozn. pod čarou1,Text poznámky pod čiarou 007,f,o,pozn. pod čarou"/>
    <w:basedOn w:val="Normln"/>
    <w:link w:val="TextpoznpodarouChar"/>
    <w:uiPriority w:val="99"/>
    <w:unhideWhenUsed/>
    <w:qFormat/>
    <w:rsid w:val="00AB1D14"/>
    <w:rPr>
      <w:rFonts w:ascii="Calibri" w:eastAsia="Times New Roman" w:hAnsi="Calibri" w:cs="Times New Roman"/>
      <w:sz w:val="20"/>
      <w:szCs w:val="20"/>
    </w:rPr>
  </w:style>
  <w:style w:type="character" w:customStyle="1" w:styleId="TextpoznpodarouChar">
    <w:name w:val="Text pozn. pod čarou Char"/>
    <w:aliases w:val="Boston 10 Char,Char Char,Char Char Char1 Char,Char1 Char,Font: Geneva 9 Char,Footnote Char,Footnote Text Char1 Char,Fußnotentextf Char,Geneva 9 Char,Schriftart: 10 pt Char,Schriftart: 8 pt Char,Schriftart: 9 pt Char,f Char"/>
    <w:basedOn w:val="Standardnpsmoodstavce"/>
    <w:link w:val="Textpoznpodarou"/>
    <w:uiPriority w:val="99"/>
    <w:qFormat/>
    <w:rsid w:val="00AB1D14"/>
    <w:rPr>
      <w:rFonts w:eastAsia="Times New Roman" w:cs="Times New Roman"/>
      <w:sz w:val="20"/>
      <w:szCs w:val="20"/>
    </w:rPr>
  </w:style>
  <w:style w:type="character" w:styleId="Znakapoznpodarou">
    <w:name w:val="footnote reference"/>
    <w:aliases w:val="4_G,Appel note de bas de p,Appel note de bas de page,BVI fnr,Char Car Car Car Car,Footnote Reference Superscript,Footnote symbol,Légende,Légende.Char Car Car Car Car,PGI Fußnote Ziffer,Voetnootverwijzing,12 b.,Zúžené o ...,number"/>
    <w:basedOn w:val="Standardnpsmoodstavce"/>
    <w:link w:val="BVIfnrCharChar"/>
    <w:uiPriority w:val="99"/>
    <w:unhideWhenUsed/>
    <w:qFormat/>
    <w:rsid w:val="00AB1D14"/>
    <w:rPr>
      <w:vertAlign w:val="superscript"/>
    </w:rPr>
  </w:style>
  <w:style w:type="paragraph" w:customStyle="1" w:styleId="TextKP">
    <w:name w:val="Text KP"/>
    <w:basedOn w:val="Normln"/>
    <w:link w:val="TextKPChar"/>
    <w:qFormat/>
    <w:rsid w:val="003F5107"/>
    <w:pPr>
      <w:spacing w:before="120"/>
      <w:jc w:val="both"/>
    </w:pPr>
    <w:rPr>
      <w:rFonts w:eastAsia="Times New Roman" w:cstheme="minorHAnsi"/>
    </w:rPr>
  </w:style>
  <w:style w:type="character" w:customStyle="1" w:styleId="TextKPChar">
    <w:name w:val="Text KP Char"/>
    <w:basedOn w:val="Standardnpsmoodstavce"/>
    <w:link w:val="TextKP"/>
    <w:rsid w:val="003F5107"/>
    <w:rPr>
      <w:rFonts w:asciiTheme="minorHAnsi" w:eastAsia="Times New Roman" w:hAnsiTheme="minorHAnsi" w:cstheme="minorHAnsi"/>
    </w:rPr>
  </w:style>
  <w:style w:type="paragraph" w:customStyle="1" w:styleId="Zdrojapozn">
    <w:name w:val="Zdroj a pozn."/>
    <w:basedOn w:val="Normln"/>
    <w:next w:val="Text"/>
    <w:link w:val="ZdrojapoznChar"/>
    <w:qFormat/>
    <w:rsid w:val="00E80D7E"/>
    <w:pPr>
      <w:jc w:val="both"/>
    </w:pPr>
    <w:rPr>
      <w:rFonts w:ascii="Calibri" w:eastAsia="Times New Roman" w:hAnsi="Calibri" w:cs="Times New Roman"/>
      <w:sz w:val="20"/>
      <w:lang w:eastAsia="cs-CZ"/>
    </w:rPr>
  </w:style>
  <w:style w:type="character" w:customStyle="1" w:styleId="ZdrojapoznChar">
    <w:name w:val="Zdroj a pozn. Char"/>
    <w:basedOn w:val="Standardnpsmoodstavce"/>
    <w:link w:val="Zdrojapozn"/>
    <w:rsid w:val="00E80D7E"/>
    <w:rPr>
      <w:rFonts w:eastAsia="Times New Roman" w:cs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487340"/>
    <w:rPr>
      <w:color w:val="0000FF"/>
      <w:u w:val="single"/>
    </w:rPr>
  </w:style>
  <w:style w:type="paragraph" w:customStyle="1" w:styleId="Zdrojapoznmka">
    <w:name w:val="Zdroj a poznámka"/>
    <w:basedOn w:val="Bezmezer"/>
    <w:link w:val="ZdrojapoznmkaChar"/>
    <w:rsid w:val="00D162AA"/>
    <w:rPr>
      <w:rFonts w:asciiTheme="minorHAnsi" w:eastAsia="Times New Roman" w:hAnsiTheme="minorHAnsi" w:cs="Times New Roman"/>
      <w:i/>
      <w:sz w:val="20"/>
      <w:szCs w:val="20"/>
    </w:rPr>
  </w:style>
  <w:style w:type="character" w:customStyle="1" w:styleId="ZdrojapoznmkaChar">
    <w:name w:val="Zdroj a poznámka Char"/>
    <w:basedOn w:val="Standardnpsmoodstavce"/>
    <w:link w:val="Zdrojapoznmka"/>
    <w:rsid w:val="00D162AA"/>
    <w:rPr>
      <w:rFonts w:asciiTheme="minorHAnsi" w:eastAsia="Times New Roman" w:hAnsiTheme="minorHAnsi" w:cs="Times New Roman"/>
      <w:i/>
      <w:sz w:val="20"/>
      <w:szCs w:val="20"/>
    </w:rPr>
  </w:style>
  <w:style w:type="character" w:customStyle="1" w:styleId="OdstavecseseznamemChar">
    <w:name w:val="Odstavec se seznamem Char"/>
    <w:aliases w:val="Nad Char,Nadpis pro KZ Char,Odstavec cíl se seznamem Char,Odstavec se seznamem1 Char,Odstavec se seznamem2 Char,Odstavec_muj Char,můj Nadpis 2 Char,odrážky Char,List Paragraph Char,List Paragraph_0 Char,List Paragraph1 Char"/>
    <w:link w:val="Odstavecseseznamem"/>
    <w:uiPriority w:val="34"/>
    <w:locked/>
    <w:rsid w:val="00D162AA"/>
    <w:rPr>
      <w:rFonts w:asciiTheme="minorHAnsi" w:hAnsiTheme="minorHAnsi"/>
    </w:rPr>
  </w:style>
  <w:style w:type="paragraph" w:styleId="Normlnweb">
    <w:name w:val="Normal (Web)"/>
    <w:basedOn w:val="Normln"/>
    <w:uiPriority w:val="99"/>
    <w:rsid w:val="00EC14DC"/>
    <w:rPr>
      <w:rFonts w:eastAsia="Times New Roman" w:cs="Times New Roman"/>
    </w:rPr>
  </w:style>
  <w:style w:type="character" w:styleId="slostrnky">
    <w:name w:val="page number"/>
    <w:basedOn w:val="Standardnpsmoodstavce"/>
    <w:semiHidden/>
    <w:rsid w:val="00EC14DC"/>
  </w:style>
  <w:style w:type="character" w:styleId="Sledovanodkaz">
    <w:name w:val="FollowedHyperlink"/>
    <w:basedOn w:val="Standardnpsmoodstavce"/>
    <w:semiHidden/>
    <w:rsid w:val="00EC14DC"/>
    <w:rPr>
      <w:color w:val="800080"/>
      <w:u w:val="single"/>
    </w:rPr>
  </w:style>
  <w:style w:type="paragraph" w:styleId="Zkladntext">
    <w:name w:val="Body Text"/>
    <w:basedOn w:val="Normln"/>
    <w:link w:val="ZkladntextChar"/>
    <w:semiHidden/>
    <w:rsid w:val="00EC14DC"/>
    <w:pPr>
      <w:jc w:val="both"/>
    </w:pPr>
    <w:rPr>
      <w:rFonts w:ascii="Arial" w:eastAsia="Times New Roman" w:hAnsi="Arial" w:cs="Arial"/>
      <w:i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EC14DC"/>
    <w:rPr>
      <w:rFonts w:ascii="Arial" w:eastAsia="Times New Roman" w:hAnsi="Arial" w:cs="Arial"/>
      <w:i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14DC"/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4DC"/>
    <w:rPr>
      <w:rFonts w:ascii="Tahoma" w:eastAsia="Times New Roman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rsid w:val="00EC14DC"/>
    <w:pPr>
      <w:tabs>
        <w:tab w:val="left" w:pos="480"/>
        <w:tab w:val="right" w:leader="dot" w:pos="9060"/>
      </w:tabs>
      <w:spacing w:before="60" w:after="60"/>
    </w:pPr>
    <w:rPr>
      <w:rFonts w:eastAsia="Times New Roman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C14DC"/>
    <w:pPr>
      <w:ind w:left="240"/>
    </w:pPr>
    <w:rPr>
      <w:rFonts w:eastAsia="Times New Roman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EC14DC"/>
    <w:pPr>
      <w:ind w:left="480"/>
    </w:pPr>
    <w:rPr>
      <w:rFonts w:eastAsia="Times New Roman"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EC14DC"/>
    <w:pPr>
      <w:ind w:left="720"/>
    </w:pPr>
    <w:rPr>
      <w:rFonts w:eastAsia="Times New Roman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EC14DC"/>
    <w:pPr>
      <w:ind w:left="960"/>
    </w:pPr>
    <w:rPr>
      <w:rFonts w:eastAsia="Times New Roman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EC14DC"/>
    <w:pPr>
      <w:ind w:left="1200"/>
    </w:pPr>
    <w:rPr>
      <w:rFonts w:eastAsia="Times New Roman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EC14DC"/>
    <w:pPr>
      <w:ind w:left="1440"/>
    </w:pPr>
    <w:rPr>
      <w:rFonts w:eastAsia="Times New Roman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EC14DC"/>
    <w:pPr>
      <w:ind w:left="1680"/>
    </w:pPr>
    <w:rPr>
      <w:rFonts w:eastAsia="Times New Roman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EC14DC"/>
    <w:pPr>
      <w:ind w:left="1920"/>
    </w:pPr>
    <w:rPr>
      <w:rFonts w:eastAsia="Times New Roman" w:cstheme="minorHAnsi"/>
      <w:sz w:val="18"/>
      <w:szCs w:val="18"/>
    </w:rPr>
  </w:style>
  <w:style w:type="table" w:styleId="Mkatabulky">
    <w:name w:val="Table Grid"/>
    <w:basedOn w:val="Normlntabulka"/>
    <w:uiPriority w:val="39"/>
    <w:rsid w:val="00EC14DC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basedOn w:val="Standardnpsmoodstavce"/>
    <w:link w:val="Bezmezer"/>
    <w:uiPriority w:val="1"/>
    <w:rsid w:val="00EC14DC"/>
  </w:style>
  <w:style w:type="paragraph" w:customStyle="1" w:styleId="Kritria">
    <w:name w:val="Kritéria"/>
    <w:basedOn w:val="TextKP"/>
    <w:link w:val="KritriaChar"/>
    <w:rsid w:val="00EC14DC"/>
    <w:pPr>
      <w:spacing w:before="0"/>
    </w:pPr>
    <w:rPr>
      <w:i/>
    </w:rPr>
  </w:style>
  <w:style w:type="character" w:customStyle="1" w:styleId="KritriaChar">
    <w:name w:val="Kritéria Char"/>
    <w:basedOn w:val="TextKPChar"/>
    <w:link w:val="Kritria"/>
    <w:rsid w:val="00EC14DC"/>
    <w:rPr>
      <w:rFonts w:asciiTheme="minorHAnsi" w:eastAsia="Times New Roman" w:hAnsiTheme="minorHAnsi" w:cstheme="minorHAnsi"/>
      <w:i/>
    </w:rPr>
  </w:style>
  <w:style w:type="table" w:customStyle="1" w:styleId="Mkatabulky1">
    <w:name w:val="Mřížka tabulky1"/>
    <w:basedOn w:val="Normlntabulka"/>
    <w:next w:val="Mkatabulky"/>
    <w:uiPriority w:val="39"/>
    <w:rsid w:val="00EC14DC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EC14DC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kazy">
    <w:name w:val="_rozkazy"/>
    <w:basedOn w:val="Normln"/>
    <w:link w:val="rozkazyChar"/>
    <w:autoRedefine/>
    <w:rsid w:val="00EC14DC"/>
    <w:pPr>
      <w:keepNext/>
    </w:pPr>
    <w:rPr>
      <w:rFonts w:eastAsia="Times New Roman" w:cstheme="minorHAnsi"/>
      <w:i/>
      <w:snapToGrid w:val="0"/>
      <w:sz w:val="22"/>
      <w:szCs w:val="22"/>
      <w:lang w:eastAsia="cs-CZ"/>
    </w:rPr>
  </w:style>
  <w:style w:type="character" w:customStyle="1" w:styleId="rozkazyChar">
    <w:name w:val="_rozkazy Char"/>
    <w:basedOn w:val="Standardnpsmoodstavce"/>
    <w:link w:val="rozkazy"/>
    <w:rsid w:val="00EC14DC"/>
    <w:rPr>
      <w:rFonts w:asciiTheme="minorHAnsi" w:eastAsia="Times New Roman" w:hAnsiTheme="minorHAnsi" w:cstheme="minorHAnsi"/>
      <w:i/>
      <w:snapToGrid w:val="0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C14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C14DC"/>
    <w:rPr>
      <w:rFonts w:eastAsia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C14DC"/>
    <w:rPr>
      <w:rFonts w:asciiTheme="minorHAnsi" w:eastAsia="Times New Roman" w:hAnsiTheme="minorHAns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14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14DC"/>
    <w:rPr>
      <w:rFonts w:asciiTheme="minorHAnsi" w:eastAsia="Times New Roman" w:hAnsiTheme="minorHAnsi" w:cs="Times New Roman"/>
      <w:b/>
      <w:bCs/>
      <w:sz w:val="20"/>
      <w:szCs w:val="20"/>
    </w:rPr>
  </w:style>
  <w:style w:type="character" w:customStyle="1" w:styleId="Role">
    <w:name w:val="Role"/>
    <w:basedOn w:val="Standardnpsmoodstavce"/>
    <w:rsid w:val="00EC14DC"/>
    <w:rPr>
      <w:rFonts w:ascii="Times New Roman" w:hAnsi="Times New Roman"/>
      <w:i/>
      <w:smallCaps/>
    </w:rPr>
  </w:style>
  <w:style w:type="paragraph" w:customStyle="1" w:styleId="Default">
    <w:name w:val="Default"/>
    <w:rsid w:val="00EC14DC"/>
    <w:pPr>
      <w:autoSpaceDE w:val="0"/>
      <w:autoSpaceDN w:val="0"/>
      <w:adjustRightInd w:val="0"/>
    </w:pPr>
    <w:rPr>
      <w:rFonts w:eastAsia="Times New Roman" w:cs="Calibri"/>
      <w:color w:val="000000"/>
      <w:lang w:eastAsia="cs-CZ"/>
    </w:rPr>
  </w:style>
  <w:style w:type="character" w:customStyle="1" w:styleId="apple-converted-space">
    <w:name w:val="apple-converted-space"/>
    <w:basedOn w:val="Standardnpsmoodstavce"/>
    <w:rsid w:val="00EC14DC"/>
  </w:style>
  <w:style w:type="numbering" w:customStyle="1" w:styleId="Bezseznamu1">
    <w:name w:val="Bez seznamu1"/>
    <w:next w:val="Bezseznamu"/>
    <w:uiPriority w:val="99"/>
    <w:semiHidden/>
    <w:unhideWhenUsed/>
    <w:rsid w:val="00EC14DC"/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4DC"/>
    <w:rPr>
      <w:rFonts w:eastAsia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4DC"/>
    <w:rPr>
      <w:rFonts w:asciiTheme="minorHAnsi" w:eastAsia="Times New Roman" w:hAnsiTheme="minorHAns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C14DC"/>
    <w:rPr>
      <w:vertAlign w:val="superscript"/>
    </w:rPr>
  </w:style>
  <w:style w:type="paragraph" w:styleId="Seznamobrzk">
    <w:name w:val="table of figures"/>
    <w:basedOn w:val="Normln"/>
    <w:next w:val="Normln"/>
    <w:uiPriority w:val="99"/>
    <w:unhideWhenUsed/>
    <w:rsid w:val="00EC14DC"/>
    <w:pPr>
      <w:ind w:left="480" w:hanging="480"/>
    </w:pPr>
    <w:rPr>
      <w:rFonts w:eastAsia="Times New Roman" w:cs="Times New Roman"/>
      <w:b/>
      <w:bCs/>
      <w:sz w:val="20"/>
      <w:szCs w:val="20"/>
    </w:rPr>
  </w:style>
  <w:style w:type="paragraph" w:customStyle="1" w:styleId="statementtext">
    <w:name w:val="statement_text"/>
    <w:basedOn w:val="Normln"/>
    <w:rsid w:val="00EC14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CM1">
    <w:name w:val="CM1"/>
    <w:basedOn w:val="Default"/>
    <w:next w:val="Default"/>
    <w:uiPriority w:val="99"/>
    <w:rsid w:val="00EC14DC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EC14DC"/>
    <w:rPr>
      <w:rFonts w:ascii="EUAlbertina" w:eastAsiaTheme="minorHAnsi" w:hAnsi="EUAlbertina" w:cstheme="minorBidi"/>
      <w:color w:val="auto"/>
      <w:lang w:eastAsia="en-US"/>
    </w:rPr>
  </w:style>
  <w:style w:type="paragraph" w:customStyle="1" w:styleId="OM-normln">
    <w:name w:val="OM - normální"/>
    <w:basedOn w:val="Normln"/>
    <w:uiPriority w:val="99"/>
    <w:rsid w:val="00EC14DC"/>
    <w:pPr>
      <w:spacing w:after="1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M4">
    <w:name w:val="CM4"/>
    <w:basedOn w:val="Normln"/>
    <w:next w:val="Normln"/>
    <w:uiPriority w:val="99"/>
    <w:rsid w:val="00EC14DC"/>
    <w:pPr>
      <w:autoSpaceDE w:val="0"/>
      <w:autoSpaceDN w:val="0"/>
      <w:adjustRightInd w:val="0"/>
    </w:pPr>
    <w:rPr>
      <w:rFonts w:ascii="EUAlbertina" w:hAnsi="EUAlbertina"/>
    </w:rPr>
  </w:style>
  <w:style w:type="character" w:styleId="PsacstrojHTML">
    <w:name w:val="HTML Typewriter"/>
    <w:basedOn w:val="Standardnpsmoodstavce"/>
    <w:uiPriority w:val="99"/>
    <w:semiHidden/>
    <w:unhideWhenUsed/>
    <w:rsid w:val="00EC14DC"/>
    <w:rPr>
      <w:rFonts w:ascii="Courier New" w:eastAsia="Times New Roman" w:hAnsi="Courier New" w:cs="Courier New"/>
      <w:sz w:val="20"/>
      <w:szCs w:val="20"/>
    </w:rPr>
  </w:style>
  <w:style w:type="numbering" w:customStyle="1" w:styleId="Bezseznamu2">
    <w:name w:val="Bez seznamu2"/>
    <w:next w:val="Bezseznamu"/>
    <w:uiPriority w:val="99"/>
    <w:semiHidden/>
    <w:unhideWhenUsed/>
    <w:rsid w:val="00EC14DC"/>
  </w:style>
  <w:style w:type="table" w:customStyle="1" w:styleId="Mkatabulky3">
    <w:name w:val="Mřížka tabulky3"/>
    <w:basedOn w:val="Normlntabulka"/>
    <w:next w:val="Mkatabulky"/>
    <w:uiPriority w:val="39"/>
    <w:rsid w:val="00EC14DC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Default"/>
    <w:next w:val="Default"/>
    <w:uiPriority w:val="99"/>
    <w:rsid w:val="00397C76"/>
    <w:pPr>
      <w:spacing w:line="221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table" w:customStyle="1" w:styleId="Mkatabulky61">
    <w:name w:val="Mřížka tabulky61"/>
    <w:basedOn w:val="Normlntabulka"/>
    <w:next w:val="Mkatabulky"/>
    <w:rsid w:val="00D76178"/>
    <w:rPr>
      <w:rFonts w:eastAsia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552AD"/>
    <w:rPr>
      <w:rFonts w:asciiTheme="minorHAnsi" w:hAnsiTheme="minorHAnsi"/>
    </w:rPr>
  </w:style>
  <w:style w:type="character" w:customStyle="1" w:styleId="Styl1-NzevmateriluChar">
    <w:name w:val="Styl1 - Název materiálu Char"/>
    <w:link w:val="Styl1-Nzevmaterilu"/>
    <w:locked/>
    <w:rsid w:val="00361943"/>
    <w:rPr>
      <w:rFonts w:ascii="Arial" w:hAnsi="Arial" w:cs="Arial"/>
      <w:b/>
      <w:noProof/>
      <w:sz w:val="22"/>
    </w:rPr>
  </w:style>
  <w:style w:type="paragraph" w:customStyle="1" w:styleId="Styl1-Nzevmaterilu">
    <w:name w:val="Styl1 - Název materiálu"/>
    <w:basedOn w:val="Normln"/>
    <w:link w:val="Styl1-NzevmateriluChar"/>
    <w:qFormat/>
    <w:rsid w:val="00361943"/>
    <w:pPr>
      <w:overflowPunct w:val="0"/>
      <w:autoSpaceDE w:val="0"/>
      <w:autoSpaceDN w:val="0"/>
      <w:adjustRightInd w:val="0"/>
      <w:jc w:val="center"/>
    </w:pPr>
    <w:rPr>
      <w:rFonts w:ascii="Arial" w:hAnsi="Arial" w:cs="Arial"/>
      <w:b/>
      <w:noProof/>
      <w:sz w:val="22"/>
    </w:rPr>
  </w:style>
  <w:style w:type="paragraph" w:customStyle="1" w:styleId="BVIfnrCharChar">
    <w:name w:val="BVI fnr Char Char"/>
    <w:aliases w:val="Char1 Char Char,Exposant 3 Point Char Char,Footnote Char Char,Footnote reference number Char Char,Footnote symbol Char Char,Ref Char Char,Times 10 Point Char Char,de nota al pie Char Char"/>
    <w:basedOn w:val="Normln"/>
    <w:link w:val="Znakapoznpodarou"/>
    <w:uiPriority w:val="99"/>
    <w:rsid w:val="000567DA"/>
    <w:pPr>
      <w:spacing w:after="160" w:line="240" w:lineRule="exact"/>
    </w:pPr>
    <w:rPr>
      <w:rFonts w:ascii="Calibri" w:hAnsi="Calibri"/>
      <w:vertAlign w:val="superscript"/>
    </w:rPr>
  </w:style>
  <w:style w:type="table" w:customStyle="1" w:styleId="Mkatabulky4">
    <w:name w:val="Mřížka tabulky4"/>
    <w:basedOn w:val="Normlntabulka"/>
    <w:next w:val="Mkatabulky"/>
    <w:uiPriority w:val="39"/>
    <w:rsid w:val="000A760A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1">
    <w:name w:val="Mřížka tabulky41"/>
    <w:basedOn w:val="Normlntabulka"/>
    <w:next w:val="Mkatabulky"/>
    <w:uiPriority w:val="39"/>
    <w:rsid w:val="006265D4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39"/>
    <w:rsid w:val="00907CCB"/>
    <w:rPr>
      <w:rFonts w:eastAsia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">
    <w:name w:val="h1a"/>
    <w:basedOn w:val="Standardnpsmoodstavce"/>
    <w:rsid w:val="008307C9"/>
  </w:style>
  <w:style w:type="character" w:styleId="Nevyeenzmnka">
    <w:name w:val="Unresolved Mention"/>
    <w:basedOn w:val="Standardnpsmoodstavce"/>
    <w:uiPriority w:val="99"/>
    <w:semiHidden/>
    <w:unhideWhenUsed/>
    <w:rsid w:val="00653E12"/>
    <w:rPr>
      <w:color w:val="605E5C"/>
      <w:shd w:val="clear" w:color="auto" w:fill="E1DFDD"/>
    </w:rPr>
  </w:style>
  <w:style w:type="character" w:customStyle="1" w:styleId="A4">
    <w:name w:val="A4"/>
    <w:uiPriority w:val="99"/>
    <w:rsid w:val="008C2A2A"/>
    <w:rPr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0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5692257217847775E-3"/>
          <c:y val="0.19150284785830343"/>
          <c:w val="2.0821803047114843E-2"/>
          <c:h val="4.1714428553573615E-2"/>
        </c:manualLayout>
      </c:layout>
      <c:doughnut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MZd</c:v>
                </c:pt>
              </c:strCache>
            </c:strRef>
          </c:tx>
          <c:spPr>
            <a:solidFill>
              <a:srgbClr val="004595"/>
            </a:solidFill>
          </c:spPr>
          <c:dPt>
            <c:idx val="0"/>
            <c:bubble3D val="0"/>
            <c:spPr>
              <a:solidFill>
                <a:srgbClr val="004595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234-4673-BE6A-C2AC6E0FFA5D}"/>
              </c:ext>
            </c:extLst>
          </c:dPt>
          <c:dPt>
            <c:idx val="1"/>
            <c:bubble3D val="0"/>
            <c:spPr>
              <a:solidFill>
                <a:srgbClr val="BD2A3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234-4673-BE6A-C2AC6E0FFA5D}"/>
              </c:ext>
            </c:extLst>
          </c:dPt>
          <c:dPt>
            <c:idx val="2"/>
            <c:bubble3D val="0"/>
            <c:spPr>
              <a:solidFill>
                <a:srgbClr val="C3C5C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234-4673-BE6A-C2AC6E0FFA5D}"/>
              </c:ext>
            </c:extLst>
          </c:dPt>
          <c:cat>
            <c:strRef>
              <c:f>List1!$A$2:$A$4</c:f>
              <c:strCache>
                <c:ptCount val="3"/>
                <c:pt idx="0">
                  <c:v>Čerpání</c:v>
                </c:pt>
                <c:pt idx="1">
                  <c:v>Nevyčerpáno</c:v>
                </c:pt>
                <c:pt idx="2">
                  <c:v>Mimořádné čerpání zejména v oblasti zajištění varovných systémů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48071662</c:v>
                </c:pt>
                <c:pt idx="1">
                  <c:v>45289760</c:v>
                </c:pt>
                <c:pt idx="2">
                  <c:v>12638578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234-4673-BE6A-C2AC6E0FFA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56453042707409"/>
          <c:y val="0.12336485792536803"/>
          <c:w val="0.94667815776759234"/>
          <c:h val="0.66070246427529888"/>
        </c:manualLayout>
      </c:layout>
      <c:doughnut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MK</c:v>
                </c:pt>
              </c:strCache>
            </c:strRef>
          </c:tx>
          <c:spPr>
            <a:solidFill>
              <a:srgbClr val="004595"/>
            </a:solidFill>
          </c:spPr>
          <c:dPt>
            <c:idx val="0"/>
            <c:bubble3D val="0"/>
            <c:spPr>
              <a:solidFill>
                <a:srgbClr val="004595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BFB-460D-9760-959FF8179FB5}"/>
              </c:ext>
            </c:extLst>
          </c:dPt>
          <c:dPt>
            <c:idx val="1"/>
            <c:bubble3D val="0"/>
            <c:spPr>
              <a:solidFill>
                <a:srgbClr val="BD2A3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BFB-460D-9760-959FF8179FB5}"/>
              </c:ext>
            </c:extLst>
          </c:dPt>
          <c:dLbls>
            <c:dLbl>
              <c:idx val="0"/>
              <c:layout>
                <c:manualLayout>
                  <c:x val="0.10607029253793607"/>
                  <c:y val="5.314019171516593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98 mil.Kč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BFB-460D-9760-959FF8179FB5}"/>
                </c:ext>
              </c:extLst>
            </c:dLbl>
            <c:dLbl>
              <c:idx val="1"/>
              <c:layout>
                <c:manualLayout>
                  <c:x val="-0.11940298507462688"/>
                  <c:y val="-4.16666666666666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 mil. Kč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BFB-460D-9760-959FF8179FB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List1!$A$2:$A$3</c:f>
              <c:strCache>
                <c:ptCount val="2"/>
                <c:pt idx="0">
                  <c:v>čerpání</c:v>
                </c:pt>
                <c:pt idx="1">
                  <c:v>nevyčerpáno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97921747</c:v>
                </c:pt>
                <c:pt idx="1">
                  <c:v>23078253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BFB-460D-9760-959FF8179F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489938757655296E-2"/>
          <c:y val="8.5554192154962794E-2"/>
          <c:w val="0.82847823709536306"/>
          <c:h val="0.68603143267241107"/>
        </c:manualLayout>
      </c:layout>
      <c:doughnut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MZd</c:v>
                </c:pt>
              </c:strCache>
            </c:strRef>
          </c:tx>
          <c:spPr>
            <a:solidFill>
              <a:srgbClr val="004595"/>
            </a:solidFill>
          </c:spPr>
          <c:dPt>
            <c:idx val="0"/>
            <c:bubble3D val="0"/>
            <c:spPr>
              <a:solidFill>
                <a:srgbClr val="004595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500-4DB3-AC17-15A0AA278095}"/>
              </c:ext>
            </c:extLst>
          </c:dPt>
          <c:dPt>
            <c:idx val="1"/>
            <c:bubble3D val="0"/>
            <c:spPr>
              <a:solidFill>
                <a:srgbClr val="BD2A3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500-4DB3-AC17-15A0AA278095}"/>
              </c:ext>
            </c:extLst>
          </c:dPt>
          <c:dPt>
            <c:idx val="2"/>
            <c:bubble3D val="0"/>
            <c:spPr>
              <a:solidFill>
                <a:srgbClr val="C3C5C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500-4DB3-AC17-15A0AA278095}"/>
              </c:ext>
            </c:extLst>
          </c:dPt>
          <c:dLbls>
            <c:dLbl>
              <c:idx val="0"/>
              <c:layout>
                <c:manualLayout>
                  <c:x val="-6.9444444444444441E-3"/>
                  <c:y val="-0.1612493377948228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 mil.Kč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500-4DB3-AC17-15A0AA278095}"/>
                </c:ext>
              </c:extLst>
            </c:dLbl>
            <c:dLbl>
              <c:idx val="1"/>
              <c:layout>
                <c:manualLayout>
                  <c:x val="-1.3888888888888888E-2"/>
                  <c:y val="0.1224489795918367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45 mil.Kč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500-4DB3-AC17-15A0AA278095}"/>
                </c:ext>
              </c:extLst>
            </c:dLbl>
            <c:dLbl>
              <c:idx val="2"/>
              <c:layout>
                <c:manualLayout>
                  <c:x val="-0.14583333333333334"/>
                  <c:y val="-7.499286855963016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 mil.Kč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500-4DB3-AC17-15A0AA27809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List1!$A$2:$A$4</c:f>
              <c:strCache>
                <c:ptCount val="3"/>
                <c:pt idx="0">
                  <c:v>čerpání</c:v>
                </c:pt>
                <c:pt idx="1">
                  <c:v>nevyčerpáno</c:v>
                </c:pt>
                <c:pt idx="2">
                  <c:v>čerpání prostředků MZd na mimodotační aktivity spouvisející s OMC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48071662</c:v>
                </c:pt>
                <c:pt idx="1">
                  <c:v>45289760</c:v>
                </c:pt>
                <c:pt idx="2">
                  <c:v>12638578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500-4DB3-AC17-15A0AA2780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6776868123272672E-2"/>
          <c:y val="8.9434830674818944E-2"/>
          <c:w val="1"/>
          <c:h val="0.69784172661870514"/>
        </c:manualLayout>
      </c:layout>
      <c:doughnut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MV</c:v>
                </c:pt>
              </c:strCache>
            </c:strRef>
          </c:tx>
          <c:spPr>
            <a:solidFill>
              <a:srgbClr val="004595"/>
            </a:solidFill>
          </c:spPr>
          <c:dPt>
            <c:idx val="0"/>
            <c:bubble3D val="0"/>
            <c:spPr>
              <a:solidFill>
                <a:srgbClr val="004595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276-4CFA-A3D0-0596909A47BA}"/>
              </c:ext>
            </c:extLst>
          </c:dPt>
          <c:dPt>
            <c:idx val="1"/>
            <c:bubble3D val="0"/>
            <c:spPr>
              <a:solidFill>
                <a:srgbClr val="BD2A3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276-4CFA-A3D0-0596909A47BA}"/>
              </c:ext>
            </c:extLst>
          </c:dPt>
          <c:dLbls>
            <c:dLbl>
              <c:idx val="0"/>
              <c:layout>
                <c:manualLayout>
                  <c:x val="7.2946759138551392E-2"/>
                  <c:y val="-0.1081952936398709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 mil.Kč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76-4CFA-A3D0-0596909A47BA}"/>
                </c:ext>
              </c:extLst>
            </c:dLbl>
            <c:dLbl>
              <c:idx val="1"/>
              <c:layout>
                <c:manualLayout>
                  <c:x val="-3.316749585406302E-2"/>
                  <c:y val="8.15347721822542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85 mil.Kč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276-4CFA-A3D0-0596909A47BA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List1!$A$2:$A$3</c:f>
              <c:strCache>
                <c:ptCount val="2"/>
                <c:pt idx="0">
                  <c:v>čerpání</c:v>
                </c:pt>
                <c:pt idx="1">
                  <c:v>nevyčerpáno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35274000</c:v>
                </c:pt>
                <c:pt idx="1">
                  <c:v>84726000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276-4CFA-A3D0-0596909A47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0.17153</cdr:x>
      <cdr:y>0.32392</cdr:y>
    </cdr:from>
    <cdr:to>
      <cdr:x>0.89191</cdr:x>
      <cdr:y>0.6523</cdr:y>
    </cdr:to>
    <cdr:sp macro="" textlink="">
      <cdr:nvSpPr>
        <cdr:cNvPr id="2" name="Textové pole 1"/>
        <cdr:cNvSpPr txBox="1"/>
      </cdr:nvSpPr>
      <cdr:spPr>
        <a:xfrm xmlns:a="http://schemas.openxmlformats.org/drawingml/2006/main">
          <a:off x="328943" y="756935"/>
          <a:ext cx="1381473" cy="7673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cs-CZ" sz="1400" b="1"/>
            <a:t>Ministerstvo</a:t>
          </a:r>
          <a:r>
            <a:rPr lang="cs-CZ" sz="1400" b="1" baseline="0"/>
            <a:t> kultury</a:t>
          </a:r>
          <a:r>
            <a:rPr lang="cs-CZ" sz="1400" b="0" baseline="0"/>
            <a:t> </a:t>
          </a:r>
        </a:p>
        <a:p xmlns:a="http://schemas.openxmlformats.org/drawingml/2006/main">
          <a:pPr algn="ctr"/>
          <a:r>
            <a:rPr lang="cs-CZ" sz="1400" b="1" baseline="0"/>
            <a:t> (81 %)</a:t>
          </a:r>
          <a:endParaRPr lang="cs-CZ" sz="1400" b="1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0.27755</cdr:y>
    </cdr:from>
    <cdr:to>
      <cdr:x>1</cdr:x>
      <cdr:y>0.67556</cdr:y>
    </cdr:to>
    <cdr:sp macro="" textlink="">
      <cdr:nvSpPr>
        <cdr:cNvPr id="2" name="Textové pole 1"/>
        <cdr:cNvSpPr txBox="1"/>
      </cdr:nvSpPr>
      <cdr:spPr>
        <a:xfrm xmlns:a="http://schemas.openxmlformats.org/drawingml/2006/main">
          <a:off x="0" y="612977"/>
          <a:ext cx="1828800" cy="8790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cs-CZ" sz="1400" b="1"/>
            <a:t>Ministerstvo</a:t>
          </a:r>
          <a:r>
            <a:rPr lang="cs-CZ" sz="1400" b="1" baseline="0"/>
            <a:t> </a:t>
          </a:r>
        </a:p>
        <a:p xmlns:a="http://schemas.openxmlformats.org/drawingml/2006/main">
          <a:pPr algn="ctr"/>
          <a:r>
            <a:rPr lang="cs-CZ" sz="1400" b="1" baseline="0"/>
            <a:t>zdravotnictví</a:t>
          </a:r>
        </a:p>
        <a:p xmlns:a="http://schemas.openxmlformats.org/drawingml/2006/main">
          <a:pPr algn="ctr"/>
          <a:r>
            <a:rPr lang="cs-CZ" sz="1400" b="1" baseline="0"/>
            <a:t>(57 %)</a:t>
          </a:r>
          <a:endParaRPr lang="cs-CZ" sz="1400" b="1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0.09909</cdr:x>
      <cdr:y>0.28623</cdr:y>
    </cdr:from>
    <cdr:to>
      <cdr:x>0.89801</cdr:x>
      <cdr:y>0.63136</cdr:y>
    </cdr:to>
    <cdr:sp macro="" textlink="">
      <cdr:nvSpPr>
        <cdr:cNvPr id="2" name="Textové pole 1"/>
        <cdr:cNvSpPr txBox="1"/>
      </cdr:nvSpPr>
      <cdr:spPr>
        <a:xfrm xmlns:a="http://schemas.openxmlformats.org/drawingml/2006/main">
          <a:off x="190029" y="634320"/>
          <a:ext cx="1532089" cy="7648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cs-CZ" sz="1400" b="1"/>
            <a:t>Ministerstvo</a:t>
          </a:r>
          <a:r>
            <a:rPr lang="cs-CZ" sz="1400" b="1" baseline="0"/>
            <a:t> vnitra</a:t>
          </a:r>
        </a:p>
        <a:p xmlns:a="http://schemas.openxmlformats.org/drawingml/2006/main">
          <a:pPr algn="ctr"/>
          <a:r>
            <a:rPr lang="cs-CZ" sz="1400" b="1" baseline="0"/>
            <a:t>(29 %)</a:t>
          </a:r>
          <a:endParaRPr lang="cs-CZ" sz="1400" b="1"/>
        </a:p>
      </cdr:txBody>
    </cdr:sp>
  </cdr:relSizeAnchor>
</c:userShape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9B9E8-872E-4017-8005-49948FCB7F62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AEEAF66-A4F9-4058-AC3C-1D72C874A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51249C-508B-4AB2-979A-2CB13649AA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CAFFD5-78E9-44D2-B59D-EB14CA70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4990</Words>
  <Characters>29447</Characters>
  <Application>Microsoft Office Word</Application>
  <DocSecurity>0</DocSecurity>
  <Lines>245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21/21 - Peněžní prostředky státu vynakládané na systém ochrany měkkých cílů</vt:lpstr>
    </vt:vector>
  </TitlesOfParts>
  <Company>NKU</Company>
  <LinksUpToDate>false</LinksUpToDate>
  <CharactersWithSpaces>34369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21/21 - Peněžní prostředky státu vynakládané na systém ochrany měkkých cílů</dc:title>
  <dc:subject>Kontrolní závěr z kontrolní akce NKÚ č. 21/21 - Peněžní prostředky státu vynakládané na systém ochrany měkkých cílů</dc:subject>
  <dc:creator>Nejvyšší kontrolní úřad</dc:creator>
  <cp:keywords/>
  <cp:lastModifiedBy>KOKRDA Daniel</cp:lastModifiedBy>
  <cp:revision>3</cp:revision>
  <cp:lastPrinted>2022-06-09T06:51:00Z</cp:lastPrinted>
  <dcterms:created xsi:type="dcterms:W3CDTF">2022-06-09T06:50:00Z</dcterms:created>
  <dcterms:modified xsi:type="dcterms:W3CDTF">2022-06-09T06:51:00Z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18/04-NKU30/1137/18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840/70/18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20.11.2018</vt:lpwstr>
  </property>
  <property fmtid="{D5CDD505-2E9C-101B-9397-08002B2CF9AE}" pid="11" name="DisplayName_SlozkaStupenUtajeniCollection_Slozka_Pisemnost">
    <vt:lpwstr/>
  </property>
  <property fmtid="{D5CDD505-2E9C-101B-9397-08002B2CF9AE}" pid="12" name="DisplayName_SpisovyUzel_PoziceZodpo_Pisemnost">
    <vt:lpwstr>Členové Úřadu</vt:lpwstr>
  </property>
  <property fmtid="{D5CDD505-2E9C-101B-9397-08002B2CF9AE}" pid="13" name="DisplayName_UserPoriz_Pisemnost">
    <vt:lpwstr>Bc. Jana Pokorná</vt:lpwstr>
  </property>
  <property fmtid="{D5CDD505-2E9C-101B-9397-08002B2CF9AE}" pid="14" name="DuvodZmeny_SlozkaStupenUtajeniCollection_Slozka_Pisemnost">
    <vt:lpwstr/>
  </property>
  <property fmtid="{D5CDD505-2E9C-101B-9397-08002B2CF9AE}" pid="15" name="EC_Pisemnost">
    <vt:lpwstr>18-14516/NKU</vt:lpwstr>
  </property>
  <property fmtid="{D5CDD505-2E9C-101B-9397-08002B2CF9AE}" pid="16" name="Key_BarCode_Pisemnost">
    <vt:lpwstr>*B000325073*</vt:lpwstr>
  </property>
  <property fmtid="{D5CDD505-2E9C-101B-9397-08002B2CF9AE}" pid="17" name="KRukam">
    <vt:lpwstr>{KRukam}</vt:lpwstr>
  </property>
  <property fmtid="{D5CDD505-2E9C-101B-9397-08002B2CF9AE}" pid="18" name="NameAddress_Contact_SpisovyUzel_PoziceZodpo_Pisemnost">
    <vt:lpwstr>ADRESÁT SU...</vt:lpwstr>
  </property>
  <property fmtid="{D5CDD505-2E9C-101B-9397-08002B2CF9AE}" pid="19" name="Odkaz">
    <vt:lpwstr>ODKAZ</vt:lpwstr>
  </property>
  <property fmtid="{D5CDD505-2E9C-101B-9397-08002B2CF9AE}" pid="20" name="Password_PisemnostTypZpristupneniInformaciZOSZ_Pisemnost">
    <vt:lpwstr>ZOSZ_Password</vt:lpwstr>
  </property>
  <property fmtid="{D5CDD505-2E9C-101B-9397-08002B2CF9AE}" pid="21" name="PocetListuDokumentu_Pisemnost">
    <vt:lpwstr>1</vt:lpwstr>
  </property>
  <property fmtid="{D5CDD505-2E9C-101B-9397-08002B2CF9AE}" pid="22" name="PocetListu_Pisemnost">
    <vt:lpwstr>1</vt:lpwstr>
  </property>
  <property fmtid="{D5CDD505-2E9C-101B-9397-08002B2CF9AE}" pid="23" name="PocetPriloh_Pisemnost">
    <vt:lpwstr>POČET PŘÍLOH</vt:lpwstr>
  </property>
  <property fmtid="{D5CDD505-2E9C-101B-9397-08002B2CF9AE}" pid="24" name="Podpis">
    <vt:lpwstr/>
  </property>
  <property fmtid="{D5CDD505-2E9C-101B-9397-08002B2CF9AE}" pid="25" name="PostalAddress_Contact_SpisovyUzel_PoziceZodpo_Pisemnost">
    <vt:lpwstr>ADRESA SU...</vt:lpwstr>
  </property>
  <property fmtid="{D5CDD505-2E9C-101B-9397-08002B2CF9AE}" pid="26" name="RC">
    <vt:lpwstr/>
  </property>
  <property fmtid="{D5CDD505-2E9C-101B-9397-08002B2CF9AE}" pid="27" name="SkartacniZnakLhuta_PisemnostZnak">
    <vt:lpwstr>?/?</vt:lpwstr>
  </property>
  <property fmtid="{D5CDD505-2E9C-101B-9397-08002B2CF9AE}" pid="28" name="SmlouvaCislo">
    <vt:lpwstr>ČÍSLO SMLOUVY</vt:lpwstr>
  </property>
  <property fmtid="{D5CDD505-2E9C-101B-9397-08002B2CF9AE}" pid="29" name="SZ_Spis_Pisemnost">
    <vt:lpwstr>18/04</vt:lpwstr>
  </property>
  <property fmtid="{D5CDD505-2E9C-101B-9397-08002B2CF9AE}" pid="30" name="TEST">
    <vt:lpwstr>testovací pole</vt:lpwstr>
  </property>
  <property fmtid="{D5CDD505-2E9C-101B-9397-08002B2CF9AE}" pid="31" name="TypPrilohy_Pisemnost">
    <vt:lpwstr>TYP PŘÍLOHY</vt:lpwstr>
  </property>
  <property fmtid="{D5CDD505-2E9C-101B-9397-08002B2CF9AE}" pid="32" name="UserName_PisemnostTypZpristupneniInformaciZOSZ_Pisemnost">
    <vt:lpwstr>ZOSZ_UserName</vt:lpwstr>
  </property>
  <property fmtid="{D5CDD505-2E9C-101B-9397-08002B2CF9AE}" pid="33" name="Vec_Pisemnost">
    <vt:lpwstr>Návrh kontrolního závěru 18/04 – do připomínek</vt:lpwstr>
  </property>
  <property fmtid="{D5CDD505-2E9C-101B-9397-08002B2CF9AE}" pid="34" name="Zkratka_SpisovyUzel_PoziceZodpo_Pisemnost">
    <vt:lpwstr>30</vt:lpwstr>
  </property>
  <property fmtid="{D5CDD505-2E9C-101B-9397-08002B2CF9AE}" pid="35" name="ContentTypeId">
    <vt:lpwstr>0x0101002F7A625AE9F5AB4A939F92BCAA7FEC02</vt:lpwstr>
  </property>
</Properties>
</file>