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E8FB" w14:textId="77777777" w:rsidR="00343E58" w:rsidRPr="003B67E0" w:rsidRDefault="00343E58" w:rsidP="00343E58">
      <w:pPr>
        <w:jc w:val="center"/>
        <w:rPr>
          <w:rFonts w:cstheme="minorHAnsi"/>
        </w:rPr>
      </w:pPr>
      <w:r w:rsidRPr="003B67E0">
        <w:rPr>
          <w:rFonts w:cstheme="minorHAnsi"/>
          <w:noProof/>
          <w:lang w:eastAsia="cs-CZ"/>
        </w:rPr>
        <w:drawing>
          <wp:inline distT="0" distB="0" distL="0" distR="0" wp14:anchorId="203EC77E" wp14:editId="2377EC3D">
            <wp:extent cx="828000" cy="713874"/>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CZ-text01-transp-rgb72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8000" cy="713874"/>
                    </a:xfrm>
                    <a:prstGeom prst="rect">
                      <a:avLst/>
                    </a:prstGeom>
                    <a:noFill/>
                    <a:ln>
                      <a:noFill/>
                    </a:ln>
                  </pic:spPr>
                </pic:pic>
              </a:graphicData>
            </a:graphic>
          </wp:inline>
        </w:drawing>
      </w:r>
    </w:p>
    <w:p w14:paraId="33CE16FB" w14:textId="4AAEB43B" w:rsidR="009D796F" w:rsidRDefault="009D796F" w:rsidP="009D796F">
      <w:pPr>
        <w:pStyle w:val="Nzev"/>
        <w:outlineLvl w:val="0"/>
        <w:rPr>
          <w:rFonts w:asciiTheme="minorHAnsi" w:hAnsiTheme="minorHAnsi" w:cstheme="minorHAnsi"/>
          <w:szCs w:val="22"/>
        </w:rPr>
      </w:pPr>
    </w:p>
    <w:p w14:paraId="2B450DA2" w14:textId="77777777" w:rsidR="00343E58" w:rsidRDefault="00343E58" w:rsidP="009D796F">
      <w:pPr>
        <w:pStyle w:val="Nzev"/>
        <w:outlineLvl w:val="0"/>
        <w:rPr>
          <w:rFonts w:asciiTheme="minorHAnsi" w:hAnsiTheme="minorHAnsi" w:cstheme="minorHAnsi"/>
          <w:szCs w:val="22"/>
        </w:rPr>
      </w:pPr>
    </w:p>
    <w:p w14:paraId="04547A0C" w14:textId="77777777" w:rsidR="009D796F" w:rsidRPr="009A0492" w:rsidRDefault="009D796F" w:rsidP="009D796F">
      <w:pPr>
        <w:pStyle w:val="Nzev"/>
        <w:outlineLvl w:val="0"/>
        <w:rPr>
          <w:rFonts w:asciiTheme="minorHAnsi" w:hAnsiTheme="minorHAnsi" w:cstheme="minorHAnsi"/>
          <w:szCs w:val="22"/>
        </w:rPr>
      </w:pPr>
    </w:p>
    <w:p w14:paraId="37DAD030" w14:textId="77777777" w:rsidR="009D796F" w:rsidRPr="008E6616" w:rsidRDefault="009D796F" w:rsidP="009D796F">
      <w:pPr>
        <w:pStyle w:val="Nzev"/>
        <w:outlineLvl w:val="0"/>
        <w:rPr>
          <w:rFonts w:asciiTheme="minorHAnsi" w:hAnsiTheme="minorHAnsi" w:cstheme="minorHAnsi"/>
          <w:sz w:val="28"/>
          <w:szCs w:val="28"/>
        </w:rPr>
      </w:pPr>
      <w:r w:rsidRPr="008E6616">
        <w:rPr>
          <w:rFonts w:asciiTheme="minorHAnsi" w:hAnsiTheme="minorHAnsi" w:cstheme="minorHAnsi"/>
          <w:sz w:val="28"/>
          <w:szCs w:val="28"/>
        </w:rPr>
        <w:t>Kontrolní závěr z kontrolní akce</w:t>
      </w:r>
    </w:p>
    <w:p w14:paraId="60719342" w14:textId="77777777" w:rsidR="009D796F" w:rsidRPr="009A0492" w:rsidRDefault="009D796F" w:rsidP="009D796F">
      <w:pPr>
        <w:pStyle w:val="Nzev"/>
        <w:outlineLvl w:val="0"/>
        <w:rPr>
          <w:rFonts w:asciiTheme="minorHAnsi" w:hAnsiTheme="minorHAnsi" w:cstheme="minorHAnsi"/>
          <w:szCs w:val="22"/>
        </w:rPr>
      </w:pPr>
    </w:p>
    <w:p w14:paraId="002B324F" w14:textId="77777777" w:rsidR="009D796F" w:rsidRDefault="009D796F" w:rsidP="009D796F">
      <w:pPr>
        <w:spacing w:after="0" w:line="240" w:lineRule="auto"/>
        <w:jc w:val="center"/>
        <w:rPr>
          <w:rFonts w:cstheme="minorHAnsi"/>
          <w:b/>
          <w:bCs/>
          <w:sz w:val="28"/>
          <w:szCs w:val="28"/>
        </w:rPr>
      </w:pPr>
      <w:r>
        <w:rPr>
          <w:rFonts w:cstheme="minorHAnsi"/>
          <w:b/>
          <w:bCs/>
          <w:sz w:val="28"/>
          <w:szCs w:val="28"/>
        </w:rPr>
        <w:t>23/28</w:t>
      </w:r>
    </w:p>
    <w:p w14:paraId="1435A052" w14:textId="77777777" w:rsidR="009D796F" w:rsidRPr="008E6616" w:rsidRDefault="009D796F" w:rsidP="009D796F">
      <w:pPr>
        <w:spacing w:after="0" w:line="240" w:lineRule="auto"/>
        <w:jc w:val="center"/>
        <w:rPr>
          <w:rFonts w:cstheme="minorHAnsi"/>
          <w:b/>
          <w:bCs/>
          <w:sz w:val="28"/>
          <w:szCs w:val="28"/>
        </w:rPr>
      </w:pPr>
    </w:p>
    <w:p w14:paraId="6854364A" w14:textId="77777777" w:rsidR="009D796F" w:rsidRDefault="009D796F" w:rsidP="009D796F">
      <w:pPr>
        <w:spacing w:after="0" w:line="264" w:lineRule="auto"/>
        <w:jc w:val="center"/>
        <w:rPr>
          <w:rFonts w:ascii="Calibri" w:hAnsi="Calibri" w:cs="Calibri"/>
          <w:sz w:val="24"/>
          <w:szCs w:val="24"/>
        </w:rPr>
      </w:pPr>
      <w:r w:rsidRPr="009E3B9F">
        <w:rPr>
          <w:rFonts w:cstheme="minorHAnsi"/>
          <w:b/>
          <w:sz w:val="28"/>
          <w:szCs w:val="28"/>
        </w:rPr>
        <w:t>Majetek a peněžní prostředky státu, s nimiž mají právo hospodařit vybrané zkušební ústavy v působnosti Ministerstva průmyslu a obchodu</w:t>
      </w:r>
    </w:p>
    <w:p w14:paraId="01B3AE8D" w14:textId="77777777" w:rsidR="009D796F" w:rsidRDefault="009D796F" w:rsidP="009D796F">
      <w:pPr>
        <w:spacing w:after="0" w:line="264" w:lineRule="auto"/>
        <w:jc w:val="both"/>
        <w:rPr>
          <w:rFonts w:ascii="Calibri" w:hAnsi="Calibri" w:cs="Calibri"/>
          <w:sz w:val="24"/>
          <w:szCs w:val="24"/>
        </w:rPr>
      </w:pPr>
    </w:p>
    <w:p w14:paraId="653C11F7" w14:textId="77777777" w:rsidR="009D796F" w:rsidRDefault="009D796F" w:rsidP="009D796F">
      <w:pPr>
        <w:spacing w:after="0" w:line="264" w:lineRule="auto"/>
        <w:jc w:val="both"/>
        <w:rPr>
          <w:rFonts w:ascii="Calibri" w:hAnsi="Calibri" w:cs="Calibri"/>
          <w:sz w:val="24"/>
          <w:szCs w:val="24"/>
        </w:rPr>
      </w:pPr>
    </w:p>
    <w:p w14:paraId="4C8A1A28" w14:textId="353E7F61" w:rsidR="009D796F" w:rsidRPr="008A1F80" w:rsidRDefault="009D796F" w:rsidP="009D796F">
      <w:pPr>
        <w:spacing w:after="0" w:line="264" w:lineRule="auto"/>
        <w:jc w:val="both"/>
        <w:rPr>
          <w:rFonts w:ascii="Calibri" w:hAnsi="Calibri" w:cs="Calibri"/>
          <w:sz w:val="24"/>
          <w:szCs w:val="24"/>
        </w:rPr>
      </w:pPr>
      <w:r w:rsidRPr="008A1F80">
        <w:rPr>
          <w:rFonts w:ascii="Calibri" w:hAnsi="Calibri" w:cs="Calibri"/>
          <w:sz w:val="24"/>
          <w:szCs w:val="24"/>
        </w:rPr>
        <w:t>Kontrolní akce byla zařazena do plánu kontrolní činnosti Nejvyššího kontrolního úřa</w:t>
      </w:r>
      <w:r>
        <w:rPr>
          <w:rFonts w:ascii="Calibri" w:hAnsi="Calibri" w:cs="Calibri"/>
          <w:sz w:val="24"/>
          <w:szCs w:val="24"/>
        </w:rPr>
        <w:t>du (dále také „NKÚ“) na rok 2023</w:t>
      </w:r>
      <w:r w:rsidRPr="008A1F80">
        <w:rPr>
          <w:rFonts w:ascii="Calibri" w:hAnsi="Calibri" w:cs="Calibri"/>
          <w:sz w:val="24"/>
          <w:szCs w:val="24"/>
        </w:rPr>
        <w:t xml:space="preserve"> pod číslem </w:t>
      </w:r>
      <w:r>
        <w:rPr>
          <w:rFonts w:ascii="Calibri" w:hAnsi="Calibri" w:cs="Calibri"/>
          <w:sz w:val="24"/>
          <w:szCs w:val="24"/>
        </w:rPr>
        <w:t>23/28. Kontrolní akci řídil a kontrolní závěr vypracoval člen NKÚ Ing. Michal Šmucr</w:t>
      </w:r>
      <w:r w:rsidR="00AD5C53">
        <w:rPr>
          <w:rFonts w:ascii="Calibri" w:hAnsi="Calibri" w:cs="Calibri"/>
          <w:sz w:val="24"/>
          <w:szCs w:val="24"/>
        </w:rPr>
        <w:t>.</w:t>
      </w:r>
    </w:p>
    <w:p w14:paraId="691A50D0" w14:textId="77777777" w:rsidR="009D796F" w:rsidRPr="008E6616" w:rsidRDefault="009D796F" w:rsidP="009D796F">
      <w:pPr>
        <w:spacing w:after="0" w:line="264" w:lineRule="auto"/>
        <w:jc w:val="both"/>
        <w:rPr>
          <w:rFonts w:ascii="Calibri" w:hAnsi="Calibri" w:cs="Calibri"/>
          <w:sz w:val="24"/>
          <w:szCs w:val="24"/>
          <w:highlight w:val="yellow"/>
        </w:rPr>
      </w:pPr>
    </w:p>
    <w:p w14:paraId="319B2510" w14:textId="77777777" w:rsidR="009D796F" w:rsidRDefault="009D796F" w:rsidP="009D796F">
      <w:pPr>
        <w:spacing w:after="0" w:line="264" w:lineRule="auto"/>
        <w:jc w:val="both"/>
        <w:rPr>
          <w:rFonts w:ascii="Calibri" w:hAnsi="Calibri" w:cs="Calibri"/>
          <w:sz w:val="24"/>
          <w:szCs w:val="24"/>
          <w:highlight w:val="yellow"/>
        </w:rPr>
      </w:pPr>
      <w:r w:rsidRPr="008A1F80">
        <w:rPr>
          <w:rFonts w:ascii="Calibri" w:hAnsi="Calibri" w:cs="Calibri"/>
          <w:sz w:val="24"/>
          <w:szCs w:val="24"/>
        </w:rPr>
        <w:t>Cílem kontroly</w:t>
      </w:r>
      <w:r>
        <w:rPr>
          <w:rFonts w:ascii="Calibri" w:hAnsi="Calibri" w:cs="Calibri"/>
          <w:sz w:val="24"/>
          <w:szCs w:val="24"/>
        </w:rPr>
        <w:t xml:space="preserve"> bylo p</w:t>
      </w:r>
      <w:r w:rsidRPr="0075206E">
        <w:rPr>
          <w:rFonts w:ascii="Calibri" w:hAnsi="Calibri" w:cs="Calibri"/>
          <w:sz w:val="24"/>
          <w:szCs w:val="24"/>
        </w:rPr>
        <w:t>rověřit,</w:t>
      </w:r>
      <w:r>
        <w:rPr>
          <w:rFonts w:ascii="Calibri" w:hAnsi="Calibri" w:cs="Calibri"/>
          <w:sz w:val="24"/>
          <w:szCs w:val="24"/>
        </w:rPr>
        <w:t xml:space="preserve"> zda</w:t>
      </w:r>
      <w:r w:rsidRPr="0075206E">
        <w:rPr>
          <w:rFonts w:ascii="Calibri" w:hAnsi="Calibri" w:cs="Calibri"/>
          <w:sz w:val="24"/>
          <w:szCs w:val="24"/>
        </w:rPr>
        <w:t xml:space="preserve"> </w:t>
      </w:r>
      <w:r w:rsidRPr="009E3B9F">
        <w:rPr>
          <w:rFonts w:ascii="Calibri" w:hAnsi="Calibri" w:cs="Calibri"/>
          <w:sz w:val="24"/>
          <w:szCs w:val="24"/>
        </w:rPr>
        <w:t>Ministerstvo průmyslu a obchodu plní řádně funkci zakladatele zkušebních ústavů a zda vybrané zkušební ústavy postupují při výkonu práva hospodařit s majetkem a peněžními prostředky státu hospodárně a v souladu s právními předpisy.</w:t>
      </w:r>
    </w:p>
    <w:p w14:paraId="27E9A710" w14:textId="77777777" w:rsidR="009D796F" w:rsidRDefault="009D796F" w:rsidP="009D796F">
      <w:pPr>
        <w:spacing w:after="0" w:line="264" w:lineRule="auto"/>
        <w:jc w:val="both"/>
        <w:rPr>
          <w:rFonts w:ascii="Calibri" w:hAnsi="Calibri" w:cs="Calibri"/>
          <w:b/>
          <w:sz w:val="24"/>
          <w:szCs w:val="24"/>
        </w:rPr>
      </w:pPr>
    </w:p>
    <w:p w14:paraId="49BAD8E5" w14:textId="77777777" w:rsidR="009D796F" w:rsidRPr="00CD654C" w:rsidRDefault="009D796F" w:rsidP="009D796F">
      <w:pPr>
        <w:spacing w:after="0" w:line="264" w:lineRule="auto"/>
        <w:jc w:val="both"/>
        <w:rPr>
          <w:rFonts w:ascii="Calibri" w:hAnsi="Calibri" w:cs="Calibri"/>
          <w:b/>
          <w:sz w:val="24"/>
          <w:szCs w:val="24"/>
        </w:rPr>
      </w:pPr>
      <w:r w:rsidRPr="00CD654C">
        <w:rPr>
          <w:rFonts w:ascii="Calibri" w:hAnsi="Calibri" w:cs="Calibri"/>
          <w:b/>
          <w:sz w:val="24"/>
          <w:szCs w:val="24"/>
        </w:rPr>
        <w:t>Kontrolované osoby:</w:t>
      </w:r>
    </w:p>
    <w:p w14:paraId="201F98FE" w14:textId="72E0A66B" w:rsidR="009D796F" w:rsidRDefault="009D796F" w:rsidP="009D796F">
      <w:pPr>
        <w:spacing w:after="0" w:line="264" w:lineRule="auto"/>
        <w:jc w:val="both"/>
        <w:rPr>
          <w:rFonts w:ascii="Calibri" w:hAnsi="Calibri" w:cs="Calibri"/>
          <w:sz w:val="24"/>
          <w:szCs w:val="24"/>
        </w:rPr>
      </w:pPr>
      <w:r>
        <w:rPr>
          <w:rFonts w:ascii="Calibri" w:hAnsi="Calibri" w:cs="Calibri"/>
          <w:sz w:val="24"/>
          <w:szCs w:val="24"/>
        </w:rPr>
        <w:t>Ministerstvo průmyslu a obchodu (dále také „MPO“)</w:t>
      </w:r>
      <w:r w:rsidR="00AC3E67">
        <w:rPr>
          <w:rFonts w:ascii="Calibri" w:hAnsi="Calibri" w:cs="Calibri"/>
          <w:sz w:val="24"/>
          <w:szCs w:val="24"/>
        </w:rPr>
        <w:t>;</w:t>
      </w:r>
    </w:p>
    <w:p w14:paraId="773D0CE8" w14:textId="2F5D4B3C" w:rsidR="009D796F" w:rsidRDefault="009D796F" w:rsidP="009D796F">
      <w:pPr>
        <w:spacing w:after="0" w:line="264" w:lineRule="auto"/>
        <w:jc w:val="both"/>
        <w:rPr>
          <w:rFonts w:ascii="Calibri" w:hAnsi="Calibri" w:cs="Calibri"/>
          <w:sz w:val="24"/>
          <w:szCs w:val="24"/>
        </w:rPr>
      </w:pPr>
      <w:r>
        <w:rPr>
          <w:rFonts w:ascii="Calibri" w:hAnsi="Calibri" w:cs="Calibri"/>
          <w:sz w:val="24"/>
          <w:szCs w:val="24"/>
        </w:rPr>
        <w:t>Elektrotechnický zkušební ústav, s. p. (dále také „EZÚ“)</w:t>
      </w:r>
      <w:r w:rsidR="00AC3E67">
        <w:rPr>
          <w:rFonts w:ascii="Calibri" w:hAnsi="Calibri" w:cs="Calibri"/>
          <w:sz w:val="24"/>
          <w:szCs w:val="24"/>
        </w:rPr>
        <w:t>;</w:t>
      </w:r>
    </w:p>
    <w:p w14:paraId="7C2508CE" w14:textId="09213B7F" w:rsidR="009D796F" w:rsidRPr="008A1F80" w:rsidRDefault="009D796F" w:rsidP="009D796F">
      <w:pPr>
        <w:spacing w:after="0" w:line="264" w:lineRule="auto"/>
        <w:jc w:val="both"/>
        <w:rPr>
          <w:rFonts w:ascii="Calibri" w:hAnsi="Calibri" w:cs="Calibri"/>
          <w:sz w:val="24"/>
          <w:szCs w:val="24"/>
        </w:rPr>
      </w:pPr>
      <w:r>
        <w:rPr>
          <w:rFonts w:ascii="Calibri" w:hAnsi="Calibri" w:cs="Calibri"/>
          <w:sz w:val="24"/>
          <w:szCs w:val="24"/>
        </w:rPr>
        <w:t>Technický a zkušební ústav stavební Praha, s.p. (dále také „TZÚS“).</w:t>
      </w:r>
    </w:p>
    <w:p w14:paraId="33CFAFA9" w14:textId="77777777" w:rsidR="009D796F" w:rsidRDefault="009D796F" w:rsidP="009D796F">
      <w:pPr>
        <w:spacing w:after="0" w:line="264" w:lineRule="auto"/>
        <w:jc w:val="both"/>
        <w:rPr>
          <w:rFonts w:ascii="Calibri" w:hAnsi="Calibri" w:cs="Calibri"/>
          <w:sz w:val="24"/>
          <w:szCs w:val="24"/>
        </w:rPr>
      </w:pPr>
    </w:p>
    <w:p w14:paraId="4192C4BB" w14:textId="77777777" w:rsidR="009D796F" w:rsidRDefault="009D796F" w:rsidP="009D796F">
      <w:pPr>
        <w:spacing w:after="0" w:line="264" w:lineRule="auto"/>
        <w:jc w:val="both"/>
        <w:rPr>
          <w:rFonts w:ascii="Calibri" w:hAnsi="Calibri" w:cs="Calibri"/>
          <w:sz w:val="24"/>
          <w:szCs w:val="24"/>
        </w:rPr>
      </w:pPr>
      <w:r>
        <w:rPr>
          <w:rFonts w:ascii="Calibri" w:hAnsi="Calibri" w:cs="Calibri"/>
          <w:sz w:val="24"/>
          <w:szCs w:val="24"/>
        </w:rPr>
        <w:t>Kontrolováno bylo období od roku 2019 do roku 2024, v případě věcných souvislostí i období předcházející.</w:t>
      </w:r>
    </w:p>
    <w:p w14:paraId="369207B6" w14:textId="77777777" w:rsidR="009D796F" w:rsidRDefault="009D796F" w:rsidP="009D796F">
      <w:pPr>
        <w:spacing w:after="0" w:line="264" w:lineRule="auto"/>
        <w:jc w:val="both"/>
        <w:rPr>
          <w:rFonts w:ascii="Calibri" w:hAnsi="Calibri" w:cs="Calibri"/>
          <w:sz w:val="24"/>
          <w:szCs w:val="24"/>
        </w:rPr>
      </w:pPr>
    </w:p>
    <w:p w14:paraId="1B3E996D" w14:textId="77777777" w:rsidR="009D796F" w:rsidRDefault="009D796F" w:rsidP="009D796F">
      <w:pPr>
        <w:spacing w:after="0" w:line="264" w:lineRule="auto"/>
        <w:jc w:val="both"/>
        <w:rPr>
          <w:rFonts w:ascii="Calibri" w:hAnsi="Calibri" w:cs="Calibri"/>
          <w:sz w:val="24"/>
          <w:szCs w:val="24"/>
        </w:rPr>
      </w:pPr>
      <w:r>
        <w:rPr>
          <w:rFonts w:ascii="Calibri" w:hAnsi="Calibri" w:cs="Calibri"/>
          <w:sz w:val="24"/>
          <w:szCs w:val="24"/>
        </w:rPr>
        <w:t>Kontrola byla u kontrolovan</w:t>
      </w:r>
      <w:r w:rsidR="00B12B2F">
        <w:rPr>
          <w:rFonts w:ascii="Calibri" w:hAnsi="Calibri" w:cs="Calibri"/>
          <w:sz w:val="24"/>
          <w:szCs w:val="24"/>
        </w:rPr>
        <w:t>ých</w:t>
      </w:r>
      <w:r>
        <w:rPr>
          <w:rFonts w:ascii="Calibri" w:hAnsi="Calibri" w:cs="Calibri"/>
          <w:sz w:val="24"/>
          <w:szCs w:val="24"/>
        </w:rPr>
        <w:t xml:space="preserve"> osob prováděna v době od listopadu 2023 do června 2024.</w:t>
      </w:r>
    </w:p>
    <w:p w14:paraId="4B90A8F0" w14:textId="77777777" w:rsidR="009D796F" w:rsidRDefault="009D796F" w:rsidP="009D796F">
      <w:pPr>
        <w:spacing w:after="0" w:line="264" w:lineRule="auto"/>
        <w:jc w:val="both"/>
        <w:rPr>
          <w:rFonts w:ascii="Calibri" w:hAnsi="Calibri" w:cs="Calibri"/>
          <w:sz w:val="24"/>
          <w:szCs w:val="24"/>
          <w:highlight w:val="yellow"/>
        </w:rPr>
      </w:pPr>
    </w:p>
    <w:p w14:paraId="07ADDDD3" w14:textId="77777777" w:rsidR="009D796F" w:rsidRPr="008E6616" w:rsidRDefault="009D796F" w:rsidP="009D796F">
      <w:pPr>
        <w:spacing w:after="0" w:line="264" w:lineRule="auto"/>
        <w:jc w:val="both"/>
        <w:rPr>
          <w:rFonts w:ascii="Calibri" w:hAnsi="Calibri" w:cs="Calibri"/>
          <w:sz w:val="24"/>
          <w:szCs w:val="24"/>
          <w:highlight w:val="yellow"/>
        </w:rPr>
      </w:pPr>
    </w:p>
    <w:p w14:paraId="3423AAF0" w14:textId="28AB7EB5" w:rsidR="009D796F" w:rsidRPr="00433825" w:rsidRDefault="009D796F" w:rsidP="009D796F">
      <w:pPr>
        <w:spacing w:after="0" w:line="360" w:lineRule="auto"/>
      </w:pPr>
      <w:bookmarkStart w:id="0" w:name="_Hlk177397983"/>
      <w:r w:rsidRPr="00A40431">
        <w:rPr>
          <w:rFonts w:ascii="Calibri" w:hAnsi="Calibri" w:cs="Calibri"/>
          <w:b/>
          <w:bCs/>
          <w:i/>
          <w:iCs/>
          <w:sz w:val="24"/>
          <w:szCs w:val="24"/>
        </w:rPr>
        <w:t>K</w:t>
      </w:r>
      <w:r w:rsidRPr="00433825">
        <w:rPr>
          <w:rFonts w:ascii="Calibri" w:hAnsi="Calibri" w:cs="Calibri"/>
          <w:b/>
          <w:bCs/>
          <w:i/>
          <w:iCs/>
          <w:sz w:val="24"/>
          <w:szCs w:val="24"/>
        </w:rPr>
        <w:t xml:space="preserve"> o l e g i u m   N K Ú  </w:t>
      </w:r>
      <w:r w:rsidRPr="00433825">
        <w:rPr>
          <w:rFonts w:ascii="Calibri" w:hAnsi="Calibri" w:cs="Calibri"/>
          <w:sz w:val="24"/>
          <w:szCs w:val="24"/>
        </w:rPr>
        <w:t xml:space="preserve"> </w:t>
      </w:r>
      <w:r w:rsidRPr="00433825">
        <w:rPr>
          <w:sz w:val="24"/>
          <w:szCs w:val="24"/>
        </w:rPr>
        <w:t>na svém</w:t>
      </w:r>
      <w:r>
        <w:rPr>
          <w:sz w:val="24"/>
          <w:szCs w:val="24"/>
        </w:rPr>
        <w:t xml:space="preserve"> </w:t>
      </w:r>
      <w:r w:rsidR="004B7519">
        <w:rPr>
          <w:sz w:val="24"/>
          <w:szCs w:val="24"/>
        </w:rPr>
        <w:t>XIII.</w:t>
      </w:r>
      <w:r>
        <w:rPr>
          <w:sz w:val="24"/>
          <w:szCs w:val="24"/>
        </w:rPr>
        <w:t xml:space="preserve"> je</w:t>
      </w:r>
      <w:r w:rsidRPr="00433825">
        <w:rPr>
          <w:sz w:val="24"/>
          <w:szCs w:val="24"/>
        </w:rPr>
        <w:t>dnání, které se konalo dne</w:t>
      </w:r>
      <w:r>
        <w:rPr>
          <w:sz w:val="24"/>
          <w:szCs w:val="24"/>
        </w:rPr>
        <w:t xml:space="preserve"> </w:t>
      </w:r>
      <w:r w:rsidR="004B7519">
        <w:rPr>
          <w:sz w:val="24"/>
          <w:szCs w:val="24"/>
        </w:rPr>
        <w:t xml:space="preserve">16. září </w:t>
      </w:r>
      <w:r>
        <w:rPr>
          <w:sz w:val="24"/>
          <w:szCs w:val="24"/>
        </w:rPr>
        <w:t>2024</w:t>
      </w:r>
      <w:r w:rsidRPr="00433825">
        <w:rPr>
          <w:sz w:val="24"/>
          <w:szCs w:val="24"/>
        </w:rPr>
        <w:t>,</w:t>
      </w:r>
    </w:p>
    <w:p w14:paraId="5761975F" w14:textId="227CC738" w:rsidR="009D796F" w:rsidRPr="00A40431" w:rsidRDefault="009D796F" w:rsidP="009D796F">
      <w:pPr>
        <w:pStyle w:val="NormlnKZ"/>
        <w:spacing w:after="0" w:line="360" w:lineRule="auto"/>
        <w:ind w:firstLine="0"/>
        <w:rPr>
          <w:rFonts w:ascii="Calibri" w:hAnsi="Calibri" w:cs="Calibri"/>
          <w:sz w:val="24"/>
        </w:rPr>
      </w:pPr>
      <w:r w:rsidRPr="00A40431">
        <w:rPr>
          <w:rFonts w:ascii="Calibri" w:hAnsi="Calibri" w:cs="Calibri"/>
          <w:b/>
          <w:bCs/>
          <w:i/>
          <w:iCs/>
          <w:sz w:val="24"/>
        </w:rPr>
        <w:t xml:space="preserve">s c h v á l i </w:t>
      </w:r>
      <w:r w:rsidRPr="00433825">
        <w:rPr>
          <w:rFonts w:asciiTheme="minorHAnsi" w:hAnsiTheme="minorHAnsi" w:cstheme="minorHAnsi"/>
          <w:b/>
          <w:bCs/>
          <w:i/>
          <w:iCs/>
          <w:sz w:val="24"/>
        </w:rPr>
        <w:t xml:space="preserve">l o  </w:t>
      </w:r>
      <w:r w:rsidRPr="00433825">
        <w:rPr>
          <w:rFonts w:asciiTheme="minorHAnsi" w:hAnsiTheme="minorHAnsi" w:cstheme="minorHAnsi"/>
          <w:sz w:val="24"/>
        </w:rPr>
        <w:t xml:space="preserve"> usnesením č. </w:t>
      </w:r>
      <w:r w:rsidR="00A96AEC">
        <w:rPr>
          <w:rFonts w:asciiTheme="minorHAnsi" w:hAnsiTheme="minorHAnsi" w:cstheme="minorHAnsi"/>
          <w:sz w:val="24"/>
        </w:rPr>
        <w:t>8</w:t>
      </w:r>
      <w:r w:rsidR="004B7519">
        <w:rPr>
          <w:rFonts w:asciiTheme="minorHAnsi" w:hAnsiTheme="minorHAnsi" w:cstheme="minorHAnsi"/>
          <w:sz w:val="24"/>
        </w:rPr>
        <w:t>/XIII/2024</w:t>
      </w:r>
    </w:p>
    <w:p w14:paraId="55F8FDB7" w14:textId="77777777" w:rsidR="009D796F" w:rsidRDefault="009D796F" w:rsidP="009D796F">
      <w:pPr>
        <w:pStyle w:val="NormlnKZ"/>
        <w:spacing w:after="0" w:line="360" w:lineRule="auto"/>
        <w:ind w:firstLine="0"/>
        <w:rPr>
          <w:rFonts w:ascii="Calibri" w:hAnsi="Calibri" w:cs="Calibri"/>
          <w:sz w:val="24"/>
        </w:rPr>
      </w:pPr>
      <w:r w:rsidRPr="00A40431">
        <w:rPr>
          <w:rFonts w:ascii="Calibri" w:hAnsi="Calibri" w:cs="Calibri"/>
          <w:b/>
          <w:bCs/>
          <w:i/>
          <w:iCs/>
          <w:sz w:val="24"/>
        </w:rPr>
        <w:t>k o n t r o l n í   z á v ě r</w:t>
      </w:r>
      <w:r w:rsidRPr="00A40431">
        <w:rPr>
          <w:rFonts w:ascii="Calibri" w:hAnsi="Calibri" w:cs="Calibri"/>
          <w:sz w:val="24"/>
        </w:rPr>
        <w:t xml:space="preserve">   </w:t>
      </w:r>
      <w:r w:rsidRPr="00BE2CEF">
        <w:rPr>
          <w:rFonts w:asciiTheme="minorHAnsi" w:hAnsiTheme="minorHAnsi" w:cs="Calibri"/>
          <w:color w:val="000000"/>
          <w:sz w:val="24"/>
        </w:rPr>
        <w:t>v tomto znění:</w:t>
      </w:r>
      <w:bookmarkEnd w:id="0"/>
    </w:p>
    <w:p w14:paraId="4C2A2607" w14:textId="77777777" w:rsidR="009D796F" w:rsidRDefault="009D796F" w:rsidP="00311251">
      <w:pPr>
        <w:jc w:val="center"/>
        <w:rPr>
          <w:b/>
          <w:sz w:val="28"/>
        </w:rPr>
      </w:pPr>
    </w:p>
    <w:p w14:paraId="0801BE80" w14:textId="77777777" w:rsidR="009D796F" w:rsidRDefault="009D796F" w:rsidP="00311251">
      <w:pPr>
        <w:jc w:val="center"/>
        <w:rPr>
          <w:b/>
          <w:sz w:val="28"/>
        </w:rPr>
      </w:pPr>
    </w:p>
    <w:p w14:paraId="45F5F3D0" w14:textId="77777777" w:rsidR="009D796F" w:rsidRDefault="009D796F" w:rsidP="00311251">
      <w:pPr>
        <w:jc w:val="center"/>
        <w:rPr>
          <w:b/>
          <w:sz w:val="28"/>
        </w:rPr>
      </w:pPr>
    </w:p>
    <w:p w14:paraId="07975F10" w14:textId="77777777" w:rsidR="00751E90" w:rsidRPr="00077AAF" w:rsidRDefault="00751E90" w:rsidP="00311251">
      <w:pPr>
        <w:jc w:val="center"/>
        <w:rPr>
          <w:b/>
          <w:sz w:val="28"/>
        </w:rPr>
      </w:pPr>
      <w:r w:rsidRPr="00077AAF">
        <w:rPr>
          <w:b/>
          <w:sz w:val="28"/>
        </w:rPr>
        <w:lastRenderedPageBreak/>
        <w:t>Vybrané zkušební ústavy v působnosti MPO</w:t>
      </w:r>
    </w:p>
    <w:p w14:paraId="5A1663FC" w14:textId="6C6A32B3" w:rsidR="00077AAF" w:rsidRDefault="00077AAF" w:rsidP="00077AAF">
      <w:pPr>
        <w:tabs>
          <w:tab w:val="left" w:pos="1115"/>
        </w:tabs>
        <w:rPr>
          <w:b/>
        </w:rPr>
      </w:pPr>
    </w:p>
    <w:p w14:paraId="4127DC30" w14:textId="77777777" w:rsidR="00077AAF" w:rsidRPr="00F17BDF" w:rsidRDefault="00077AAF" w:rsidP="00077AAF">
      <w:pPr>
        <w:tabs>
          <w:tab w:val="left" w:pos="1115"/>
        </w:tabs>
        <w:rPr>
          <w:b/>
        </w:rPr>
      </w:pPr>
    </w:p>
    <w:p w14:paraId="2806A7B8" w14:textId="77777777" w:rsidR="00077AAF" w:rsidRPr="00F92FA0" w:rsidRDefault="00077AAF" w:rsidP="00077AAF">
      <w:pPr>
        <w:tabs>
          <w:tab w:val="left" w:pos="1115"/>
        </w:tabs>
        <w:rPr>
          <w:caps/>
        </w:rPr>
      </w:pPr>
      <w:r w:rsidRPr="00E06AAB">
        <w:rPr>
          <w:b/>
          <w:noProof/>
          <w:sz w:val="28"/>
          <w:lang w:eastAsia="cs-CZ"/>
        </w:rPr>
        <mc:AlternateContent>
          <mc:Choice Requires="wps">
            <w:drawing>
              <wp:anchor distT="0" distB="0" distL="114300" distR="114300" simplePos="0" relativeHeight="251659264" behindDoc="0" locked="0" layoutInCell="1" allowOverlap="1" wp14:anchorId="7A690BBF" wp14:editId="2AF48F9B">
                <wp:simplePos x="0" y="0"/>
                <wp:positionH relativeFrom="margin">
                  <wp:posOffset>43405</wp:posOffset>
                </wp:positionH>
                <wp:positionV relativeFrom="paragraph">
                  <wp:posOffset>75915</wp:posOffset>
                </wp:positionV>
                <wp:extent cx="5696250" cy="14400"/>
                <wp:effectExtent l="0" t="0" r="19050" b="24130"/>
                <wp:wrapNone/>
                <wp:docPr id="4" name="Přímá spojnice 4"/>
                <wp:cNvGraphicFramePr/>
                <a:graphic xmlns:a="http://schemas.openxmlformats.org/drawingml/2006/main">
                  <a:graphicData uri="http://schemas.microsoft.com/office/word/2010/wordprocessingShape">
                    <wps:wsp>
                      <wps:cNvCnPr/>
                      <wps:spPr>
                        <a:xfrm>
                          <a:off x="0" y="0"/>
                          <a:ext cx="5696250" cy="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E983E9"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6pt" to="45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" strokecolor="black [3213]" strokeweight=".5pt">
                <v:stroke joinstyle="miter"/>
                <w10:wrap anchorx="margin"/>
              </v:line>
            </w:pict>
          </mc:Fallback>
        </mc:AlternateContent>
      </w:r>
    </w:p>
    <w:tbl>
      <w:tblPr>
        <w:tblStyle w:val="Mkatabulky"/>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52"/>
        <w:gridCol w:w="2410"/>
      </w:tblGrid>
      <w:tr w:rsidR="00077AAF" w:rsidRPr="00C34336" w14:paraId="276055BA" w14:textId="77777777" w:rsidTr="00D22539">
        <w:tc>
          <w:tcPr>
            <w:tcW w:w="4106" w:type="dxa"/>
            <w:vAlign w:val="center"/>
          </w:tcPr>
          <w:p w14:paraId="225D0A46" w14:textId="77777777" w:rsidR="00077AAF" w:rsidRPr="00C112F6" w:rsidRDefault="00077AAF" w:rsidP="00D22539">
            <w:pPr>
              <w:jc w:val="center"/>
              <w:rPr>
                <w:sz w:val="24"/>
              </w:rPr>
            </w:pPr>
          </w:p>
        </w:tc>
        <w:tc>
          <w:tcPr>
            <w:tcW w:w="2552" w:type="dxa"/>
          </w:tcPr>
          <w:p w14:paraId="665FDD65" w14:textId="291C1A16" w:rsidR="00077AAF" w:rsidRPr="00C34336" w:rsidRDefault="00AC3E67" w:rsidP="00D22539">
            <w:pPr>
              <w:jc w:val="center"/>
              <w:rPr>
                <w:bCs/>
                <w:sz w:val="20"/>
                <w:szCs w:val="20"/>
              </w:rPr>
            </w:pPr>
            <w:r>
              <w:rPr>
                <w:bCs/>
                <w:sz w:val="20"/>
                <w:szCs w:val="20"/>
              </w:rPr>
              <w:t>V</w:t>
            </w:r>
            <w:r w:rsidR="00077AAF">
              <w:rPr>
                <w:bCs/>
                <w:sz w:val="20"/>
                <w:szCs w:val="20"/>
              </w:rPr>
              <w:t>ýnosy v roce</w:t>
            </w:r>
            <w:r w:rsidR="00077AAF" w:rsidRPr="00C34336">
              <w:rPr>
                <w:bCs/>
                <w:sz w:val="20"/>
                <w:szCs w:val="20"/>
              </w:rPr>
              <w:t xml:space="preserve"> 2023</w:t>
            </w:r>
          </w:p>
        </w:tc>
        <w:tc>
          <w:tcPr>
            <w:tcW w:w="2410" w:type="dxa"/>
          </w:tcPr>
          <w:p w14:paraId="06BD4DDA" w14:textId="362176F0" w:rsidR="00077AAF" w:rsidRPr="00C34336" w:rsidRDefault="00AC3E67" w:rsidP="00D22539">
            <w:pPr>
              <w:jc w:val="center"/>
              <w:rPr>
                <w:bCs/>
                <w:sz w:val="20"/>
                <w:szCs w:val="20"/>
              </w:rPr>
            </w:pPr>
            <w:r>
              <w:rPr>
                <w:bCs/>
                <w:sz w:val="20"/>
                <w:szCs w:val="20"/>
              </w:rPr>
              <w:t>V</w:t>
            </w:r>
            <w:r w:rsidR="00077AAF">
              <w:rPr>
                <w:bCs/>
                <w:sz w:val="20"/>
                <w:szCs w:val="20"/>
              </w:rPr>
              <w:t>ýsledek hospodaření za rok</w:t>
            </w:r>
            <w:r w:rsidR="00077AAF" w:rsidRPr="00C34336">
              <w:rPr>
                <w:bCs/>
                <w:sz w:val="20"/>
                <w:szCs w:val="20"/>
              </w:rPr>
              <w:t xml:space="preserve"> 2023</w:t>
            </w:r>
          </w:p>
        </w:tc>
      </w:tr>
      <w:tr w:rsidR="00077AAF" w14:paraId="486C36AD" w14:textId="77777777" w:rsidTr="009316BE">
        <w:trPr>
          <w:trHeight w:val="589"/>
        </w:trPr>
        <w:tc>
          <w:tcPr>
            <w:tcW w:w="4106" w:type="dxa"/>
            <w:vAlign w:val="center"/>
          </w:tcPr>
          <w:p w14:paraId="35C57685" w14:textId="77777777" w:rsidR="00077AAF" w:rsidRPr="00C112F6" w:rsidRDefault="00077AAF" w:rsidP="00D22539">
            <w:pPr>
              <w:jc w:val="center"/>
              <w:rPr>
                <w:bCs/>
                <w:sz w:val="24"/>
              </w:rPr>
            </w:pPr>
            <w:r w:rsidRPr="00C112F6">
              <w:rPr>
                <w:bCs/>
                <w:sz w:val="24"/>
              </w:rPr>
              <w:t>Elektrotechnický zkušební ústav, s. p.</w:t>
            </w:r>
          </w:p>
        </w:tc>
        <w:tc>
          <w:tcPr>
            <w:tcW w:w="2552" w:type="dxa"/>
            <w:vAlign w:val="center"/>
          </w:tcPr>
          <w:p w14:paraId="73609DC3" w14:textId="6A5F7996" w:rsidR="00077AAF" w:rsidRDefault="00077AAF" w:rsidP="008A1263">
            <w:pPr>
              <w:jc w:val="center"/>
              <w:rPr>
                <w:b/>
                <w:sz w:val="28"/>
              </w:rPr>
            </w:pPr>
            <w:r>
              <w:rPr>
                <w:b/>
                <w:sz w:val="28"/>
              </w:rPr>
              <w:t>146</w:t>
            </w:r>
            <w:r w:rsidRPr="0088436F">
              <w:rPr>
                <w:b/>
                <w:sz w:val="28"/>
              </w:rPr>
              <w:t xml:space="preserve"> mil. Kč</w:t>
            </w:r>
          </w:p>
        </w:tc>
        <w:tc>
          <w:tcPr>
            <w:tcW w:w="2410" w:type="dxa"/>
            <w:vAlign w:val="center"/>
          </w:tcPr>
          <w:p w14:paraId="5C912CB0" w14:textId="25063AB5" w:rsidR="00077AAF" w:rsidRDefault="00077AAF" w:rsidP="008A1263">
            <w:pPr>
              <w:jc w:val="center"/>
              <w:rPr>
                <w:b/>
                <w:sz w:val="28"/>
              </w:rPr>
            </w:pPr>
            <w:r>
              <w:rPr>
                <w:b/>
                <w:sz w:val="28"/>
              </w:rPr>
              <w:t>5,85</w:t>
            </w:r>
            <w:r w:rsidRPr="0088436F">
              <w:rPr>
                <w:b/>
                <w:sz w:val="28"/>
              </w:rPr>
              <w:t xml:space="preserve"> mil. Kč</w:t>
            </w:r>
          </w:p>
        </w:tc>
      </w:tr>
      <w:tr w:rsidR="00077AAF" w14:paraId="5E3C3F76" w14:textId="77777777" w:rsidTr="009316BE">
        <w:trPr>
          <w:trHeight w:val="589"/>
        </w:trPr>
        <w:tc>
          <w:tcPr>
            <w:tcW w:w="4106" w:type="dxa"/>
            <w:vAlign w:val="center"/>
          </w:tcPr>
          <w:p w14:paraId="7A7A6369" w14:textId="3CDCB0D3" w:rsidR="00077AAF" w:rsidRPr="00C112F6" w:rsidRDefault="00077AAF" w:rsidP="00D22539">
            <w:pPr>
              <w:jc w:val="center"/>
              <w:rPr>
                <w:bCs/>
                <w:sz w:val="24"/>
              </w:rPr>
            </w:pPr>
            <w:r w:rsidRPr="00C112F6">
              <w:rPr>
                <w:bCs/>
                <w:sz w:val="24"/>
              </w:rPr>
              <w:t xml:space="preserve">Technický a zkušební ústav </w:t>
            </w:r>
            <w:r>
              <w:rPr>
                <w:bCs/>
                <w:sz w:val="24"/>
              </w:rPr>
              <w:br/>
            </w:r>
            <w:r w:rsidRPr="00C112F6">
              <w:rPr>
                <w:bCs/>
                <w:sz w:val="24"/>
              </w:rPr>
              <w:t xml:space="preserve">stavební Praha, </w:t>
            </w:r>
            <w:proofErr w:type="spellStart"/>
            <w:r w:rsidRPr="00C112F6">
              <w:rPr>
                <w:bCs/>
                <w:sz w:val="24"/>
              </w:rPr>
              <w:t>s.p</w:t>
            </w:r>
            <w:proofErr w:type="spellEnd"/>
            <w:r w:rsidRPr="00C112F6">
              <w:rPr>
                <w:bCs/>
                <w:sz w:val="24"/>
              </w:rPr>
              <w:t>.</w:t>
            </w:r>
          </w:p>
        </w:tc>
        <w:tc>
          <w:tcPr>
            <w:tcW w:w="2552" w:type="dxa"/>
            <w:vAlign w:val="center"/>
          </w:tcPr>
          <w:p w14:paraId="4444A7CF" w14:textId="5A30907C" w:rsidR="00077AAF" w:rsidRDefault="00077AAF" w:rsidP="008A1263">
            <w:pPr>
              <w:jc w:val="center"/>
              <w:rPr>
                <w:b/>
                <w:sz w:val="28"/>
              </w:rPr>
            </w:pPr>
            <w:r>
              <w:rPr>
                <w:b/>
                <w:sz w:val="28"/>
              </w:rPr>
              <w:t>268</w:t>
            </w:r>
            <w:r w:rsidRPr="0088436F">
              <w:rPr>
                <w:b/>
                <w:sz w:val="28"/>
              </w:rPr>
              <w:t xml:space="preserve"> mil. Kč</w:t>
            </w:r>
          </w:p>
        </w:tc>
        <w:tc>
          <w:tcPr>
            <w:tcW w:w="2410" w:type="dxa"/>
            <w:vAlign w:val="center"/>
          </w:tcPr>
          <w:p w14:paraId="18E682FF" w14:textId="0F647168" w:rsidR="00077AAF" w:rsidRDefault="00077AAF" w:rsidP="008A1263">
            <w:pPr>
              <w:jc w:val="center"/>
              <w:rPr>
                <w:b/>
                <w:sz w:val="28"/>
              </w:rPr>
            </w:pPr>
            <w:r>
              <w:rPr>
                <w:b/>
                <w:sz w:val="28"/>
              </w:rPr>
              <w:t>6</w:t>
            </w:r>
            <w:r w:rsidRPr="0088436F">
              <w:rPr>
                <w:b/>
                <w:sz w:val="28"/>
              </w:rPr>
              <w:t xml:space="preserve"> mil. Kč</w:t>
            </w:r>
          </w:p>
        </w:tc>
      </w:tr>
    </w:tbl>
    <w:p w14:paraId="485B6F01" w14:textId="77777777" w:rsidR="00077AAF" w:rsidRPr="00E06AAB" w:rsidRDefault="00077AAF" w:rsidP="00077AAF">
      <w:pPr>
        <w:rPr>
          <w:b/>
        </w:rPr>
      </w:pPr>
    </w:p>
    <w:p w14:paraId="76BE4ABB" w14:textId="77777777" w:rsidR="00077AAF" w:rsidRPr="00E06AAB" w:rsidRDefault="00077AAF" w:rsidP="00077AAF">
      <w:pPr>
        <w:tabs>
          <w:tab w:val="left" w:pos="1747"/>
          <w:tab w:val="center" w:pos="4536"/>
        </w:tabs>
        <w:rPr>
          <w:caps/>
        </w:rPr>
      </w:pPr>
      <w:r w:rsidRPr="00E06AAB">
        <w:rPr>
          <w:b/>
          <w:noProof/>
          <w:sz w:val="28"/>
          <w:lang w:eastAsia="cs-CZ"/>
        </w:rPr>
        <mc:AlternateContent>
          <mc:Choice Requires="wps">
            <w:drawing>
              <wp:anchor distT="0" distB="0" distL="114300" distR="114300" simplePos="0" relativeHeight="251660288" behindDoc="0" locked="0" layoutInCell="1" allowOverlap="1" wp14:anchorId="0335F279" wp14:editId="47A3B22C">
                <wp:simplePos x="0" y="0"/>
                <wp:positionH relativeFrom="margin">
                  <wp:align>left</wp:align>
                </wp:positionH>
                <wp:positionV relativeFrom="paragraph">
                  <wp:posOffset>86030</wp:posOffset>
                </wp:positionV>
                <wp:extent cx="5745285" cy="7200"/>
                <wp:effectExtent l="0" t="0" r="27305" b="31115"/>
                <wp:wrapNone/>
                <wp:docPr id="6" name="Přímá spojnice 6"/>
                <wp:cNvGraphicFramePr/>
                <a:graphic xmlns:a="http://schemas.openxmlformats.org/drawingml/2006/main">
                  <a:graphicData uri="http://schemas.microsoft.com/office/word/2010/wordprocessingShape">
                    <wps:wsp>
                      <wps:cNvCnPr/>
                      <wps:spPr>
                        <a:xfrm flipV="1">
                          <a:off x="0" y="0"/>
                          <a:ext cx="5745285" cy="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04A18A" id="Přímá spojnice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52.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" strokecolor="black [3213]" strokeweight=".5pt">
                <v:stroke joinstyle="miter"/>
                <w10:wrap anchorx="margin"/>
              </v:line>
            </w:pict>
          </mc:Fallback>
        </mc:AlternateContent>
      </w:r>
      <w:r w:rsidRPr="00E06AAB">
        <w:rPr>
          <w:caps/>
        </w:rPr>
        <w:tab/>
      </w:r>
      <w:r w:rsidRPr="00E06AAB">
        <w:rPr>
          <w:caps/>
        </w:rPr>
        <w:tab/>
      </w:r>
    </w:p>
    <w:p w14:paraId="7D45F22C" w14:textId="77777777" w:rsidR="00077AAF" w:rsidRPr="00E06AAB" w:rsidRDefault="00077AAF" w:rsidP="00077AAF">
      <w:pPr>
        <w:ind w:left="2118" w:hanging="1410"/>
        <w:rPr>
          <w:b/>
        </w:rPr>
      </w:pPr>
    </w:p>
    <w:tbl>
      <w:tblPr>
        <w:tblStyle w:val="Mkatabulky1"/>
        <w:tblW w:w="0" w:type="auto"/>
        <w:jc w:val="right"/>
        <w:tblInd w:w="0" w:type="dxa"/>
        <w:tblBorders>
          <w:top w:val="none" w:sz="0" w:space="0" w:color="auto"/>
          <w:left w:val="none" w:sz="0" w:space="0" w:color="auto"/>
          <w:bottom w:val="none" w:sz="0" w:space="0" w:color="auto"/>
          <w:right w:val="none" w:sz="0" w:space="0" w:color="auto"/>
          <w:insideH w:val="single" w:sz="24" w:space="0" w:color="FFFFFF"/>
          <w:insideV w:val="single" w:sz="24" w:space="0" w:color="FFFFFF"/>
        </w:tblBorders>
        <w:tblCellMar>
          <w:top w:w="113" w:type="dxa"/>
          <w:bottom w:w="113" w:type="dxa"/>
        </w:tblCellMar>
        <w:tblLook w:val="04A0" w:firstRow="1" w:lastRow="0" w:firstColumn="1" w:lastColumn="0" w:noHBand="0" w:noVBand="1"/>
      </w:tblPr>
      <w:tblGrid>
        <w:gridCol w:w="3089"/>
        <w:gridCol w:w="283"/>
        <w:gridCol w:w="5638"/>
      </w:tblGrid>
      <w:tr w:rsidR="00077AAF" w:rsidRPr="00CE25DC" w14:paraId="4E733DAE" w14:textId="77777777" w:rsidTr="00D22539">
        <w:trPr>
          <w:trHeight w:val="932"/>
          <w:jc w:val="right"/>
        </w:trPr>
        <w:tc>
          <w:tcPr>
            <w:tcW w:w="3089" w:type="dxa"/>
            <w:tcBorders>
              <w:top w:val="nil"/>
              <w:left w:val="nil"/>
              <w:bottom w:val="single" w:sz="24" w:space="0" w:color="FFFFFF"/>
              <w:right w:val="single" w:sz="24" w:space="0" w:color="FFFFFF"/>
            </w:tcBorders>
            <w:shd w:val="clear" w:color="auto" w:fill="auto"/>
            <w:vAlign w:val="center"/>
            <w:hideMark/>
          </w:tcPr>
          <w:p w14:paraId="7F688721" w14:textId="370D993E" w:rsidR="00077AAF" w:rsidRPr="00E0459D" w:rsidRDefault="00077AAF" w:rsidP="00D22539">
            <w:pPr>
              <w:jc w:val="center"/>
              <w:rPr>
                <w:rFonts w:asciiTheme="minorHAnsi" w:hAnsiTheme="minorHAnsi" w:cstheme="minorHAnsi"/>
                <w:b/>
                <w:color w:val="2EB3A1"/>
                <w:sz w:val="24"/>
                <w:szCs w:val="24"/>
              </w:rPr>
            </w:pPr>
            <w:bookmarkStart w:id="1" w:name="_Hlk154057051"/>
            <w:r>
              <w:rPr>
                <w:rFonts w:asciiTheme="minorHAnsi" w:hAnsiTheme="minorHAnsi" w:cstheme="minorHAnsi"/>
                <w:b/>
                <w:sz w:val="32"/>
                <w:szCs w:val="32"/>
              </w:rPr>
              <w:t>721</w:t>
            </w:r>
            <w:r w:rsidRPr="00077AAF">
              <w:rPr>
                <w:rFonts w:asciiTheme="minorHAnsi" w:hAnsiTheme="minorHAnsi" w:cstheme="minorHAnsi"/>
                <w:b/>
                <w:sz w:val="32"/>
                <w:szCs w:val="32"/>
              </w:rPr>
              <w:t xml:space="preserve"> mil. Kč</w:t>
            </w:r>
          </w:p>
        </w:tc>
        <w:tc>
          <w:tcPr>
            <w:tcW w:w="283" w:type="dxa"/>
            <w:tcBorders>
              <w:top w:val="nil"/>
              <w:left w:val="single" w:sz="24" w:space="0" w:color="FFFFFF"/>
              <w:bottom w:val="single" w:sz="24" w:space="0" w:color="FFFFFF"/>
              <w:right w:val="single" w:sz="24" w:space="0" w:color="FFFFFF"/>
            </w:tcBorders>
          </w:tcPr>
          <w:p w14:paraId="6814F4A6" w14:textId="77777777" w:rsidR="00077AAF" w:rsidRPr="00182A7B" w:rsidRDefault="00077AAF" w:rsidP="00D22539">
            <w:pPr>
              <w:jc w:val="center"/>
              <w:rPr>
                <w:rFonts w:asciiTheme="minorHAnsi" w:hAnsiTheme="minorHAnsi" w:cstheme="minorHAnsi"/>
              </w:rPr>
            </w:pPr>
          </w:p>
        </w:tc>
        <w:tc>
          <w:tcPr>
            <w:tcW w:w="5638" w:type="dxa"/>
            <w:tcBorders>
              <w:top w:val="nil"/>
              <w:left w:val="single" w:sz="24" w:space="0" w:color="FFFFFF"/>
              <w:bottom w:val="single" w:sz="24" w:space="0" w:color="FFFFFF"/>
              <w:right w:val="nil"/>
            </w:tcBorders>
            <w:vAlign w:val="center"/>
            <w:hideMark/>
          </w:tcPr>
          <w:p w14:paraId="06FA614B" w14:textId="1D454813" w:rsidR="00077AAF" w:rsidRPr="00077AAF" w:rsidRDefault="00077AAF" w:rsidP="00D22539">
            <w:pPr>
              <w:rPr>
                <w:rFonts w:asciiTheme="minorHAnsi" w:hAnsiTheme="minorHAnsi" w:cstheme="minorHAnsi"/>
                <w:sz w:val="24"/>
                <w:szCs w:val="22"/>
              </w:rPr>
            </w:pPr>
            <w:r w:rsidRPr="00077AAF">
              <w:rPr>
                <w:rFonts w:asciiTheme="minorHAnsi" w:hAnsiTheme="minorHAnsi" w:cstheme="minorHAnsi"/>
                <w:sz w:val="24"/>
                <w:szCs w:val="22"/>
              </w:rPr>
              <w:t>kontrolovaný objem</w:t>
            </w:r>
          </w:p>
        </w:tc>
      </w:tr>
      <w:bookmarkEnd w:id="1"/>
      <w:tr w:rsidR="00077AAF" w:rsidRPr="00CE25DC" w14:paraId="73354367" w14:textId="77777777" w:rsidTr="00D22539">
        <w:trPr>
          <w:trHeight w:val="1002"/>
          <w:jc w:val="right"/>
        </w:trPr>
        <w:tc>
          <w:tcPr>
            <w:tcW w:w="3089" w:type="dxa"/>
            <w:tcBorders>
              <w:top w:val="single" w:sz="24" w:space="0" w:color="FFFFFF"/>
              <w:left w:val="nil"/>
              <w:bottom w:val="single" w:sz="24" w:space="0" w:color="FFFFFF"/>
              <w:right w:val="single" w:sz="24" w:space="0" w:color="FFFFFF"/>
            </w:tcBorders>
            <w:shd w:val="clear" w:color="auto" w:fill="auto"/>
            <w:vAlign w:val="center"/>
            <w:hideMark/>
          </w:tcPr>
          <w:p w14:paraId="36122855" w14:textId="79786E1C" w:rsidR="00077AAF" w:rsidRPr="00E0459D" w:rsidRDefault="00077AAF" w:rsidP="00D22539">
            <w:pPr>
              <w:jc w:val="center"/>
              <w:rPr>
                <w:rFonts w:asciiTheme="minorHAnsi" w:hAnsiTheme="minorHAnsi" w:cstheme="minorHAnsi"/>
                <w:b/>
                <w:color w:val="FDC300"/>
                <w:sz w:val="32"/>
                <w:szCs w:val="32"/>
              </w:rPr>
            </w:pPr>
            <w:r w:rsidRPr="00E0459D">
              <w:rPr>
                <w:rFonts w:asciiTheme="minorHAnsi" w:hAnsiTheme="minorHAnsi" w:cstheme="minorHAnsi"/>
                <w:b/>
                <w:color w:val="2EB3A1"/>
                <w:sz w:val="24"/>
                <w:szCs w:val="24"/>
              </w:rPr>
              <w:t>Oba zkušební ústavy plní účel, pro který byly založeny</w:t>
            </w:r>
          </w:p>
        </w:tc>
        <w:tc>
          <w:tcPr>
            <w:tcW w:w="283" w:type="dxa"/>
            <w:tcBorders>
              <w:top w:val="single" w:sz="24" w:space="0" w:color="FFFFFF"/>
              <w:left w:val="single" w:sz="24" w:space="0" w:color="FFFFFF"/>
              <w:bottom w:val="single" w:sz="24" w:space="0" w:color="FFFFFF"/>
              <w:right w:val="single" w:sz="24" w:space="0" w:color="FFFFFF"/>
            </w:tcBorders>
          </w:tcPr>
          <w:p w14:paraId="71A222D6" w14:textId="77777777" w:rsidR="00077AAF" w:rsidRPr="00182A7B" w:rsidRDefault="00077AAF" w:rsidP="00D22539">
            <w:pPr>
              <w:jc w:val="center"/>
              <w:rPr>
                <w:rFonts w:asciiTheme="minorHAnsi" w:hAnsiTheme="minorHAnsi" w:cstheme="minorHAnsi"/>
              </w:rPr>
            </w:pPr>
          </w:p>
        </w:tc>
        <w:tc>
          <w:tcPr>
            <w:tcW w:w="5638" w:type="dxa"/>
            <w:tcBorders>
              <w:top w:val="single" w:sz="24" w:space="0" w:color="FFFFFF"/>
              <w:left w:val="single" w:sz="24" w:space="0" w:color="FFFFFF"/>
              <w:bottom w:val="single" w:sz="24" w:space="0" w:color="FFFFFF"/>
              <w:right w:val="nil"/>
            </w:tcBorders>
            <w:vAlign w:val="center"/>
            <w:hideMark/>
          </w:tcPr>
          <w:p w14:paraId="741F6366" w14:textId="24A6BF81" w:rsidR="00077AAF" w:rsidRPr="00C112F6" w:rsidRDefault="00077AAF" w:rsidP="009316BE">
            <w:pPr>
              <w:jc w:val="both"/>
              <w:rPr>
                <w:rFonts w:asciiTheme="minorHAnsi" w:hAnsiTheme="minorHAnsi" w:cstheme="minorHAnsi"/>
                <w:b/>
                <w:sz w:val="24"/>
                <w:szCs w:val="22"/>
              </w:rPr>
            </w:pPr>
            <w:r w:rsidRPr="00C112F6">
              <w:rPr>
                <w:rFonts w:asciiTheme="minorHAnsi" w:hAnsiTheme="minorHAnsi" w:cstheme="minorHAnsi"/>
                <w:sz w:val="24"/>
                <w:szCs w:val="22"/>
              </w:rPr>
              <w:t>Účelem státních podniků je podnikat za účelem poskytování služeb v oblastech posuzování shody pro uvádění výrobků na trh, odborného dohledu, inspekcí, certifikace a zkušebnictví.</w:t>
            </w:r>
          </w:p>
        </w:tc>
      </w:tr>
      <w:tr w:rsidR="00077AAF" w:rsidRPr="00CE25DC" w14:paraId="7CDE622B" w14:textId="77777777" w:rsidTr="00D22539">
        <w:trPr>
          <w:trHeight w:val="854"/>
          <w:jc w:val="right"/>
        </w:trPr>
        <w:tc>
          <w:tcPr>
            <w:tcW w:w="3089" w:type="dxa"/>
            <w:tcBorders>
              <w:top w:val="single" w:sz="24" w:space="0" w:color="FFFFFF"/>
              <w:left w:val="nil"/>
              <w:bottom w:val="single" w:sz="24" w:space="0" w:color="FFFFFF"/>
              <w:right w:val="single" w:sz="24" w:space="0" w:color="FFFFFF"/>
            </w:tcBorders>
            <w:shd w:val="clear" w:color="auto" w:fill="auto"/>
            <w:vAlign w:val="center"/>
            <w:hideMark/>
          </w:tcPr>
          <w:p w14:paraId="5D67B04A" w14:textId="77777777" w:rsidR="00077AAF" w:rsidRPr="00182A7B" w:rsidRDefault="00077AAF" w:rsidP="00D22539">
            <w:pPr>
              <w:jc w:val="center"/>
              <w:rPr>
                <w:rFonts w:asciiTheme="minorHAnsi" w:hAnsiTheme="minorHAnsi" w:cstheme="minorHAnsi"/>
                <w:color w:val="808080" w:themeColor="background1" w:themeShade="80"/>
                <w:sz w:val="32"/>
                <w:szCs w:val="32"/>
              </w:rPr>
            </w:pPr>
            <w:r>
              <w:rPr>
                <w:rFonts w:asciiTheme="minorHAnsi" w:hAnsiTheme="minorHAnsi" w:cstheme="minorHAnsi"/>
                <w:b/>
                <w:color w:val="AF1953"/>
                <w:sz w:val="32"/>
                <w:szCs w:val="32"/>
              </w:rPr>
              <w:t>17,9 mil. Kč</w:t>
            </w:r>
          </w:p>
        </w:tc>
        <w:tc>
          <w:tcPr>
            <w:tcW w:w="283" w:type="dxa"/>
            <w:tcBorders>
              <w:top w:val="single" w:sz="24" w:space="0" w:color="FFFFFF"/>
              <w:left w:val="single" w:sz="24" w:space="0" w:color="FFFFFF"/>
              <w:bottom w:val="single" w:sz="24" w:space="0" w:color="FFFFFF"/>
              <w:right w:val="single" w:sz="24" w:space="0" w:color="FFFFFF"/>
            </w:tcBorders>
          </w:tcPr>
          <w:p w14:paraId="6DE2FA0C" w14:textId="77777777" w:rsidR="00077AAF" w:rsidRPr="00182A7B" w:rsidRDefault="00077AAF" w:rsidP="00D22539">
            <w:pPr>
              <w:jc w:val="center"/>
              <w:rPr>
                <w:rFonts w:asciiTheme="minorHAnsi" w:hAnsiTheme="minorHAnsi" w:cstheme="minorHAnsi"/>
              </w:rPr>
            </w:pPr>
          </w:p>
        </w:tc>
        <w:tc>
          <w:tcPr>
            <w:tcW w:w="5638" w:type="dxa"/>
            <w:tcBorders>
              <w:top w:val="single" w:sz="24" w:space="0" w:color="FFFFFF"/>
              <w:left w:val="single" w:sz="24" w:space="0" w:color="FFFFFF"/>
              <w:bottom w:val="single" w:sz="24" w:space="0" w:color="FFFFFF"/>
              <w:right w:val="nil"/>
            </w:tcBorders>
            <w:vAlign w:val="center"/>
            <w:hideMark/>
          </w:tcPr>
          <w:p w14:paraId="379F7F2B" w14:textId="77777777" w:rsidR="00077AAF" w:rsidRPr="009316BE" w:rsidRDefault="00077AAF" w:rsidP="00D22539">
            <w:pPr>
              <w:rPr>
                <w:rFonts w:asciiTheme="minorHAnsi" w:hAnsiTheme="minorHAnsi" w:cstheme="minorHAnsi"/>
                <w:b/>
                <w:sz w:val="24"/>
                <w:szCs w:val="22"/>
              </w:rPr>
            </w:pPr>
            <w:r w:rsidRPr="00FA1D1B">
              <w:rPr>
                <w:rFonts w:asciiTheme="minorHAnsi" w:hAnsiTheme="minorHAnsi" w:cstheme="minorHAnsi"/>
                <w:sz w:val="24"/>
                <w:szCs w:val="22"/>
              </w:rPr>
              <w:t>Nehospodárně a neúčelně vynaložené peněžní prostředky EZÚ = zmařená investice.</w:t>
            </w:r>
          </w:p>
        </w:tc>
      </w:tr>
    </w:tbl>
    <w:p w14:paraId="55269CE3" w14:textId="77777777" w:rsidR="00751E90" w:rsidRDefault="00751E90" w:rsidP="00311251">
      <w:pPr>
        <w:jc w:val="center"/>
        <w:rPr>
          <w:b/>
          <w:sz w:val="28"/>
        </w:rPr>
      </w:pPr>
    </w:p>
    <w:p w14:paraId="73A82279" w14:textId="77777777" w:rsidR="00002119" w:rsidRDefault="00002119" w:rsidP="00311251">
      <w:pPr>
        <w:jc w:val="center"/>
        <w:rPr>
          <w:b/>
          <w:sz w:val="28"/>
        </w:rPr>
      </w:pPr>
    </w:p>
    <w:p w14:paraId="678A185A" w14:textId="05EAC71D" w:rsidR="00C62E14" w:rsidRDefault="00C62E14" w:rsidP="00311251">
      <w:pPr>
        <w:jc w:val="center"/>
        <w:rPr>
          <w:b/>
          <w:sz w:val="28"/>
        </w:rPr>
      </w:pPr>
    </w:p>
    <w:p w14:paraId="1AE55E95" w14:textId="7B031289" w:rsidR="00077AAF" w:rsidRDefault="00077AAF" w:rsidP="00311251">
      <w:pPr>
        <w:jc w:val="center"/>
        <w:rPr>
          <w:b/>
          <w:sz w:val="28"/>
        </w:rPr>
      </w:pPr>
    </w:p>
    <w:p w14:paraId="3FEB1472" w14:textId="77777777" w:rsidR="00077AAF" w:rsidRDefault="00077AAF" w:rsidP="00311251">
      <w:pPr>
        <w:jc w:val="center"/>
        <w:rPr>
          <w:b/>
          <w:sz w:val="28"/>
        </w:rPr>
      </w:pPr>
    </w:p>
    <w:p w14:paraId="37D51C2C" w14:textId="77777777" w:rsidR="00751E90" w:rsidRDefault="00751E90" w:rsidP="00311251">
      <w:pPr>
        <w:jc w:val="center"/>
        <w:rPr>
          <w:b/>
          <w:sz w:val="28"/>
        </w:rPr>
      </w:pPr>
    </w:p>
    <w:p w14:paraId="05A697E8" w14:textId="77777777" w:rsidR="00002119" w:rsidRDefault="00002119" w:rsidP="00311251">
      <w:pPr>
        <w:jc w:val="center"/>
        <w:rPr>
          <w:b/>
          <w:sz w:val="28"/>
        </w:rPr>
      </w:pPr>
    </w:p>
    <w:p w14:paraId="631E638A" w14:textId="619FE570" w:rsidR="00002119" w:rsidRDefault="00002119" w:rsidP="00311251">
      <w:pPr>
        <w:jc w:val="center"/>
        <w:rPr>
          <w:b/>
          <w:sz w:val="28"/>
        </w:rPr>
      </w:pPr>
    </w:p>
    <w:p w14:paraId="4E31D7A6" w14:textId="505F0ECB" w:rsidR="0039790A" w:rsidRDefault="0039790A" w:rsidP="00311251">
      <w:pPr>
        <w:jc w:val="center"/>
        <w:rPr>
          <w:b/>
          <w:sz w:val="28"/>
        </w:rPr>
      </w:pPr>
    </w:p>
    <w:p w14:paraId="69C76566" w14:textId="77777777" w:rsidR="0084478B" w:rsidRDefault="0084478B" w:rsidP="00311251">
      <w:pPr>
        <w:jc w:val="center"/>
        <w:rPr>
          <w:b/>
          <w:sz w:val="28"/>
        </w:rPr>
      </w:pPr>
    </w:p>
    <w:p w14:paraId="121768B5" w14:textId="348FF964" w:rsidR="00311251" w:rsidRPr="00684C9A" w:rsidRDefault="00311251" w:rsidP="00311251">
      <w:pPr>
        <w:jc w:val="center"/>
        <w:rPr>
          <w:b/>
          <w:sz w:val="28"/>
        </w:rPr>
      </w:pPr>
      <w:r w:rsidRPr="00684C9A">
        <w:rPr>
          <w:b/>
          <w:sz w:val="28"/>
        </w:rPr>
        <w:lastRenderedPageBreak/>
        <w:t>I. Shrnutí a vyhodnocení</w:t>
      </w:r>
    </w:p>
    <w:p w14:paraId="271896D0" w14:textId="2EBA09FB" w:rsidR="00311251" w:rsidRPr="00FD3B4A" w:rsidRDefault="009D2144" w:rsidP="00311251">
      <w:pPr>
        <w:spacing w:after="0"/>
        <w:jc w:val="both"/>
        <w:rPr>
          <w:sz w:val="24"/>
        </w:rPr>
      </w:pPr>
      <w:r>
        <w:rPr>
          <w:sz w:val="24"/>
        </w:rPr>
        <w:t xml:space="preserve">Cílem kontroly </w:t>
      </w:r>
      <w:r w:rsidR="00311251" w:rsidRPr="00FD3B4A">
        <w:rPr>
          <w:sz w:val="24"/>
        </w:rPr>
        <w:t xml:space="preserve">NKÚ </w:t>
      </w:r>
      <w:r>
        <w:rPr>
          <w:sz w:val="24"/>
        </w:rPr>
        <w:t>bylo prověřit</w:t>
      </w:r>
      <w:r w:rsidR="00311251" w:rsidRPr="00FD3B4A">
        <w:rPr>
          <w:sz w:val="24"/>
        </w:rPr>
        <w:t xml:space="preserve">, zda Ministerstvo průmyslu a obchodu plní řádně funkci zakladatele zkušebních ústavů a zda </w:t>
      </w:r>
      <w:r>
        <w:rPr>
          <w:sz w:val="24"/>
        </w:rPr>
        <w:t xml:space="preserve">vybrané zkušební ústavy </w:t>
      </w:r>
      <w:r w:rsidR="00311251" w:rsidRPr="00FD3B4A">
        <w:rPr>
          <w:sz w:val="24"/>
        </w:rPr>
        <w:t>postupují při výkonu práva hospodařit s</w:t>
      </w:r>
      <w:r w:rsidR="00116B63">
        <w:rPr>
          <w:sz w:val="24"/>
        </w:rPr>
        <w:t xml:space="preserve"> </w:t>
      </w:r>
      <w:r w:rsidR="00311251" w:rsidRPr="00FD3B4A">
        <w:rPr>
          <w:sz w:val="24"/>
        </w:rPr>
        <w:t>majetkem a peněžními prostředky státu hospodárně a v</w:t>
      </w:r>
      <w:r w:rsidR="00116B63">
        <w:rPr>
          <w:sz w:val="24"/>
        </w:rPr>
        <w:t xml:space="preserve"> </w:t>
      </w:r>
      <w:r w:rsidR="00311251" w:rsidRPr="00FD3B4A">
        <w:rPr>
          <w:sz w:val="24"/>
        </w:rPr>
        <w:t>souladu s</w:t>
      </w:r>
      <w:r w:rsidR="00116B63">
        <w:rPr>
          <w:sz w:val="24"/>
        </w:rPr>
        <w:t xml:space="preserve"> </w:t>
      </w:r>
      <w:r w:rsidR="00311251" w:rsidRPr="00FD3B4A">
        <w:rPr>
          <w:sz w:val="24"/>
        </w:rPr>
        <w:t>právními předpisy.</w:t>
      </w:r>
      <w:r>
        <w:rPr>
          <w:sz w:val="24"/>
        </w:rPr>
        <w:t xml:space="preserve"> NKÚ provedl kontrolu u Elektrotechnického zkušebního ústavu, s. p.</w:t>
      </w:r>
      <w:r w:rsidR="001F38E3">
        <w:rPr>
          <w:sz w:val="24"/>
        </w:rPr>
        <w:t>,</w:t>
      </w:r>
      <w:r>
        <w:rPr>
          <w:sz w:val="24"/>
        </w:rPr>
        <w:t xml:space="preserve"> Technického </w:t>
      </w:r>
      <w:r w:rsidR="00116B63">
        <w:rPr>
          <w:sz w:val="24"/>
        </w:rPr>
        <w:br/>
      </w:r>
      <w:r>
        <w:rPr>
          <w:sz w:val="24"/>
        </w:rPr>
        <w:t>a</w:t>
      </w:r>
      <w:r w:rsidR="00116B63">
        <w:rPr>
          <w:sz w:val="24"/>
        </w:rPr>
        <w:t xml:space="preserve"> </w:t>
      </w:r>
      <w:r>
        <w:rPr>
          <w:sz w:val="24"/>
        </w:rPr>
        <w:t xml:space="preserve">zkušebního ústavu stavebního Praha, </w:t>
      </w:r>
      <w:proofErr w:type="spellStart"/>
      <w:r>
        <w:rPr>
          <w:sz w:val="24"/>
        </w:rPr>
        <w:t>s.p</w:t>
      </w:r>
      <w:proofErr w:type="spellEnd"/>
      <w:r>
        <w:rPr>
          <w:sz w:val="24"/>
        </w:rPr>
        <w:t>.</w:t>
      </w:r>
      <w:r w:rsidR="00116B63">
        <w:rPr>
          <w:sz w:val="24"/>
        </w:rPr>
        <w:t>,</w:t>
      </w:r>
      <w:r>
        <w:rPr>
          <w:sz w:val="24"/>
        </w:rPr>
        <w:t xml:space="preserve"> a Ministerstva průmyslu a obchodu jako zakladatele těchto státních podniků.</w:t>
      </w:r>
    </w:p>
    <w:p w14:paraId="755E5FBC" w14:textId="77777777" w:rsidR="00311251" w:rsidRPr="00453C0D" w:rsidRDefault="00311251" w:rsidP="00311251">
      <w:pPr>
        <w:spacing w:after="0"/>
        <w:jc w:val="both"/>
        <w:rPr>
          <w:b/>
          <w:sz w:val="24"/>
        </w:rPr>
      </w:pPr>
    </w:p>
    <w:p w14:paraId="458C2534" w14:textId="2C7C1B47" w:rsidR="00F830AF" w:rsidRDefault="00F830AF" w:rsidP="00F830AF">
      <w:pPr>
        <w:keepNext/>
        <w:spacing w:after="0" w:line="264" w:lineRule="auto"/>
        <w:jc w:val="both"/>
        <w:rPr>
          <w:b/>
          <w:sz w:val="24"/>
          <w:szCs w:val="23"/>
        </w:rPr>
      </w:pPr>
      <w:r w:rsidRPr="00CC568B">
        <w:rPr>
          <w:b/>
          <w:sz w:val="24"/>
          <w:szCs w:val="23"/>
        </w:rPr>
        <w:t>NKÚ vyhodnotil,</w:t>
      </w:r>
      <w:r w:rsidRPr="004E0370">
        <w:rPr>
          <w:b/>
          <w:sz w:val="24"/>
          <w:szCs w:val="23"/>
        </w:rPr>
        <w:t xml:space="preserve"> že MPO neplnilo</w:t>
      </w:r>
      <w:r>
        <w:rPr>
          <w:b/>
          <w:sz w:val="24"/>
          <w:szCs w:val="23"/>
        </w:rPr>
        <w:t xml:space="preserve"> v některých případech řádně </w:t>
      </w:r>
      <w:r w:rsidRPr="004E0370">
        <w:rPr>
          <w:b/>
          <w:sz w:val="24"/>
          <w:szCs w:val="23"/>
        </w:rPr>
        <w:t>své povinnosti zakladatele státních podniků EZÚ a TZÚS.</w:t>
      </w:r>
    </w:p>
    <w:p w14:paraId="302F2F09" w14:textId="77777777" w:rsidR="00F830AF" w:rsidRPr="004E0370" w:rsidRDefault="00F830AF" w:rsidP="00F830AF">
      <w:pPr>
        <w:keepNext/>
        <w:spacing w:after="0" w:line="264" w:lineRule="auto"/>
        <w:jc w:val="both"/>
        <w:rPr>
          <w:b/>
          <w:sz w:val="24"/>
          <w:szCs w:val="23"/>
        </w:rPr>
      </w:pPr>
    </w:p>
    <w:p w14:paraId="77B3E3D5" w14:textId="0658BA2D" w:rsidR="00112B43" w:rsidRPr="00112B43" w:rsidRDefault="004D0CEA" w:rsidP="00112B43">
      <w:pPr>
        <w:spacing w:after="0"/>
        <w:jc w:val="both"/>
        <w:rPr>
          <w:b/>
          <w:sz w:val="24"/>
        </w:rPr>
      </w:pPr>
      <w:r>
        <w:rPr>
          <w:b/>
          <w:sz w:val="24"/>
        </w:rPr>
        <w:t xml:space="preserve">V případě </w:t>
      </w:r>
      <w:r w:rsidR="008C308B">
        <w:rPr>
          <w:b/>
          <w:sz w:val="24"/>
        </w:rPr>
        <w:t>státního podniku EZÚ zjistil</w:t>
      </w:r>
      <w:r>
        <w:rPr>
          <w:b/>
          <w:sz w:val="24"/>
        </w:rPr>
        <w:t xml:space="preserve"> NKÚ</w:t>
      </w:r>
      <w:r w:rsidR="00BE6654">
        <w:rPr>
          <w:b/>
          <w:sz w:val="24"/>
        </w:rPr>
        <w:t xml:space="preserve">, </w:t>
      </w:r>
      <w:r w:rsidR="00636B00">
        <w:rPr>
          <w:b/>
          <w:sz w:val="24"/>
        </w:rPr>
        <w:t xml:space="preserve">že </w:t>
      </w:r>
      <w:r w:rsidR="00112B43" w:rsidRPr="00112B43">
        <w:rPr>
          <w:b/>
          <w:sz w:val="24"/>
        </w:rPr>
        <w:t xml:space="preserve">MPO </w:t>
      </w:r>
      <w:r w:rsidR="00636B00">
        <w:rPr>
          <w:b/>
          <w:sz w:val="24"/>
        </w:rPr>
        <w:t>a do</w:t>
      </w:r>
      <w:r w:rsidR="00112B43" w:rsidRPr="00112B43">
        <w:rPr>
          <w:b/>
          <w:sz w:val="24"/>
        </w:rPr>
        <w:t xml:space="preserve">zorčí rada </w:t>
      </w:r>
      <w:r w:rsidR="007A59A5">
        <w:rPr>
          <w:b/>
          <w:sz w:val="24"/>
        </w:rPr>
        <w:t>selhaly ve své</w:t>
      </w:r>
      <w:r w:rsidR="008039F2">
        <w:rPr>
          <w:b/>
          <w:sz w:val="24"/>
        </w:rPr>
        <w:t xml:space="preserve"> </w:t>
      </w:r>
      <w:r w:rsidR="008039F2" w:rsidRPr="00112B43">
        <w:rPr>
          <w:b/>
          <w:sz w:val="24"/>
        </w:rPr>
        <w:t>kontrolní roli</w:t>
      </w:r>
      <w:r w:rsidR="00064DAB">
        <w:rPr>
          <w:b/>
          <w:sz w:val="24"/>
        </w:rPr>
        <w:t>.</w:t>
      </w:r>
      <w:r w:rsidR="008039F2">
        <w:rPr>
          <w:b/>
          <w:sz w:val="24"/>
        </w:rPr>
        <w:t xml:space="preserve"> </w:t>
      </w:r>
      <w:r w:rsidR="00080000">
        <w:rPr>
          <w:b/>
          <w:sz w:val="24"/>
        </w:rPr>
        <w:t xml:space="preserve">Důsledkem </w:t>
      </w:r>
      <w:r w:rsidR="008039F2">
        <w:rPr>
          <w:b/>
          <w:sz w:val="24"/>
        </w:rPr>
        <w:t>bylo</w:t>
      </w:r>
      <w:r w:rsidR="00112B43" w:rsidRPr="00112B43">
        <w:rPr>
          <w:b/>
          <w:sz w:val="24"/>
        </w:rPr>
        <w:t xml:space="preserve"> nehospodárné a neúčelné vynaložení 17,9</w:t>
      </w:r>
      <w:r w:rsidR="0084478B">
        <w:rPr>
          <w:b/>
          <w:sz w:val="24"/>
        </w:rPr>
        <w:t> </w:t>
      </w:r>
      <w:r w:rsidR="00112B43" w:rsidRPr="00112B43">
        <w:rPr>
          <w:b/>
          <w:sz w:val="24"/>
        </w:rPr>
        <w:t>mil. Kč</w:t>
      </w:r>
      <w:r w:rsidR="005021FE">
        <w:rPr>
          <w:b/>
          <w:sz w:val="24"/>
        </w:rPr>
        <w:t>.</w:t>
      </w:r>
      <w:r w:rsidR="00C17E90">
        <w:rPr>
          <w:b/>
          <w:sz w:val="24"/>
        </w:rPr>
        <w:t xml:space="preserve"> V případě TZÚS </w:t>
      </w:r>
      <w:r w:rsidR="00F74EF0">
        <w:rPr>
          <w:b/>
          <w:sz w:val="24"/>
        </w:rPr>
        <w:t xml:space="preserve">zjistil </w:t>
      </w:r>
      <w:r w:rsidR="00CF2FA9">
        <w:rPr>
          <w:b/>
          <w:sz w:val="24"/>
        </w:rPr>
        <w:t xml:space="preserve">NKÚ </w:t>
      </w:r>
      <w:r w:rsidR="00DA7043">
        <w:rPr>
          <w:b/>
          <w:sz w:val="24"/>
        </w:rPr>
        <w:t>porušení zákazu konkurence</w:t>
      </w:r>
      <w:r w:rsidR="00DA7043">
        <w:rPr>
          <w:rStyle w:val="Znakapoznpodarou"/>
          <w:b/>
          <w:sz w:val="24"/>
        </w:rPr>
        <w:footnoteReference w:id="1"/>
      </w:r>
      <w:r w:rsidR="00CF2FA9">
        <w:rPr>
          <w:b/>
          <w:sz w:val="24"/>
        </w:rPr>
        <w:t>.</w:t>
      </w:r>
      <w:r w:rsidR="00CF2FA9" w:rsidRPr="00CF2FA9">
        <w:rPr>
          <w:b/>
          <w:sz w:val="24"/>
        </w:rPr>
        <w:t xml:space="preserve"> </w:t>
      </w:r>
    </w:p>
    <w:p w14:paraId="6EDBFAD4" w14:textId="77777777" w:rsidR="00F830AF" w:rsidRDefault="00F830AF" w:rsidP="00F830AF">
      <w:pPr>
        <w:keepNext/>
        <w:spacing w:after="0" w:line="264" w:lineRule="auto"/>
        <w:jc w:val="both"/>
        <w:rPr>
          <w:b/>
          <w:sz w:val="24"/>
          <w:szCs w:val="23"/>
        </w:rPr>
      </w:pPr>
    </w:p>
    <w:p w14:paraId="4DD17860" w14:textId="2BF3E705" w:rsidR="00C64B21" w:rsidRDefault="006B1D36" w:rsidP="007D72A6">
      <w:pPr>
        <w:spacing w:after="0"/>
        <w:jc w:val="both"/>
        <w:rPr>
          <w:b/>
          <w:sz w:val="24"/>
        </w:rPr>
      </w:pPr>
      <w:r>
        <w:rPr>
          <w:b/>
          <w:sz w:val="24"/>
        </w:rPr>
        <w:t xml:space="preserve">V oblasti plnění funkcí </w:t>
      </w:r>
      <w:r w:rsidR="0080078D">
        <w:rPr>
          <w:b/>
          <w:sz w:val="24"/>
        </w:rPr>
        <w:t xml:space="preserve">MPO jako zakladatele </w:t>
      </w:r>
      <w:r w:rsidR="00E158BE" w:rsidRPr="00BE6654">
        <w:rPr>
          <w:b/>
          <w:sz w:val="24"/>
        </w:rPr>
        <w:t>obou</w:t>
      </w:r>
      <w:r w:rsidR="00E158BE">
        <w:rPr>
          <w:b/>
          <w:sz w:val="24"/>
        </w:rPr>
        <w:t xml:space="preserve"> </w:t>
      </w:r>
      <w:r w:rsidR="005021FE">
        <w:rPr>
          <w:b/>
          <w:sz w:val="24"/>
        </w:rPr>
        <w:t xml:space="preserve">státních </w:t>
      </w:r>
      <w:r w:rsidR="00B82C01">
        <w:rPr>
          <w:b/>
          <w:sz w:val="24"/>
        </w:rPr>
        <w:t xml:space="preserve">podniků </w:t>
      </w:r>
      <w:r w:rsidR="0080078D">
        <w:rPr>
          <w:b/>
          <w:sz w:val="24"/>
        </w:rPr>
        <w:t>z</w:t>
      </w:r>
      <w:r>
        <w:rPr>
          <w:b/>
          <w:sz w:val="24"/>
        </w:rPr>
        <w:t>jistil</w:t>
      </w:r>
      <w:r w:rsidR="0080078D">
        <w:rPr>
          <w:b/>
          <w:sz w:val="24"/>
        </w:rPr>
        <w:t xml:space="preserve"> </w:t>
      </w:r>
      <w:r w:rsidR="005F0858">
        <w:rPr>
          <w:b/>
          <w:sz w:val="24"/>
        </w:rPr>
        <w:t>NKÚ také</w:t>
      </w:r>
      <w:r w:rsidR="00C67EA1">
        <w:rPr>
          <w:b/>
          <w:sz w:val="24"/>
        </w:rPr>
        <w:t xml:space="preserve"> </w:t>
      </w:r>
      <w:r>
        <w:rPr>
          <w:b/>
          <w:sz w:val="24"/>
        </w:rPr>
        <w:t>nedostatky administrativního charakteru</w:t>
      </w:r>
      <w:r w:rsidR="009244BC">
        <w:rPr>
          <w:b/>
          <w:sz w:val="24"/>
        </w:rPr>
        <w:t>.</w:t>
      </w:r>
      <w:r>
        <w:rPr>
          <w:b/>
          <w:sz w:val="24"/>
        </w:rPr>
        <w:t xml:space="preserve"> </w:t>
      </w:r>
      <w:r w:rsidR="005021FE">
        <w:rPr>
          <w:b/>
          <w:sz w:val="24"/>
        </w:rPr>
        <w:t>Některé nedostatky MPO v</w:t>
      </w:r>
      <w:r w:rsidR="005F0858">
        <w:rPr>
          <w:b/>
          <w:sz w:val="24"/>
        </w:rPr>
        <w:t xml:space="preserve"> </w:t>
      </w:r>
      <w:r w:rsidR="005021FE">
        <w:rPr>
          <w:b/>
          <w:sz w:val="24"/>
        </w:rPr>
        <w:t>průběhu kontroly napravilo. U</w:t>
      </w:r>
      <w:r w:rsidR="00A3373C">
        <w:rPr>
          <w:b/>
          <w:sz w:val="24"/>
        </w:rPr>
        <w:t> </w:t>
      </w:r>
      <w:r w:rsidR="005021FE">
        <w:rPr>
          <w:b/>
          <w:sz w:val="24"/>
        </w:rPr>
        <w:t xml:space="preserve">obou státních podniků zjistil </w:t>
      </w:r>
      <w:r w:rsidR="005F0858">
        <w:rPr>
          <w:b/>
          <w:sz w:val="24"/>
        </w:rPr>
        <w:t xml:space="preserve">NKÚ </w:t>
      </w:r>
      <w:r w:rsidR="005021FE">
        <w:rPr>
          <w:b/>
          <w:sz w:val="24"/>
        </w:rPr>
        <w:t>chybějící souhlasy MPO s nákupem movitého majetku.</w:t>
      </w:r>
    </w:p>
    <w:p w14:paraId="5488E992" w14:textId="77777777" w:rsidR="00986EF2" w:rsidRDefault="00986EF2" w:rsidP="00FD3B4A">
      <w:pPr>
        <w:keepNext/>
        <w:spacing w:after="0" w:line="264" w:lineRule="auto"/>
        <w:jc w:val="both"/>
        <w:rPr>
          <w:b/>
          <w:sz w:val="24"/>
        </w:rPr>
      </w:pPr>
    </w:p>
    <w:p w14:paraId="7803D263" w14:textId="46F264BC" w:rsidR="004E0370" w:rsidRDefault="00DA7043" w:rsidP="00FD3B4A">
      <w:pPr>
        <w:keepNext/>
        <w:spacing w:after="0" w:line="264" w:lineRule="auto"/>
        <w:jc w:val="both"/>
        <w:rPr>
          <w:sz w:val="24"/>
          <w:szCs w:val="23"/>
        </w:rPr>
      </w:pPr>
      <w:r w:rsidRPr="00453C0D">
        <w:rPr>
          <w:b/>
          <w:sz w:val="24"/>
        </w:rPr>
        <w:t xml:space="preserve">NKÚ ověřil, že oba státní podniky plní </w:t>
      </w:r>
      <w:r>
        <w:rPr>
          <w:b/>
          <w:sz w:val="24"/>
        </w:rPr>
        <w:t>svo</w:t>
      </w:r>
      <w:r w:rsidR="005F0858">
        <w:rPr>
          <w:b/>
          <w:sz w:val="24"/>
        </w:rPr>
        <w:t>u</w:t>
      </w:r>
      <w:r>
        <w:rPr>
          <w:b/>
          <w:sz w:val="24"/>
        </w:rPr>
        <w:t xml:space="preserve"> činností </w:t>
      </w:r>
      <w:r w:rsidRPr="00453C0D">
        <w:rPr>
          <w:b/>
          <w:sz w:val="24"/>
        </w:rPr>
        <w:t>účel, pro který byly založeny.</w:t>
      </w:r>
      <w:r w:rsidR="00642A0D">
        <w:rPr>
          <w:b/>
          <w:sz w:val="24"/>
        </w:rPr>
        <w:t xml:space="preserve"> EZÚ </w:t>
      </w:r>
      <w:r w:rsidR="00583F95">
        <w:rPr>
          <w:b/>
          <w:sz w:val="24"/>
        </w:rPr>
        <w:t xml:space="preserve">však </w:t>
      </w:r>
      <w:r w:rsidR="00642A0D">
        <w:rPr>
          <w:b/>
          <w:sz w:val="24"/>
        </w:rPr>
        <w:t>založil v roce 2014 dceřinou společnost</w:t>
      </w:r>
      <w:r w:rsidR="000E393B">
        <w:rPr>
          <w:b/>
          <w:sz w:val="24"/>
        </w:rPr>
        <w:t>,</w:t>
      </w:r>
      <w:r w:rsidR="00755AFC">
        <w:rPr>
          <w:b/>
          <w:sz w:val="24"/>
        </w:rPr>
        <w:t xml:space="preserve"> která pro něj</w:t>
      </w:r>
      <w:r w:rsidR="000E2014">
        <w:rPr>
          <w:b/>
          <w:sz w:val="24"/>
        </w:rPr>
        <w:t xml:space="preserve"> dosud</w:t>
      </w:r>
      <w:r w:rsidR="00755AFC">
        <w:rPr>
          <w:b/>
          <w:sz w:val="24"/>
        </w:rPr>
        <w:t xml:space="preserve"> nemá žádný přínos</w:t>
      </w:r>
      <w:r w:rsidR="00F6660C">
        <w:rPr>
          <w:b/>
          <w:sz w:val="24"/>
        </w:rPr>
        <w:t>.</w:t>
      </w:r>
    </w:p>
    <w:p w14:paraId="6984658E" w14:textId="77777777" w:rsidR="00986EF2" w:rsidRDefault="00986EF2" w:rsidP="00FD3B4A">
      <w:pPr>
        <w:keepNext/>
        <w:spacing w:after="0" w:line="264" w:lineRule="auto"/>
        <w:jc w:val="both"/>
        <w:rPr>
          <w:sz w:val="24"/>
          <w:szCs w:val="23"/>
        </w:rPr>
      </w:pPr>
    </w:p>
    <w:p w14:paraId="2D0984C3" w14:textId="237563DA" w:rsidR="00FD3B4A" w:rsidRDefault="00FD3B4A" w:rsidP="00FD3B4A">
      <w:pPr>
        <w:keepNext/>
        <w:spacing w:after="0" w:line="264" w:lineRule="auto"/>
        <w:jc w:val="both"/>
        <w:rPr>
          <w:sz w:val="24"/>
          <w:szCs w:val="23"/>
        </w:rPr>
      </w:pPr>
      <w:r>
        <w:rPr>
          <w:sz w:val="24"/>
          <w:szCs w:val="23"/>
        </w:rPr>
        <w:t>V</w:t>
      </w:r>
      <w:r w:rsidRPr="00513AD8">
        <w:rPr>
          <w:sz w:val="24"/>
          <w:szCs w:val="23"/>
        </w:rPr>
        <w:t>ýše uvedené celkové vyhodnocení vyplývá z následujících zjištění:</w:t>
      </w:r>
    </w:p>
    <w:p w14:paraId="6136EE8D" w14:textId="77777777" w:rsidR="004839D5" w:rsidRPr="00FD3B4A" w:rsidRDefault="004839D5">
      <w:pPr>
        <w:spacing w:after="0"/>
        <w:jc w:val="both"/>
        <w:rPr>
          <w:sz w:val="24"/>
        </w:rPr>
      </w:pPr>
    </w:p>
    <w:p w14:paraId="3CE56BB5" w14:textId="7D4460DA" w:rsidR="00112B43" w:rsidRDefault="00986EF2" w:rsidP="00112B43">
      <w:pPr>
        <w:spacing w:after="0"/>
        <w:jc w:val="both"/>
        <w:rPr>
          <w:sz w:val="24"/>
        </w:rPr>
      </w:pPr>
      <w:r>
        <w:rPr>
          <w:sz w:val="24"/>
        </w:rPr>
        <w:t>1.</w:t>
      </w:r>
      <w:r w:rsidR="005046FB" w:rsidRPr="00112B43">
        <w:rPr>
          <w:sz w:val="24"/>
        </w:rPr>
        <w:t xml:space="preserve"> </w:t>
      </w:r>
      <w:r w:rsidR="00112B43" w:rsidRPr="00112B43">
        <w:rPr>
          <w:sz w:val="24"/>
        </w:rPr>
        <w:t xml:space="preserve">U obou </w:t>
      </w:r>
      <w:r w:rsidR="009A3881">
        <w:rPr>
          <w:sz w:val="24"/>
        </w:rPr>
        <w:t>státních podniků</w:t>
      </w:r>
      <w:r w:rsidR="00112B43" w:rsidRPr="00112B43">
        <w:rPr>
          <w:sz w:val="24"/>
        </w:rPr>
        <w:t xml:space="preserve"> NKÚ zjistil, že MPO kontrolovalo</w:t>
      </w:r>
      <w:r w:rsidR="00BE6799">
        <w:rPr>
          <w:sz w:val="24"/>
        </w:rPr>
        <w:t xml:space="preserve"> jejich </w:t>
      </w:r>
      <w:r w:rsidR="00962419">
        <w:rPr>
          <w:sz w:val="24"/>
        </w:rPr>
        <w:t>činnost</w:t>
      </w:r>
      <w:r w:rsidR="00112B43" w:rsidRPr="00112B43">
        <w:rPr>
          <w:sz w:val="24"/>
        </w:rPr>
        <w:t xml:space="preserve"> </w:t>
      </w:r>
      <w:r w:rsidR="00112B43" w:rsidRPr="00B42D29">
        <w:rPr>
          <w:sz w:val="24"/>
        </w:rPr>
        <w:t>prostřednictvím</w:t>
      </w:r>
      <w:r w:rsidR="00CC568B">
        <w:rPr>
          <w:sz w:val="24"/>
        </w:rPr>
        <w:t xml:space="preserve"> </w:t>
      </w:r>
      <w:r w:rsidR="00112B43" w:rsidRPr="00B42D29">
        <w:rPr>
          <w:sz w:val="24"/>
        </w:rPr>
        <w:t xml:space="preserve">dozorčích rad, ale samostatné kontroly v letech 2019 </w:t>
      </w:r>
      <w:r w:rsidR="0084478B" w:rsidRPr="00B42D29">
        <w:rPr>
          <w:sz w:val="24"/>
        </w:rPr>
        <w:t xml:space="preserve">až </w:t>
      </w:r>
      <w:r w:rsidR="00112B43" w:rsidRPr="00B42D29">
        <w:rPr>
          <w:sz w:val="24"/>
        </w:rPr>
        <w:t>2023 neprovedlo, přestože mu to umožňuje zákon</w:t>
      </w:r>
      <w:r w:rsidR="00703F1A" w:rsidRPr="00B42D29">
        <w:rPr>
          <w:rStyle w:val="Znakapoznpodarou"/>
          <w:sz w:val="24"/>
        </w:rPr>
        <w:footnoteReference w:id="2"/>
      </w:r>
      <w:r w:rsidR="00112B43" w:rsidRPr="00B42D29">
        <w:rPr>
          <w:sz w:val="24"/>
        </w:rPr>
        <w:t xml:space="preserve">. </w:t>
      </w:r>
      <w:r w:rsidR="00E3649D" w:rsidRPr="00B42D29">
        <w:rPr>
          <w:sz w:val="24"/>
        </w:rPr>
        <w:t>V případě EZÚ zjistil NKÚ, že kontrolní funkce v jednom případě zcela selhala</w:t>
      </w:r>
      <w:r w:rsidR="009136CD" w:rsidRPr="00B42D29">
        <w:rPr>
          <w:sz w:val="24"/>
        </w:rPr>
        <w:t>.</w:t>
      </w:r>
      <w:r w:rsidR="00112B43" w:rsidRPr="00B42D29">
        <w:rPr>
          <w:sz w:val="24"/>
        </w:rPr>
        <w:t xml:space="preserve"> EZÚ v roce 2014 zahájil přípravu</w:t>
      </w:r>
      <w:r w:rsidR="00E750C0" w:rsidRPr="00B42D29">
        <w:rPr>
          <w:sz w:val="24"/>
        </w:rPr>
        <w:t xml:space="preserve"> projektu demolice staré budovy</w:t>
      </w:r>
      <w:r w:rsidR="00E3649D" w:rsidRPr="00B42D29">
        <w:rPr>
          <w:sz w:val="24"/>
        </w:rPr>
        <w:t>,</w:t>
      </w:r>
      <w:r w:rsidR="006B3A4D">
        <w:rPr>
          <w:sz w:val="24"/>
        </w:rPr>
        <w:t xml:space="preserve"> nacházející se v</w:t>
      </w:r>
      <w:r w:rsidR="00E3649D">
        <w:rPr>
          <w:sz w:val="24"/>
        </w:rPr>
        <w:t xml:space="preserve">e </w:t>
      </w:r>
      <w:r w:rsidR="00D77DB7">
        <w:rPr>
          <w:sz w:val="24"/>
        </w:rPr>
        <w:t>stavebně a technicky nevyhovujícím</w:t>
      </w:r>
      <w:r w:rsidR="006B3A4D">
        <w:rPr>
          <w:sz w:val="24"/>
        </w:rPr>
        <w:t xml:space="preserve"> stavu</w:t>
      </w:r>
      <w:r w:rsidR="00E3649D">
        <w:rPr>
          <w:sz w:val="24"/>
        </w:rPr>
        <w:t>,</w:t>
      </w:r>
      <w:r w:rsidR="00E750C0">
        <w:rPr>
          <w:sz w:val="24"/>
        </w:rPr>
        <w:t xml:space="preserve"> a</w:t>
      </w:r>
      <w:r w:rsidR="00112B43" w:rsidRPr="00112B43">
        <w:rPr>
          <w:sz w:val="24"/>
        </w:rPr>
        <w:t xml:space="preserve"> výstavby nové budovy, aniž by </w:t>
      </w:r>
      <w:r w:rsidR="003B283D">
        <w:rPr>
          <w:sz w:val="24"/>
        </w:rPr>
        <w:t>ředitel</w:t>
      </w:r>
      <w:r w:rsidR="003B283D" w:rsidRPr="00112B43">
        <w:rPr>
          <w:sz w:val="24"/>
        </w:rPr>
        <w:t xml:space="preserve"> </w:t>
      </w:r>
      <w:r w:rsidR="00112B43" w:rsidRPr="00112B43">
        <w:rPr>
          <w:sz w:val="24"/>
        </w:rPr>
        <w:t>podniku a</w:t>
      </w:r>
      <w:r w:rsidR="00CC568B">
        <w:rPr>
          <w:sz w:val="24"/>
        </w:rPr>
        <w:t> </w:t>
      </w:r>
      <w:r w:rsidR="00112B43" w:rsidRPr="00112B43">
        <w:rPr>
          <w:sz w:val="24"/>
        </w:rPr>
        <w:t>dozorčí rada dostatečně a včas zvážil</w:t>
      </w:r>
      <w:r w:rsidR="005F0858">
        <w:rPr>
          <w:sz w:val="24"/>
        </w:rPr>
        <w:t>i</w:t>
      </w:r>
      <w:r w:rsidR="00112B43" w:rsidRPr="00112B43">
        <w:rPr>
          <w:sz w:val="24"/>
        </w:rPr>
        <w:t xml:space="preserve"> zajištění zdrojů financování </w:t>
      </w:r>
      <w:r w:rsidR="00E750C0">
        <w:rPr>
          <w:sz w:val="24"/>
        </w:rPr>
        <w:t>projektu</w:t>
      </w:r>
      <w:r w:rsidR="00112B43" w:rsidRPr="00112B43">
        <w:rPr>
          <w:sz w:val="24"/>
        </w:rPr>
        <w:t xml:space="preserve"> a je</w:t>
      </w:r>
      <w:r w:rsidR="00E750C0">
        <w:rPr>
          <w:sz w:val="24"/>
        </w:rPr>
        <w:t>ho</w:t>
      </w:r>
      <w:r w:rsidR="00112B43" w:rsidRPr="00112B43">
        <w:rPr>
          <w:sz w:val="24"/>
        </w:rPr>
        <w:t xml:space="preserve"> dopady na </w:t>
      </w:r>
      <w:r w:rsidR="003B283D">
        <w:rPr>
          <w:sz w:val="24"/>
        </w:rPr>
        <w:t>schopnost ústavu splácet finanční závazky řádně a včas</w:t>
      </w:r>
      <w:r w:rsidR="00112B43" w:rsidRPr="00112B43">
        <w:rPr>
          <w:sz w:val="24"/>
        </w:rPr>
        <w:t xml:space="preserve">. EZÚ neměl pro </w:t>
      </w:r>
      <w:r w:rsidR="00E750C0">
        <w:rPr>
          <w:sz w:val="24"/>
        </w:rPr>
        <w:t>projekt</w:t>
      </w:r>
      <w:r w:rsidR="00112B43" w:rsidRPr="00112B43">
        <w:rPr>
          <w:sz w:val="24"/>
        </w:rPr>
        <w:t xml:space="preserve"> dostatek disponibilních peněžních prostředků a spoléhal na získání dotací, jej</w:t>
      </w:r>
      <w:r w:rsidR="005F0858">
        <w:rPr>
          <w:sz w:val="24"/>
        </w:rPr>
        <w:t>i</w:t>
      </w:r>
      <w:r w:rsidR="00112B43" w:rsidRPr="00112B43">
        <w:rPr>
          <w:sz w:val="24"/>
        </w:rPr>
        <w:t>chž podmínky ale nesplňoval</w:t>
      </w:r>
      <w:r w:rsidR="005F0858">
        <w:rPr>
          <w:sz w:val="24"/>
        </w:rPr>
        <w:t>,</w:t>
      </w:r>
      <w:r w:rsidR="00112B43" w:rsidRPr="00112B43">
        <w:rPr>
          <w:sz w:val="24"/>
        </w:rPr>
        <w:t xml:space="preserve"> a</w:t>
      </w:r>
      <w:r w:rsidR="005F0858">
        <w:rPr>
          <w:sz w:val="24"/>
        </w:rPr>
        <w:t xml:space="preserve"> tudíž</w:t>
      </w:r>
      <w:r w:rsidR="00112B43" w:rsidRPr="00112B43">
        <w:rPr>
          <w:sz w:val="24"/>
        </w:rPr>
        <w:t xml:space="preserve"> dotace nezískal. EZÚ vyčerpal vlastní zdroje ještě před zahájením výstavby a</w:t>
      </w:r>
      <w:r w:rsidR="00CC568B">
        <w:rPr>
          <w:sz w:val="24"/>
        </w:rPr>
        <w:t> </w:t>
      </w:r>
      <w:r w:rsidR="00112B43" w:rsidRPr="00112B43">
        <w:rPr>
          <w:sz w:val="24"/>
        </w:rPr>
        <w:t>projekt v</w:t>
      </w:r>
      <w:r w:rsidR="007E6246">
        <w:rPr>
          <w:sz w:val="24"/>
        </w:rPr>
        <w:t xml:space="preserve"> </w:t>
      </w:r>
      <w:r w:rsidR="00112B43" w:rsidRPr="00112B43">
        <w:rPr>
          <w:sz w:val="24"/>
        </w:rPr>
        <w:t xml:space="preserve">roce 2020 zastavil. Důsledkem </w:t>
      </w:r>
      <w:r w:rsidR="005F0858">
        <w:rPr>
          <w:sz w:val="24"/>
        </w:rPr>
        <w:t>tohoto</w:t>
      </w:r>
      <w:r w:rsidR="00112B43" w:rsidRPr="00112B43">
        <w:rPr>
          <w:sz w:val="24"/>
        </w:rPr>
        <w:t xml:space="preserve"> postupu bylo nehospodárné a</w:t>
      </w:r>
      <w:r w:rsidR="007E6246">
        <w:rPr>
          <w:sz w:val="24"/>
        </w:rPr>
        <w:t xml:space="preserve"> </w:t>
      </w:r>
      <w:r w:rsidR="00112B43" w:rsidRPr="00112B43">
        <w:rPr>
          <w:sz w:val="24"/>
        </w:rPr>
        <w:t xml:space="preserve">neúčelné vynaložení 17,9 mil. Kč na přípravu projektu. </w:t>
      </w:r>
      <w:r w:rsidR="00D77DB7">
        <w:rPr>
          <w:sz w:val="24"/>
        </w:rPr>
        <w:t xml:space="preserve">Částečná demolice </w:t>
      </w:r>
      <w:r w:rsidR="00112B43" w:rsidRPr="00112B43">
        <w:rPr>
          <w:sz w:val="24"/>
        </w:rPr>
        <w:t>původní budovy vyvolal</w:t>
      </w:r>
      <w:r w:rsidR="00D77DB7">
        <w:rPr>
          <w:sz w:val="24"/>
        </w:rPr>
        <w:t>a</w:t>
      </w:r>
      <w:r w:rsidR="00112B43" w:rsidRPr="00112B43">
        <w:rPr>
          <w:sz w:val="24"/>
        </w:rPr>
        <w:t xml:space="preserve"> potřebu zajistit stabilitu sousedního svažitého pozemku. V době kontroly</w:t>
      </w:r>
      <w:r w:rsidR="009136CD">
        <w:rPr>
          <w:sz w:val="24"/>
        </w:rPr>
        <w:t xml:space="preserve"> NKÚ</w:t>
      </w:r>
      <w:r w:rsidR="00112B43" w:rsidRPr="00112B43">
        <w:rPr>
          <w:sz w:val="24"/>
        </w:rPr>
        <w:t xml:space="preserve"> činil odhad výdajů potřebných na výstavbu opěrné zdi</w:t>
      </w:r>
      <w:r w:rsidR="00BD7290">
        <w:rPr>
          <w:sz w:val="24"/>
        </w:rPr>
        <w:t xml:space="preserve"> nejméně</w:t>
      </w:r>
      <w:r w:rsidR="00112B43" w:rsidRPr="00112B43">
        <w:rPr>
          <w:sz w:val="24"/>
        </w:rPr>
        <w:t xml:space="preserve"> 31,2 mil. Kč, což představuje pro EZÚ značnou finanční zátěž limitující</w:t>
      </w:r>
      <w:r w:rsidR="00CB11AC">
        <w:rPr>
          <w:sz w:val="24"/>
        </w:rPr>
        <w:t xml:space="preserve"> budoucí</w:t>
      </w:r>
      <w:r w:rsidR="00112B43" w:rsidRPr="00112B43">
        <w:rPr>
          <w:sz w:val="24"/>
        </w:rPr>
        <w:t xml:space="preserve"> rozvoj</w:t>
      </w:r>
      <w:r w:rsidR="00CB11AC">
        <w:rPr>
          <w:sz w:val="24"/>
        </w:rPr>
        <w:t xml:space="preserve"> státního</w:t>
      </w:r>
      <w:r w:rsidR="00112B43" w:rsidRPr="00112B43">
        <w:rPr>
          <w:sz w:val="24"/>
        </w:rPr>
        <w:t xml:space="preserve"> podniku. NKÚ vyhodnotil, že v tomto případě </w:t>
      </w:r>
      <w:r w:rsidR="003B283D">
        <w:rPr>
          <w:sz w:val="24"/>
        </w:rPr>
        <w:t xml:space="preserve">ředitel </w:t>
      </w:r>
      <w:r w:rsidR="00112B43" w:rsidRPr="00112B43">
        <w:rPr>
          <w:sz w:val="24"/>
        </w:rPr>
        <w:t xml:space="preserve">EZÚ </w:t>
      </w:r>
      <w:r w:rsidR="003B283D">
        <w:rPr>
          <w:sz w:val="24"/>
        </w:rPr>
        <w:t xml:space="preserve">a </w:t>
      </w:r>
      <w:r w:rsidR="00112B43" w:rsidRPr="00112B43">
        <w:rPr>
          <w:sz w:val="24"/>
        </w:rPr>
        <w:t>dozorčí rad</w:t>
      </w:r>
      <w:r w:rsidR="003B283D">
        <w:rPr>
          <w:sz w:val="24"/>
        </w:rPr>
        <w:t>a</w:t>
      </w:r>
      <w:r w:rsidR="00112B43" w:rsidRPr="00112B43">
        <w:rPr>
          <w:sz w:val="24"/>
        </w:rPr>
        <w:t xml:space="preserve"> nejednal</w:t>
      </w:r>
      <w:r w:rsidR="002A4DA0">
        <w:rPr>
          <w:sz w:val="24"/>
        </w:rPr>
        <w:t>i</w:t>
      </w:r>
      <w:r w:rsidR="00112B43" w:rsidRPr="00112B43">
        <w:rPr>
          <w:sz w:val="24"/>
        </w:rPr>
        <w:t xml:space="preserve"> s</w:t>
      </w:r>
      <w:r w:rsidR="00CC568B">
        <w:rPr>
          <w:sz w:val="24"/>
        </w:rPr>
        <w:t xml:space="preserve"> </w:t>
      </w:r>
      <w:r w:rsidR="00112B43" w:rsidRPr="00112B43">
        <w:rPr>
          <w:sz w:val="24"/>
        </w:rPr>
        <w:t>péčí řádného hospodáře, jak</w:t>
      </w:r>
      <w:r w:rsidR="003B283D">
        <w:rPr>
          <w:sz w:val="24"/>
        </w:rPr>
        <w:t xml:space="preserve"> jim</w:t>
      </w:r>
      <w:r w:rsidR="00112B43" w:rsidRPr="00112B43">
        <w:rPr>
          <w:sz w:val="24"/>
        </w:rPr>
        <w:t xml:space="preserve"> ukládá ustanovení § 12a odst. 1 a § 13 odst. 7 </w:t>
      </w:r>
      <w:r w:rsidR="00CF0D2E">
        <w:rPr>
          <w:sz w:val="24"/>
        </w:rPr>
        <w:t>ZSP</w:t>
      </w:r>
      <w:r w:rsidR="00112B43" w:rsidRPr="00112B43">
        <w:rPr>
          <w:sz w:val="24"/>
        </w:rPr>
        <w:t xml:space="preserve">. </w:t>
      </w:r>
    </w:p>
    <w:p w14:paraId="31E80153" w14:textId="2C879469" w:rsidR="00986EF2" w:rsidRDefault="00986EF2" w:rsidP="00112B43">
      <w:pPr>
        <w:spacing w:after="0"/>
        <w:jc w:val="both"/>
        <w:rPr>
          <w:sz w:val="24"/>
        </w:rPr>
      </w:pPr>
    </w:p>
    <w:p w14:paraId="68555004" w14:textId="61E8CAD0" w:rsidR="00986EF2" w:rsidRPr="00112B43" w:rsidRDefault="00986EF2" w:rsidP="00112B43">
      <w:pPr>
        <w:spacing w:after="0"/>
        <w:jc w:val="both"/>
        <w:rPr>
          <w:sz w:val="24"/>
        </w:rPr>
      </w:pPr>
      <w:r>
        <w:rPr>
          <w:sz w:val="24"/>
        </w:rPr>
        <w:t>2. Od roku 2017 působil zástupce ředitele TZÚS ve správní radě jeho dceřiné společnosti</w:t>
      </w:r>
      <w:r w:rsidR="0099440B">
        <w:rPr>
          <w:sz w:val="24"/>
        </w:rPr>
        <w:t xml:space="preserve"> bez souhlasu MPO</w:t>
      </w:r>
      <w:r>
        <w:rPr>
          <w:sz w:val="24"/>
        </w:rPr>
        <w:t>, čímž porušoval zákaz konkurence podle § 14 odst. 1 ZSP. NKÚ v průběhu kontroly na tento nedostatek upozornil MPO i TZÚS. Zakladatel uložil TZÚS zástupce ředitele odvolat ze správní rady, po vzájemné komunikaci pak MPO vydalo souhlas s působením zástupce ředitele TZÚS ve správní radě dceřiné společnosti.</w:t>
      </w:r>
    </w:p>
    <w:p w14:paraId="4861E016" w14:textId="77777777" w:rsidR="00112B43" w:rsidRPr="00112B43" w:rsidRDefault="00112B43" w:rsidP="00112B43">
      <w:pPr>
        <w:spacing w:after="0"/>
        <w:jc w:val="both"/>
        <w:rPr>
          <w:sz w:val="24"/>
        </w:rPr>
      </w:pPr>
    </w:p>
    <w:p w14:paraId="6DDE83F5" w14:textId="4DA15F54" w:rsidR="00493182" w:rsidRDefault="005046FB" w:rsidP="00493182">
      <w:pPr>
        <w:spacing w:after="0"/>
        <w:jc w:val="both"/>
        <w:rPr>
          <w:sz w:val="24"/>
        </w:rPr>
      </w:pPr>
      <w:r>
        <w:rPr>
          <w:sz w:val="24"/>
        </w:rPr>
        <w:t xml:space="preserve">3. </w:t>
      </w:r>
      <w:r w:rsidR="00493182">
        <w:rPr>
          <w:sz w:val="24"/>
        </w:rPr>
        <w:t>MPO neaktualizovalo v let</w:t>
      </w:r>
      <w:r w:rsidR="00E827AD">
        <w:rPr>
          <w:sz w:val="24"/>
        </w:rPr>
        <w:t>ech</w:t>
      </w:r>
      <w:r w:rsidR="00493182">
        <w:rPr>
          <w:sz w:val="24"/>
        </w:rPr>
        <w:t xml:space="preserve"> 2019 až 2024 výši kmenového jmění </w:t>
      </w:r>
      <w:r w:rsidR="006F04B8">
        <w:rPr>
          <w:sz w:val="24"/>
        </w:rPr>
        <w:t>v obchodním rejstříku a</w:t>
      </w:r>
      <w:r w:rsidR="00A3373C">
        <w:rPr>
          <w:sz w:val="24"/>
        </w:rPr>
        <w:t> </w:t>
      </w:r>
      <w:r w:rsidR="006F04B8">
        <w:rPr>
          <w:sz w:val="24"/>
        </w:rPr>
        <w:t xml:space="preserve">uvádělo </w:t>
      </w:r>
      <w:r w:rsidR="00FD077F">
        <w:rPr>
          <w:sz w:val="24"/>
        </w:rPr>
        <w:t>chybnou</w:t>
      </w:r>
      <w:r w:rsidR="006F04B8">
        <w:rPr>
          <w:sz w:val="24"/>
        </w:rPr>
        <w:t xml:space="preserve"> výši rezervního fondu v zakládací listině TZÚS</w:t>
      </w:r>
      <w:r w:rsidR="00493182">
        <w:rPr>
          <w:sz w:val="24"/>
        </w:rPr>
        <w:t>, kter</w:t>
      </w:r>
      <w:r w:rsidR="00A57BE7">
        <w:rPr>
          <w:sz w:val="24"/>
        </w:rPr>
        <w:t>á</w:t>
      </w:r>
      <w:r w:rsidR="00493182">
        <w:rPr>
          <w:sz w:val="24"/>
        </w:rPr>
        <w:t xml:space="preserve"> tak obsahoval</w:t>
      </w:r>
      <w:r w:rsidR="00A57BE7">
        <w:rPr>
          <w:sz w:val="24"/>
        </w:rPr>
        <w:t>a</w:t>
      </w:r>
      <w:r w:rsidR="00493182">
        <w:rPr>
          <w:sz w:val="24"/>
        </w:rPr>
        <w:t xml:space="preserve"> jiné údaje než výroční zprávy a účetní závěrk</w:t>
      </w:r>
      <w:r w:rsidR="00A06BE0">
        <w:rPr>
          <w:sz w:val="24"/>
        </w:rPr>
        <w:t>y</w:t>
      </w:r>
      <w:r w:rsidR="00493182">
        <w:rPr>
          <w:sz w:val="24"/>
        </w:rPr>
        <w:t xml:space="preserve"> TZÚS</w:t>
      </w:r>
      <w:r w:rsidR="003433C3">
        <w:rPr>
          <w:rStyle w:val="Znakapoznpodarou"/>
          <w:sz w:val="24"/>
        </w:rPr>
        <w:footnoteReference w:id="3"/>
      </w:r>
      <w:r w:rsidR="00493182">
        <w:rPr>
          <w:sz w:val="24"/>
        </w:rPr>
        <w:t>. MPO nezveřejnilo</w:t>
      </w:r>
      <w:r w:rsidR="003B283D">
        <w:rPr>
          <w:sz w:val="24"/>
        </w:rPr>
        <w:t xml:space="preserve"> mezi lety 2018 až 2023</w:t>
      </w:r>
      <w:r w:rsidR="00493182">
        <w:rPr>
          <w:sz w:val="24"/>
        </w:rPr>
        <w:t xml:space="preserve"> přílohy zakládací listiny EZÚ v obchodním rejstříku. Tyto přílohy vymezují hodnotu majetku státu, se kterým má EZÚ právo hospodařit a definují určený majetek EZÚ.</w:t>
      </w:r>
    </w:p>
    <w:p w14:paraId="0C79314A" w14:textId="77777777" w:rsidR="00ED7702" w:rsidRDefault="00ED7702">
      <w:pPr>
        <w:spacing w:after="0"/>
        <w:jc w:val="both"/>
        <w:rPr>
          <w:sz w:val="24"/>
        </w:rPr>
      </w:pPr>
    </w:p>
    <w:p w14:paraId="20648AEC" w14:textId="603C5D5D" w:rsidR="00ED7702" w:rsidRDefault="00ED7702">
      <w:pPr>
        <w:spacing w:after="0"/>
        <w:jc w:val="both"/>
        <w:rPr>
          <w:sz w:val="24"/>
        </w:rPr>
      </w:pPr>
      <w:r>
        <w:rPr>
          <w:sz w:val="24"/>
        </w:rPr>
        <w:t>4. EZÚ i TZÚS v kontrolovaném období pořídil</w:t>
      </w:r>
      <w:r w:rsidR="00A06BE0">
        <w:rPr>
          <w:sz w:val="24"/>
        </w:rPr>
        <w:t>y</w:t>
      </w:r>
      <w:r>
        <w:rPr>
          <w:sz w:val="24"/>
        </w:rPr>
        <w:t xml:space="preserve"> každý jeden </w:t>
      </w:r>
      <w:r w:rsidR="00805978">
        <w:rPr>
          <w:sz w:val="24"/>
        </w:rPr>
        <w:t xml:space="preserve">zkušební </w:t>
      </w:r>
      <w:r>
        <w:rPr>
          <w:sz w:val="24"/>
        </w:rPr>
        <w:t>přístroj v hodnotě vyšší než 2 mil. Kč</w:t>
      </w:r>
      <w:r w:rsidR="00257E2E">
        <w:rPr>
          <w:sz w:val="24"/>
        </w:rPr>
        <w:t xml:space="preserve"> bez </w:t>
      </w:r>
      <w:r w:rsidR="00865BFD">
        <w:rPr>
          <w:sz w:val="24"/>
        </w:rPr>
        <w:t xml:space="preserve">předchozího </w:t>
      </w:r>
      <w:r w:rsidR="00257E2E">
        <w:rPr>
          <w:sz w:val="24"/>
        </w:rPr>
        <w:t xml:space="preserve">souhlasu zakladatele, který </w:t>
      </w:r>
      <w:r w:rsidR="009753B6">
        <w:rPr>
          <w:sz w:val="24"/>
        </w:rPr>
        <w:t>byl</w:t>
      </w:r>
      <w:r w:rsidR="00257E2E">
        <w:rPr>
          <w:sz w:val="24"/>
        </w:rPr>
        <w:t xml:space="preserve"> k pořízení dle </w:t>
      </w:r>
      <w:r w:rsidR="007E6246">
        <w:rPr>
          <w:sz w:val="24"/>
        </w:rPr>
        <w:t>s</w:t>
      </w:r>
      <w:r w:rsidR="00257E2E">
        <w:rPr>
          <w:sz w:val="24"/>
        </w:rPr>
        <w:t>tatutu obou státních podniků nutný.</w:t>
      </w:r>
      <w:r w:rsidR="00493182">
        <w:rPr>
          <w:sz w:val="24"/>
        </w:rPr>
        <w:t xml:space="preserve"> Jednalo se v případě EZÚ o výkonový zesilovač 1</w:t>
      </w:r>
      <w:r w:rsidR="005F0858">
        <w:rPr>
          <w:rFonts w:cstheme="minorHAnsi"/>
          <w:sz w:val="24"/>
        </w:rPr>
        <w:t>–</w:t>
      </w:r>
      <w:r w:rsidR="00493182">
        <w:rPr>
          <w:sz w:val="24"/>
        </w:rPr>
        <w:t>6 GHz za 2,5 mil. Kč a v případě TZÚS o plynový chromatograf</w:t>
      </w:r>
      <w:r w:rsidR="00863860">
        <w:rPr>
          <w:sz w:val="24"/>
        </w:rPr>
        <w:t xml:space="preserve"> GC-MS</w:t>
      </w:r>
      <w:r w:rsidR="00493182">
        <w:rPr>
          <w:sz w:val="24"/>
        </w:rPr>
        <w:t xml:space="preserve"> za 2,3</w:t>
      </w:r>
      <w:r w:rsidR="00193F91">
        <w:rPr>
          <w:sz w:val="24"/>
        </w:rPr>
        <w:t> </w:t>
      </w:r>
      <w:r w:rsidR="00493182">
        <w:rPr>
          <w:sz w:val="24"/>
        </w:rPr>
        <w:t>mil.</w:t>
      </w:r>
      <w:r w:rsidR="00193F91">
        <w:rPr>
          <w:sz w:val="24"/>
        </w:rPr>
        <w:t> </w:t>
      </w:r>
      <w:r w:rsidR="00636179">
        <w:rPr>
          <w:sz w:val="24"/>
        </w:rPr>
        <w:t>K</w:t>
      </w:r>
      <w:r w:rsidR="00493182">
        <w:rPr>
          <w:sz w:val="24"/>
        </w:rPr>
        <w:t>č.</w:t>
      </w:r>
    </w:p>
    <w:p w14:paraId="16E8E80D" w14:textId="001B01FC" w:rsidR="000C5796" w:rsidRDefault="000C5796">
      <w:pPr>
        <w:spacing w:after="0"/>
        <w:jc w:val="both"/>
        <w:rPr>
          <w:sz w:val="24"/>
        </w:rPr>
      </w:pPr>
    </w:p>
    <w:p w14:paraId="42A891C0" w14:textId="614388EB" w:rsidR="00986EF2" w:rsidRDefault="00986EF2" w:rsidP="00986EF2">
      <w:pPr>
        <w:spacing w:after="0"/>
        <w:jc w:val="both"/>
        <w:rPr>
          <w:sz w:val="24"/>
        </w:rPr>
      </w:pPr>
      <w:r>
        <w:rPr>
          <w:sz w:val="24"/>
        </w:rPr>
        <w:t>5</w:t>
      </w:r>
      <w:r w:rsidRPr="00FD3B4A">
        <w:rPr>
          <w:sz w:val="24"/>
        </w:rPr>
        <w:t>.</w:t>
      </w:r>
      <w:r w:rsidRPr="00493182">
        <w:rPr>
          <w:sz w:val="24"/>
        </w:rPr>
        <w:t xml:space="preserve"> </w:t>
      </w:r>
      <w:r>
        <w:rPr>
          <w:sz w:val="24"/>
        </w:rPr>
        <w:t>EZÚ a TZÚS jsou státní podniky založené za účelem podnikání s cílem za úplatu poskytovat odborné služby v oblastech posuzování shody pro uvádění výrobků na trh, odborného dohledu, inspekcí, certifikace a zkušebnictví. Oba státní podniky tento účel plní a MPO jako zakladatel ukládá roční úkoly ředitelům a jejich plnění vyhodnocuje. TZÚS vlastní 100 % akcií společnosti QUALIFORM</w:t>
      </w:r>
      <w:r w:rsidR="005F0858">
        <w:rPr>
          <w:sz w:val="24"/>
        </w:rPr>
        <w:t>,</w:t>
      </w:r>
      <w:r>
        <w:rPr>
          <w:sz w:val="24"/>
        </w:rPr>
        <w:t xml:space="preserve"> a.s.</w:t>
      </w:r>
      <w:r w:rsidR="005F0858">
        <w:rPr>
          <w:sz w:val="24"/>
        </w:rPr>
        <w:t>,</w:t>
      </w:r>
      <w:r>
        <w:rPr>
          <w:sz w:val="24"/>
        </w:rPr>
        <w:t xml:space="preserve"> a 76 % akcií společnosti PAVUS</w:t>
      </w:r>
      <w:r w:rsidR="005F0858">
        <w:rPr>
          <w:sz w:val="24"/>
        </w:rPr>
        <w:t>,</w:t>
      </w:r>
      <w:r>
        <w:rPr>
          <w:sz w:val="24"/>
        </w:rPr>
        <w:t xml:space="preserve"> a.</w:t>
      </w:r>
      <w:r w:rsidRPr="000031AC">
        <w:rPr>
          <w:sz w:val="24"/>
        </w:rPr>
        <w:t>s.</w:t>
      </w:r>
      <w:r w:rsidRPr="009316BE">
        <w:rPr>
          <w:rStyle w:val="Znakapoznpodarou"/>
          <w:sz w:val="24"/>
        </w:rPr>
        <w:footnoteReference w:id="4"/>
      </w:r>
      <w:r w:rsidRPr="000031AC">
        <w:rPr>
          <w:sz w:val="24"/>
        </w:rPr>
        <w:t xml:space="preserve"> Obě</w:t>
      </w:r>
      <w:r>
        <w:rPr>
          <w:sz w:val="24"/>
        </w:rPr>
        <w:t xml:space="preserve"> společnosti podnikají a</w:t>
      </w:r>
      <w:r w:rsidR="00A3373C">
        <w:rPr>
          <w:sz w:val="24"/>
        </w:rPr>
        <w:t> </w:t>
      </w:r>
      <w:r>
        <w:rPr>
          <w:sz w:val="24"/>
        </w:rPr>
        <w:t>poskytuj</w:t>
      </w:r>
      <w:r w:rsidR="005F0858">
        <w:rPr>
          <w:sz w:val="24"/>
        </w:rPr>
        <w:t>í</w:t>
      </w:r>
      <w:r>
        <w:rPr>
          <w:sz w:val="24"/>
        </w:rPr>
        <w:t xml:space="preserve"> služby v oblasti zkušebnictví a certifikace. O obou společnostech a jejich podnikání je MPO pravidelně informováno. EZÚ v roce 2014 založil dceřinou společnost ELPP, s.r.o., která od svého vzniku nevyvíjí žádnou činnost, nemá pro EZÚ žádný přínos a za její vznik a nezbytné náklady spojené s její existencí uhradil </w:t>
      </w:r>
      <w:r w:rsidR="005F0858">
        <w:rPr>
          <w:sz w:val="24"/>
        </w:rPr>
        <w:t xml:space="preserve">EZÚ </w:t>
      </w:r>
      <w:r>
        <w:rPr>
          <w:sz w:val="24"/>
        </w:rPr>
        <w:t>od roku 2014 celkem 179 tis. Kč</w:t>
      </w:r>
      <w:r w:rsidR="00983B8B">
        <w:rPr>
          <w:sz w:val="24"/>
        </w:rPr>
        <w:t>.</w:t>
      </w:r>
      <w:r>
        <w:rPr>
          <w:sz w:val="24"/>
        </w:rPr>
        <w:t xml:space="preserve"> </w:t>
      </w:r>
    </w:p>
    <w:p w14:paraId="0D18730F" w14:textId="7E02B92C" w:rsidR="00A3727B" w:rsidRDefault="00A3727B">
      <w:pPr>
        <w:spacing w:after="0"/>
        <w:jc w:val="both"/>
        <w:rPr>
          <w:sz w:val="24"/>
        </w:rPr>
      </w:pPr>
    </w:p>
    <w:p w14:paraId="0B1833D8" w14:textId="77777777" w:rsidR="000031AC" w:rsidRDefault="000031AC">
      <w:pPr>
        <w:rPr>
          <w:b/>
          <w:sz w:val="28"/>
        </w:rPr>
      </w:pPr>
      <w:r>
        <w:rPr>
          <w:b/>
          <w:sz w:val="28"/>
        </w:rPr>
        <w:br w:type="page"/>
      </w:r>
    </w:p>
    <w:p w14:paraId="04756D41" w14:textId="48B2B6B6" w:rsidR="009F33BB" w:rsidRDefault="009F33BB" w:rsidP="009F33BB">
      <w:pPr>
        <w:spacing w:after="0"/>
        <w:jc w:val="center"/>
        <w:rPr>
          <w:b/>
          <w:sz w:val="28"/>
        </w:rPr>
      </w:pPr>
      <w:r w:rsidRPr="009F33BB">
        <w:rPr>
          <w:b/>
          <w:sz w:val="28"/>
        </w:rPr>
        <w:lastRenderedPageBreak/>
        <w:t>II. Informace o kontrolované oblasti</w:t>
      </w:r>
    </w:p>
    <w:p w14:paraId="0AF3F558" w14:textId="77777777" w:rsidR="00703F1A" w:rsidRDefault="00703F1A" w:rsidP="004C3732">
      <w:pPr>
        <w:spacing w:after="0"/>
        <w:jc w:val="both"/>
        <w:rPr>
          <w:sz w:val="24"/>
        </w:rPr>
      </w:pPr>
    </w:p>
    <w:p w14:paraId="2DC19E65" w14:textId="76E892FB" w:rsidR="004C3732" w:rsidRPr="004C3732" w:rsidRDefault="00E158BE" w:rsidP="004C3732">
      <w:pPr>
        <w:spacing w:after="0"/>
        <w:jc w:val="both"/>
        <w:rPr>
          <w:sz w:val="24"/>
        </w:rPr>
      </w:pPr>
      <w:r>
        <w:rPr>
          <w:sz w:val="24"/>
        </w:rPr>
        <w:t>MPO je zakladatel celkem šesti státních podniků působících v oblasti zkušebnictví</w:t>
      </w:r>
      <w:r w:rsidR="000F7842">
        <w:rPr>
          <w:sz w:val="24"/>
        </w:rPr>
        <w:t xml:space="preserve">. </w:t>
      </w:r>
      <w:r w:rsidR="004C3732" w:rsidRPr="004C3732">
        <w:rPr>
          <w:sz w:val="24"/>
        </w:rPr>
        <w:t>Usnesením vlády ze dne 19. listopadu 2008 č. 1456</w:t>
      </w:r>
      <w:r w:rsidR="004C3732" w:rsidRPr="004C3732">
        <w:rPr>
          <w:sz w:val="24"/>
          <w:vertAlign w:val="superscript"/>
        </w:rPr>
        <w:footnoteReference w:id="5"/>
      </w:r>
      <w:r w:rsidR="004C3732" w:rsidRPr="004C3732">
        <w:rPr>
          <w:sz w:val="24"/>
          <w:vertAlign w:val="superscript"/>
        </w:rPr>
        <w:t xml:space="preserve"> </w:t>
      </w:r>
      <w:r w:rsidR="004C3732" w:rsidRPr="004C3732">
        <w:rPr>
          <w:sz w:val="24"/>
        </w:rPr>
        <w:t xml:space="preserve">byly státní podniky v zakladatelské působnosti MPO působící v oblasti </w:t>
      </w:r>
      <w:r w:rsidR="004C3732">
        <w:rPr>
          <w:sz w:val="24"/>
        </w:rPr>
        <w:t>zkušebnictví schváleny k privatizaci. Ta byla v květnu 2009 pozastavena a od třetího čtvrtletí roku 2010 začalo MPO znovu analyzovat možnosti privatizace zkušebních ústavů</w:t>
      </w:r>
      <w:r w:rsidR="00784DF5">
        <w:rPr>
          <w:sz w:val="24"/>
        </w:rPr>
        <w:t xml:space="preserve"> </w:t>
      </w:r>
      <w:r w:rsidR="00DD6F0E">
        <w:rPr>
          <w:sz w:val="24"/>
        </w:rPr>
        <w:t>včetně jejího zastavení</w:t>
      </w:r>
      <w:r w:rsidR="004C3732">
        <w:rPr>
          <w:sz w:val="24"/>
        </w:rPr>
        <w:t>. Výsledkem analýz a dalších jednání bylo v</w:t>
      </w:r>
      <w:r w:rsidR="004C3732" w:rsidRPr="004C3732">
        <w:rPr>
          <w:sz w:val="24"/>
        </w:rPr>
        <w:t>yjmutí zkušebních podniků z</w:t>
      </w:r>
      <w:r w:rsidR="004C3732">
        <w:rPr>
          <w:sz w:val="24"/>
        </w:rPr>
        <w:t> </w:t>
      </w:r>
      <w:r w:rsidR="004C3732" w:rsidRPr="004C3732">
        <w:rPr>
          <w:sz w:val="24"/>
        </w:rPr>
        <w:t>privatizace</w:t>
      </w:r>
      <w:r w:rsidR="004C3732">
        <w:rPr>
          <w:sz w:val="24"/>
        </w:rPr>
        <w:t xml:space="preserve">, </w:t>
      </w:r>
      <w:r w:rsidR="000031AC">
        <w:rPr>
          <w:sz w:val="24"/>
        </w:rPr>
        <w:t>což</w:t>
      </w:r>
      <w:r w:rsidR="004C3732">
        <w:rPr>
          <w:sz w:val="24"/>
        </w:rPr>
        <w:t xml:space="preserve"> </w:t>
      </w:r>
      <w:r w:rsidR="004C3732" w:rsidRPr="004C3732">
        <w:rPr>
          <w:sz w:val="24"/>
        </w:rPr>
        <w:t>schválila vláda svým usnesením ze dne 24. srpna 2011 č. 640</w:t>
      </w:r>
      <w:r w:rsidR="004C3732" w:rsidRPr="004C3732">
        <w:rPr>
          <w:sz w:val="24"/>
          <w:vertAlign w:val="superscript"/>
        </w:rPr>
        <w:footnoteReference w:id="6"/>
      </w:r>
      <w:r w:rsidR="004C3732" w:rsidRPr="004C3732">
        <w:rPr>
          <w:sz w:val="24"/>
        </w:rPr>
        <w:t xml:space="preserve">. </w:t>
      </w:r>
    </w:p>
    <w:p w14:paraId="77E64EBF" w14:textId="77777777" w:rsidR="004C3732" w:rsidRDefault="004C3732" w:rsidP="004C3732">
      <w:pPr>
        <w:spacing w:after="0"/>
        <w:jc w:val="both"/>
        <w:rPr>
          <w:sz w:val="24"/>
        </w:rPr>
      </w:pPr>
    </w:p>
    <w:p w14:paraId="03511EAD" w14:textId="77777777" w:rsidR="009F33BB" w:rsidRPr="00E3144A" w:rsidRDefault="001C147E" w:rsidP="009F33BB">
      <w:pPr>
        <w:spacing w:after="0"/>
        <w:jc w:val="both"/>
        <w:rPr>
          <w:b/>
          <w:sz w:val="24"/>
        </w:rPr>
      </w:pPr>
      <w:r w:rsidRPr="00E3144A">
        <w:rPr>
          <w:b/>
          <w:sz w:val="24"/>
        </w:rPr>
        <w:t xml:space="preserve">Elektrotechnický zkušební ústav, s. p. </w:t>
      </w:r>
    </w:p>
    <w:p w14:paraId="5A127277" w14:textId="77777777" w:rsidR="00CF7467" w:rsidRDefault="00CF7467" w:rsidP="00CF7467">
      <w:pPr>
        <w:pStyle w:val="Default"/>
        <w:jc w:val="both"/>
        <w:rPr>
          <w:rFonts w:cstheme="minorHAnsi"/>
          <w:color w:val="auto"/>
        </w:rPr>
      </w:pPr>
      <w:bookmarkStart w:id="3" w:name="_Hlk165014378"/>
    </w:p>
    <w:p w14:paraId="10BE321A" w14:textId="77777777" w:rsidR="00073C9B" w:rsidRDefault="00CF7467" w:rsidP="00073C9B">
      <w:pPr>
        <w:pStyle w:val="normlnodstavec"/>
        <w:spacing w:before="0" w:after="0"/>
        <w:rPr>
          <w:color w:val="auto"/>
        </w:rPr>
      </w:pPr>
      <w:r w:rsidRPr="009B320F">
        <w:rPr>
          <w:rFonts w:cstheme="minorHAnsi"/>
          <w:color w:val="auto"/>
        </w:rPr>
        <w:t xml:space="preserve">EZÚ </w:t>
      </w:r>
      <w:r w:rsidR="00EF54E6">
        <w:rPr>
          <w:rFonts w:cstheme="minorHAnsi"/>
          <w:color w:val="auto"/>
        </w:rPr>
        <w:t>byl</w:t>
      </w:r>
      <w:r w:rsidRPr="009B320F">
        <w:rPr>
          <w:rFonts w:cstheme="minorHAnsi"/>
          <w:color w:val="auto"/>
        </w:rPr>
        <w:t xml:space="preserve"> založen za účelem poskytování odborných služeb v oblasti posuzování shody pro uvádění výrobků na trh, odborného dohledu, zkušebnictví, inspekcí, certifikace, znalectví, projektů výzkumu, vývoje a inovací, vzdělávání a za účelem plnění dalších úkolů ukládaných zakladatelem v hospodářském nebo společenském zájmu státu. Předmětem podnikání EZÚ je výkon státního zkušebnictví podle zákona č. 22/1997 Sb. a podle zákona č. 90/2016 Sb., zkoušení a certifikace výrobků, certifikace systémů řízení, odborné služby v oblasti zkoušení, certifikace, metrologie, normalizace, osvědčování, inspekce a zpracování odborných posudků.</w:t>
      </w:r>
      <w:bookmarkEnd w:id="3"/>
      <w:r w:rsidR="00073C9B">
        <w:rPr>
          <w:rFonts w:cstheme="minorHAnsi"/>
          <w:color w:val="auto"/>
        </w:rPr>
        <w:t xml:space="preserve"> </w:t>
      </w:r>
      <w:r w:rsidR="00FF27C9">
        <w:rPr>
          <w:rFonts w:cstheme="minorHAnsi"/>
          <w:color w:val="auto"/>
        </w:rPr>
        <w:t>EZÚ se zabývá zejména výrobky elektro</w:t>
      </w:r>
      <w:r w:rsidR="00CC5978">
        <w:rPr>
          <w:rFonts w:cstheme="minorHAnsi"/>
          <w:color w:val="auto"/>
        </w:rPr>
        <w:t>technického</w:t>
      </w:r>
      <w:r w:rsidR="00FF27C9">
        <w:rPr>
          <w:rFonts w:cstheme="minorHAnsi"/>
          <w:color w:val="auto"/>
        </w:rPr>
        <w:t xml:space="preserve"> charakteru, stavebními a strojírenskými výrobky. Ministerstvem financí je pověřen k odbornému posuzování a osvědčování hazardních her, </w:t>
      </w:r>
      <w:r w:rsidR="00FF27C9" w:rsidRPr="00E158BE">
        <w:rPr>
          <w:rFonts w:ascii="Calibri" w:eastAsia="Times New Roman" w:hAnsi="Calibri" w:cs="Calibri"/>
          <w:bCs/>
        </w:rPr>
        <w:t>Ministerstvem dopravy k homologaci příslušenství motorových vozidel a Ministerstvem vnitra k provádění atestací pro stanovení shody dlouhodobého řízení informačních systémů veřejné správy. Certifikační služby poskytuje EZÚ též v oblasti kybernetické bezpečnosti.</w:t>
      </w:r>
      <w:r w:rsidR="005A13BD">
        <w:rPr>
          <w:rFonts w:ascii="Calibri" w:eastAsia="Times New Roman" w:hAnsi="Calibri" w:cs="Calibri"/>
          <w:bCs/>
        </w:rPr>
        <w:t xml:space="preserve"> </w:t>
      </w:r>
      <w:r w:rsidR="00073C9B">
        <w:rPr>
          <w:color w:val="auto"/>
        </w:rPr>
        <w:t>EZÚ</w:t>
      </w:r>
      <w:r w:rsidR="005A13BD">
        <w:rPr>
          <w:color w:val="auto"/>
        </w:rPr>
        <w:t xml:space="preserve"> </w:t>
      </w:r>
      <w:r w:rsidR="00073C9B">
        <w:rPr>
          <w:color w:val="auto"/>
        </w:rPr>
        <w:t>sídlí v</w:t>
      </w:r>
      <w:r w:rsidR="00FF27C9">
        <w:rPr>
          <w:color w:val="auto"/>
        </w:rPr>
        <w:t> </w:t>
      </w:r>
      <w:r w:rsidR="00073C9B">
        <w:rPr>
          <w:color w:val="auto"/>
        </w:rPr>
        <w:t>Praze</w:t>
      </w:r>
      <w:r w:rsidR="00FF27C9">
        <w:rPr>
          <w:color w:val="auto"/>
        </w:rPr>
        <w:t>, nemá pobočkovou síť. V rámci zahraničních aktivit se EZÚ zapojuje do evropských a celosvětových certifikačních systémů.</w:t>
      </w:r>
    </w:p>
    <w:p w14:paraId="6B94C504" w14:textId="77777777" w:rsidR="00CF7467" w:rsidRDefault="00CF7467" w:rsidP="00EF54E6">
      <w:pPr>
        <w:spacing w:after="0"/>
        <w:jc w:val="both"/>
        <w:rPr>
          <w:sz w:val="24"/>
        </w:rPr>
      </w:pPr>
    </w:p>
    <w:p w14:paraId="455725C9" w14:textId="35F84D26" w:rsidR="00073C9B" w:rsidRDefault="00EF54E6" w:rsidP="00EF54E6">
      <w:pPr>
        <w:pStyle w:val="normlnodstavec"/>
        <w:spacing w:before="0" w:after="0"/>
        <w:rPr>
          <w:color w:val="auto"/>
        </w:rPr>
      </w:pPr>
      <w:r w:rsidRPr="00EF54E6">
        <w:rPr>
          <w:color w:val="auto"/>
        </w:rPr>
        <w:t xml:space="preserve">V kontrolovaném období </w:t>
      </w:r>
      <w:r w:rsidRPr="00EF54E6">
        <w:rPr>
          <w:b/>
          <w:color w:val="auto"/>
        </w:rPr>
        <w:t>EZÚ</w:t>
      </w:r>
      <w:r w:rsidRPr="00EF54E6">
        <w:rPr>
          <w:color w:val="auto"/>
        </w:rPr>
        <w:t xml:space="preserve"> hospodařil s majetkem státu ve výši 148 mil. Kč až 191 mil. Kč.</w:t>
      </w:r>
      <w:r w:rsidR="005A2578">
        <w:rPr>
          <w:color w:val="auto"/>
        </w:rPr>
        <w:t xml:space="preserve"> V době ukončení kontroly byl hlavní složkou</w:t>
      </w:r>
      <w:r w:rsidR="00E750C0">
        <w:rPr>
          <w:color w:val="auto"/>
        </w:rPr>
        <w:t xml:space="preserve"> určeného</w:t>
      </w:r>
      <w:r w:rsidR="005A2578">
        <w:rPr>
          <w:color w:val="auto"/>
        </w:rPr>
        <w:t xml:space="preserve"> nemovitého majetku areál sídla EZÚ v Praze s pěti budovami: </w:t>
      </w:r>
      <w:r w:rsidRPr="00EF54E6">
        <w:rPr>
          <w:color w:val="auto"/>
        </w:rPr>
        <w:t>hlavní budov</w:t>
      </w:r>
      <w:r w:rsidR="005A2578">
        <w:rPr>
          <w:color w:val="auto"/>
        </w:rPr>
        <w:t>a</w:t>
      </w:r>
      <w:r w:rsidRPr="00EF54E6">
        <w:rPr>
          <w:color w:val="auto"/>
        </w:rPr>
        <w:t xml:space="preserve"> C2 s příjmem vzorků, budov</w:t>
      </w:r>
      <w:r w:rsidR="005A2578">
        <w:rPr>
          <w:color w:val="auto"/>
        </w:rPr>
        <w:t>a</w:t>
      </w:r>
      <w:r w:rsidRPr="00EF54E6">
        <w:rPr>
          <w:color w:val="auto"/>
        </w:rPr>
        <w:t xml:space="preserve"> C3 zčásti sloužící </w:t>
      </w:r>
      <w:r w:rsidR="007E6246">
        <w:rPr>
          <w:color w:val="auto"/>
        </w:rPr>
        <w:br/>
      </w:r>
      <w:r w:rsidRPr="00EF54E6">
        <w:rPr>
          <w:color w:val="auto"/>
        </w:rPr>
        <w:t xml:space="preserve">jako kantýna, </w:t>
      </w:r>
      <w:r w:rsidR="005A2578">
        <w:rPr>
          <w:color w:val="auto"/>
        </w:rPr>
        <w:t>b</w:t>
      </w:r>
      <w:r w:rsidRPr="00EF54E6">
        <w:rPr>
          <w:color w:val="auto"/>
        </w:rPr>
        <w:t>udov</w:t>
      </w:r>
      <w:r w:rsidR="005A2578">
        <w:rPr>
          <w:color w:val="auto"/>
        </w:rPr>
        <w:t>a</w:t>
      </w:r>
      <w:r w:rsidRPr="00EF54E6">
        <w:rPr>
          <w:color w:val="auto"/>
        </w:rPr>
        <w:t xml:space="preserve"> M1 sloužící jako zkušebna velkých vzorků, spisovna a archiv EZÚ, </w:t>
      </w:r>
      <w:r w:rsidR="007E6246">
        <w:rPr>
          <w:color w:val="auto"/>
        </w:rPr>
        <w:br/>
      </w:r>
      <w:r w:rsidRPr="00EF54E6">
        <w:rPr>
          <w:color w:val="auto"/>
        </w:rPr>
        <w:t>budov</w:t>
      </w:r>
      <w:r w:rsidR="005A2578">
        <w:rPr>
          <w:color w:val="auto"/>
        </w:rPr>
        <w:t>a</w:t>
      </w:r>
      <w:r w:rsidRPr="00EF54E6">
        <w:rPr>
          <w:color w:val="auto"/>
        </w:rPr>
        <w:t xml:space="preserve"> M2 využívan</w:t>
      </w:r>
      <w:r w:rsidR="00863860">
        <w:rPr>
          <w:color w:val="auto"/>
        </w:rPr>
        <w:t>á</w:t>
      </w:r>
      <w:r w:rsidRPr="00EF54E6">
        <w:rPr>
          <w:color w:val="auto"/>
        </w:rPr>
        <w:t xml:space="preserve"> ke zkouškám prachotěsnosti a hořlavosti a budovy označované jako </w:t>
      </w:r>
      <w:r w:rsidRPr="00EF54E6">
        <w:rPr>
          <w:rFonts w:cstheme="minorHAnsi"/>
          <w:color w:val="auto"/>
        </w:rPr>
        <w:t>Zkratovna – EMC</w:t>
      </w:r>
      <w:r w:rsidRPr="00EF54E6">
        <w:rPr>
          <w:color w:val="auto"/>
        </w:rPr>
        <w:t>.</w:t>
      </w:r>
      <w:r w:rsidR="00073C9B">
        <w:rPr>
          <w:color w:val="auto"/>
        </w:rPr>
        <w:t xml:space="preserve"> Dále se v</w:t>
      </w:r>
      <w:r w:rsidR="003C2B1B">
        <w:rPr>
          <w:color w:val="auto"/>
        </w:rPr>
        <w:t xml:space="preserve"> </w:t>
      </w:r>
      <w:r w:rsidR="00073C9B">
        <w:rPr>
          <w:color w:val="auto"/>
        </w:rPr>
        <w:t>areálu nachází částečně zdemolovaná budova C1 (</w:t>
      </w:r>
      <w:r w:rsidR="00FF27C9">
        <w:rPr>
          <w:color w:val="auto"/>
        </w:rPr>
        <w:t>podrobněji v</w:t>
      </w:r>
      <w:r w:rsidR="003C2B1B">
        <w:rPr>
          <w:color w:val="auto"/>
        </w:rPr>
        <w:t xml:space="preserve">iz </w:t>
      </w:r>
      <w:r w:rsidR="00FF27C9">
        <w:rPr>
          <w:color w:val="auto"/>
        </w:rPr>
        <w:t>část IV.</w:t>
      </w:r>
      <w:r w:rsidR="00E82FCA">
        <w:rPr>
          <w:color w:val="auto"/>
        </w:rPr>
        <w:t>1</w:t>
      </w:r>
      <w:r w:rsidR="000031AC">
        <w:rPr>
          <w:color w:val="auto"/>
        </w:rPr>
        <w:t>.</w:t>
      </w:r>
      <w:r w:rsidR="00FF27C9">
        <w:rPr>
          <w:color w:val="auto"/>
        </w:rPr>
        <w:t xml:space="preserve"> tohoto kontrolního závěru</w:t>
      </w:r>
      <w:r w:rsidR="00073C9B">
        <w:rPr>
          <w:color w:val="auto"/>
        </w:rPr>
        <w:t xml:space="preserve">). </w:t>
      </w:r>
    </w:p>
    <w:p w14:paraId="3B516942" w14:textId="77777777" w:rsidR="00073C9B" w:rsidRPr="00EF54E6" w:rsidRDefault="00073C9B" w:rsidP="00EF54E6">
      <w:pPr>
        <w:pStyle w:val="normlnodstavec"/>
        <w:spacing w:before="0" w:after="0"/>
        <w:rPr>
          <w:color w:val="auto"/>
        </w:rPr>
      </w:pPr>
    </w:p>
    <w:p w14:paraId="3D3FEFA1" w14:textId="14541BF6" w:rsidR="00EF54E6" w:rsidRPr="00343E58" w:rsidRDefault="00EF54E6" w:rsidP="000B28F1">
      <w:pPr>
        <w:tabs>
          <w:tab w:val="right" w:pos="9072"/>
        </w:tabs>
        <w:spacing w:after="0"/>
        <w:jc w:val="both"/>
        <w:rPr>
          <w:rFonts w:cstheme="minorHAnsi"/>
          <w:b/>
          <w:sz w:val="24"/>
        </w:rPr>
      </w:pPr>
      <w:r w:rsidRPr="00343E58">
        <w:rPr>
          <w:rFonts w:cstheme="minorHAnsi"/>
          <w:b/>
          <w:sz w:val="24"/>
        </w:rPr>
        <w:t>Tab</w:t>
      </w:r>
      <w:r w:rsidR="00182081">
        <w:rPr>
          <w:rFonts w:cstheme="minorHAnsi"/>
          <w:b/>
          <w:sz w:val="24"/>
        </w:rPr>
        <w:t>ulka</w:t>
      </w:r>
      <w:r w:rsidRPr="00343E58">
        <w:rPr>
          <w:rFonts w:cstheme="minorHAnsi"/>
          <w:b/>
          <w:sz w:val="24"/>
        </w:rPr>
        <w:t xml:space="preserve"> č. </w:t>
      </w:r>
      <w:r w:rsidR="000B17BF" w:rsidRPr="00343E58">
        <w:rPr>
          <w:rFonts w:cstheme="minorHAnsi"/>
          <w:b/>
          <w:sz w:val="24"/>
        </w:rPr>
        <w:t>1</w:t>
      </w:r>
      <w:r w:rsidRPr="00343E58">
        <w:rPr>
          <w:rFonts w:cstheme="minorHAnsi"/>
          <w:b/>
          <w:sz w:val="24"/>
        </w:rPr>
        <w:t xml:space="preserve">: Vybrané údaje z rozvahy EZÚ k 31. prosinci příslušného roku </w:t>
      </w:r>
      <w:r w:rsidR="00343E58">
        <w:rPr>
          <w:rFonts w:cstheme="minorHAnsi"/>
          <w:b/>
          <w:sz w:val="24"/>
        </w:rPr>
        <w:tab/>
      </w:r>
      <w:r w:rsidRPr="00343E58">
        <w:rPr>
          <w:rFonts w:cstheme="minorHAnsi"/>
          <w:b/>
          <w:sz w:val="24"/>
        </w:rPr>
        <w:t>(v tis. Kč)</w:t>
      </w:r>
    </w:p>
    <w:tbl>
      <w:tblPr>
        <w:tblStyle w:val="Mkatabulky"/>
        <w:tblW w:w="9072" w:type="dxa"/>
        <w:tblInd w:w="-5" w:type="dxa"/>
        <w:tblLook w:val="04A0" w:firstRow="1" w:lastRow="0" w:firstColumn="1" w:lastColumn="0" w:noHBand="0" w:noVBand="1"/>
      </w:tblPr>
      <w:tblGrid>
        <w:gridCol w:w="3402"/>
        <w:gridCol w:w="1134"/>
        <w:gridCol w:w="1134"/>
        <w:gridCol w:w="1134"/>
        <w:gridCol w:w="1134"/>
        <w:gridCol w:w="1134"/>
      </w:tblGrid>
      <w:tr w:rsidR="00EF54E6" w14:paraId="1C24C967" w14:textId="77777777" w:rsidTr="00343E58">
        <w:tc>
          <w:tcPr>
            <w:tcW w:w="3402" w:type="dxa"/>
            <w:shd w:val="clear" w:color="auto" w:fill="E6E6E6"/>
          </w:tcPr>
          <w:p w14:paraId="58D8C77B" w14:textId="77777777" w:rsidR="00EF54E6" w:rsidRPr="009B320F" w:rsidRDefault="00EF54E6" w:rsidP="00343E58">
            <w:pPr>
              <w:jc w:val="center"/>
              <w:rPr>
                <w:rFonts w:ascii="Calibri" w:hAnsi="Calibri" w:cs="Calibri"/>
                <w:b/>
                <w:sz w:val="20"/>
                <w:szCs w:val="20"/>
              </w:rPr>
            </w:pPr>
          </w:p>
        </w:tc>
        <w:tc>
          <w:tcPr>
            <w:tcW w:w="1134" w:type="dxa"/>
            <w:shd w:val="clear" w:color="auto" w:fill="E6E6E6"/>
            <w:vAlign w:val="bottom"/>
          </w:tcPr>
          <w:p w14:paraId="0F69AB47" w14:textId="77777777" w:rsidR="00EF54E6" w:rsidRPr="009B320F" w:rsidRDefault="00EF54E6" w:rsidP="00343E58">
            <w:pPr>
              <w:jc w:val="center"/>
              <w:rPr>
                <w:rFonts w:ascii="Calibri" w:hAnsi="Calibri" w:cs="Calibri"/>
                <w:b/>
                <w:sz w:val="20"/>
                <w:szCs w:val="20"/>
              </w:rPr>
            </w:pPr>
            <w:r w:rsidRPr="009B320F">
              <w:rPr>
                <w:rFonts w:ascii="Calibri" w:hAnsi="Calibri" w:cs="Calibri"/>
                <w:b/>
                <w:sz w:val="20"/>
                <w:szCs w:val="20"/>
              </w:rPr>
              <w:t>2019</w:t>
            </w:r>
          </w:p>
        </w:tc>
        <w:tc>
          <w:tcPr>
            <w:tcW w:w="1134" w:type="dxa"/>
            <w:shd w:val="clear" w:color="auto" w:fill="E6E6E6"/>
            <w:vAlign w:val="bottom"/>
          </w:tcPr>
          <w:p w14:paraId="63DC845A" w14:textId="77777777" w:rsidR="00EF54E6" w:rsidRPr="009B320F" w:rsidRDefault="00EF54E6" w:rsidP="00343E58">
            <w:pPr>
              <w:jc w:val="center"/>
              <w:rPr>
                <w:rFonts w:ascii="Calibri" w:hAnsi="Calibri" w:cs="Calibri"/>
                <w:b/>
                <w:sz w:val="20"/>
                <w:szCs w:val="20"/>
              </w:rPr>
            </w:pPr>
            <w:r w:rsidRPr="009B320F">
              <w:rPr>
                <w:rFonts w:ascii="Calibri" w:hAnsi="Calibri" w:cs="Calibri"/>
                <w:b/>
                <w:sz w:val="20"/>
                <w:szCs w:val="20"/>
              </w:rPr>
              <w:t>2020</w:t>
            </w:r>
          </w:p>
        </w:tc>
        <w:tc>
          <w:tcPr>
            <w:tcW w:w="1134" w:type="dxa"/>
            <w:shd w:val="clear" w:color="auto" w:fill="E6E6E6"/>
            <w:vAlign w:val="bottom"/>
          </w:tcPr>
          <w:p w14:paraId="1DCE6E6D" w14:textId="77777777" w:rsidR="00EF54E6" w:rsidRPr="009B320F" w:rsidRDefault="00EF54E6" w:rsidP="00343E58">
            <w:pPr>
              <w:jc w:val="center"/>
              <w:rPr>
                <w:rFonts w:ascii="Calibri" w:hAnsi="Calibri" w:cs="Calibri"/>
                <w:b/>
                <w:sz w:val="20"/>
                <w:szCs w:val="20"/>
              </w:rPr>
            </w:pPr>
            <w:r w:rsidRPr="009B320F">
              <w:rPr>
                <w:rFonts w:ascii="Calibri" w:hAnsi="Calibri" w:cs="Calibri"/>
                <w:b/>
                <w:sz w:val="20"/>
                <w:szCs w:val="20"/>
              </w:rPr>
              <w:t>2021</w:t>
            </w:r>
          </w:p>
        </w:tc>
        <w:tc>
          <w:tcPr>
            <w:tcW w:w="1134" w:type="dxa"/>
            <w:shd w:val="clear" w:color="auto" w:fill="E6E6E6"/>
            <w:vAlign w:val="bottom"/>
          </w:tcPr>
          <w:p w14:paraId="136F1D7F" w14:textId="77777777" w:rsidR="00EF54E6" w:rsidRPr="009B320F" w:rsidRDefault="00EF54E6" w:rsidP="00343E58">
            <w:pPr>
              <w:jc w:val="center"/>
              <w:rPr>
                <w:rFonts w:ascii="Calibri" w:hAnsi="Calibri" w:cs="Calibri"/>
                <w:b/>
                <w:sz w:val="20"/>
                <w:szCs w:val="20"/>
              </w:rPr>
            </w:pPr>
            <w:r w:rsidRPr="009B320F">
              <w:rPr>
                <w:rFonts w:ascii="Calibri" w:hAnsi="Calibri" w:cs="Calibri"/>
                <w:b/>
                <w:sz w:val="20"/>
                <w:szCs w:val="20"/>
              </w:rPr>
              <w:t>2022</w:t>
            </w:r>
          </w:p>
        </w:tc>
        <w:tc>
          <w:tcPr>
            <w:tcW w:w="1134" w:type="dxa"/>
            <w:shd w:val="clear" w:color="auto" w:fill="E6E6E6"/>
            <w:vAlign w:val="bottom"/>
          </w:tcPr>
          <w:p w14:paraId="28CB5912" w14:textId="5EF5AC22" w:rsidR="00EF54E6" w:rsidRPr="009B320F" w:rsidRDefault="00EF54E6" w:rsidP="00343E58">
            <w:pPr>
              <w:jc w:val="center"/>
              <w:rPr>
                <w:rFonts w:ascii="Calibri" w:hAnsi="Calibri" w:cs="Calibri"/>
                <w:b/>
                <w:sz w:val="20"/>
                <w:szCs w:val="20"/>
              </w:rPr>
            </w:pPr>
            <w:r w:rsidRPr="009B320F">
              <w:rPr>
                <w:rFonts w:ascii="Calibri" w:hAnsi="Calibri" w:cs="Calibri"/>
                <w:b/>
                <w:sz w:val="20"/>
                <w:szCs w:val="20"/>
              </w:rPr>
              <w:t>2023</w:t>
            </w:r>
          </w:p>
        </w:tc>
      </w:tr>
      <w:tr w:rsidR="00EF54E6" w14:paraId="706B71F8" w14:textId="77777777" w:rsidTr="00FD3EBA">
        <w:tc>
          <w:tcPr>
            <w:tcW w:w="3402" w:type="dxa"/>
          </w:tcPr>
          <w:p w14:paraId="4A4F414B" w14:textId="2D180C8F" w:rsidR="00EF54E6" w:rsidRPr="009B320F" w:rsidRDefault="00EF54E6" w:rsidP="00EF54E6">
            <w:pPr>
              <w:rPr>
                <w:rFonts w:ascii="Calibri" w:hAnsi="Calibri" w:cs="Calibri"/>
                <w:b/>
                <w:sz w:val="20"/>
                <w:szCs w:val="20"/>
              </w:rPr>
            </w:pPr>
            <w:r w:rsidRPr="009B320F">
              <w:rPr>
                <w:rFonts w:ascii="Calibri" w:hAnsi="Calibri" w:cs="Calibri"/>
                <w:b/>
                <w:sz w:val="20"/>
                <w:szCs w:val="20"/>
              </w:rPr>
              <w:t>Aktiva</w:t>
            </w:r>
            <w:r w:rsidR="00C42B86">
              <w:rPr>
                <w:rFonts w:ascii="Calibri" w:hAnsi="Calibri" w:cs="Calibri"/>
                <w:b/>
                <w:sz w:val="20"/>
                <w:szCs w:val="20"/>
              </w:rPr>
              <w:t xml:space="preserve"> celkem</w:t>
            </w:r>
            <w:r w:rsidR="00584C1F">
              <w:rPr>
                <w:rFonts w:ascii="Calibri" w:hAnsi="Calibri" w:cs="Calibri"/>
                <w:b/>
                <w:sz w:val="20"/>
                <w:szCs w:val="20"/>
              </w:rPr>
              <w:t xml:space="preserve"> (netto)</w:t>
            </w:r>
          </w:p>
        </w:tc>
        <w:tc>
          <w:tcPr>
            <w:tcW w:w="1134" w:type="dxa"/>
            <w:vAlign w:val="bottom"/>
          </w:tcPr>
          <w:p w14:paraId="5D88C205" w14:textId="77777777" w:rsidR="00EF54E6" w:rsidRPr="009B320F" w:rsidRDefault="00EF54E6" w:rsidP="00EF54E6">
            <w:pPr>
              <w:jc w:val="right"/>
              <w:rPr>
                <w:rFonts w:ascii="Calibri" w:hAnsi="Calibri" w:cs="Calibri"/>
                <w:b/>
                <w:bCs/>
                <w:sz w:val="20"/>
                <w:szCs w:val="20"/>
              </w:rPr>
            </w:pPr>
            <w:r w:rsidRPr="009B320F">
              <w:rPr>
                <w:rFonts w:ascii="Calibri" w:hAnsi="Calibri" w:cs="Calibri"/>
                <w:b/>
                <w:bCs/>
                <w:sz w:val="20"/>
                <w:szCs w:val="20"/>
              </w:rPr>
              <w:t>190 632</w:t>
            </w:r>
          </w:p>
        </w:tc>
        <w:tc>
          <w:tcPr>
            <w:tcW w:w="1134" w:type="dxa"/>
            <w:vAlign w:val="bottom"/>
          </w:tcPr>
          <w:p w14:paraId="6288299C" w14:textId="77777777" w:rsidR="00EF54E6" w:rsidRPr="009B320F" w:rsidRDefault="00EF54E6" w:rsidP="00EF54E6">
            <w:pPr>
              <w:jc w:val="right"/>
              <w:rPr>
                <w:rFonts w:ascii="Calibri" w:hAnsi="Calibri" w:cs="Calibri"/>
                <w:b/>
                <w:sz w:val="20"/>
                <w:szCs w:val="20"/>
              </w:rPr>
            </w:pPr>
            <w:r w:rsidRPr="009B320F">
              <w:rPr>
                <w:rFonts w:ascii="Calibri" w:hAnsi="Calibri" w:cs="Calibri"/>
                <w:b/>
                <w:sz w:val="20"/>
                <w:szCs w:val="20"/>
              </w:rPr>
              <w:t>189 053</w:t>
            </w:r>
          </w:p>
        </w:tc>
        <w:tc>
          <w:tcPr>
            <w:tcW w:w="1134" w:type="dxa"/>
            <w:vAlign w:val="bottom"/>
          </w:tcPr>
          <w:p w14:paraId="1CB11FD0" w14:textId="77777777" w:rsidR="00EF54E6" w:rsidRPr="009B320F" w:rsidRDefault="00EF54E6" w:rsidP="00EF54E6">
            <w:pPr>
              <w:jc w:val="right"/>
              <w:rPr>
                <w:rFonts w:ascii="Calibri" w:hAnsi="Calibri" w:cs="Calibri"/>
                <w:b/>
                <w:sz w:val="20"/>
                <w:szCs w:val="20"/>
              </w:rPr>
            </w:pPr>
            <w:r w:rsidRPr="009B320F">
              <w:rPr>
                <w:rFonts w:ascii="Calibri" w:hAnsi="Calibri" w:cs="Calibri"/>
                <w:b/>
                <w:sz w:val="20"/>
                <w:szCs w:val="20"/>
              </w:rPr>
              <w:t>184 544</w:t>
            </w:r>
          </w:p>
        </w:tc>
        <w:tc>
          <w:tcPr>
            <w:tcW w:w="1134" w:type="dxa"/>
            <w:vAlign w:val="bottom"/>
          </w:tcPr>
          <w:p w14:paraId="521E35BE" w14:textId="77777777" w:rsidR="00EF54E6" w:rsidRPr="009B320F" w:rsidRDefault="00EF54E6" w:rsidP="00EF54E6">
            <w:pPr>
              <w:jc w:val="right"/>
              <w:rPr>
                <w:rFonts w:ascii="Calibri" w:hAnsi="Calibri" w:cs="Calibri"/>
                <w:b/>
                <w:sz w:val="20"/>
                <w:szCs w:val="20"/>
              </w:rPr>
            </w:pPr>
            <w:r w:rsidRPr="009B320F">
              <w:rPr>
                <w:rFonts w:ascii="Calibri" w:hAnsi="Calibri" w:cs="Calibri"/>
                <w:b/>
                <w:sz w:val="20"/>
                <w:szCs w:val="20"/>
              </w:rPr>
              <w:t>148 286</w:t>
            </w:r>
          </w:p>
        </w:tc>
        <w:tc>
          <w:tcPr>
            <w:tcW w:w="1134" w:type="dxa"/>
            <w:vAlign w:val="bottom"/>
          </w:tcPr>
          <w:p w14:paraId="6C00A94A" w14:textId="77777777" w:rsidR="00EF54E6" w:rsidRPr="009B320F" w:rsidRDefault="00EF54E6" w:rsidP="00EF54E6">
            <w:pPr>
              <w:jc w:val="right"/>
              <w:rPr>
                <w:rFonts w:ascii="Calibri" w:hAnsi="Calibri" w:cs="Calibri"/>
                <w:b/>
                <w:sz w:val="20"/>
                <w:szCs w:val="20"/>
              </w:rPr>
            </w:pPr>
            <w:r w:rsidRPr="009B320F">
              <w:rPr>
                <w:rFonts w:ascii="Calibri" w:hAnsi="Calibri" w:cs="Calibri"/>
                <w:b/>
                <w:sz w:val="20"/>
                <w:szCs w:val="20"/>
              </w:rPr>
              <w:t>162 000</w:t>
            </w:r>
          </w:p>
        </w:tc>
      </w:tr>
      <w:tr w:rsidR="00EF54E6" w14:paraId="022E3781" w14:textId="77777777" w:rsidTr="00FD3EBA">
        <w:tc>
          <w:tcPr>
            <w:tcW w:w="3402" w:type="dxa"/>
          </w:tcPr>
          <w:p w14:paraId="65001B1F" w14:textId="77777777" w:rsidR="00EF54E6" w:rsidRPr="009B320F" w:rsidRDefault="00EF54E6" w:rsidP="00EF54E6">
            <w:pPr>
              <w:rPr>
                <w:rFonts w:ascii="Calibri" w:hAnsi="Calibri" w:cs="Calibri"/>
                <w:sz w:val="20"/>
                <w:szCs w:val="20"/>
              </w:rPr>
            </w:pPr>
            <w:r w:rsidRPr="009B320F">
              <w:rPr>
                <w:rFonts w:ascii="Calibri" w:hAnsi="Calibri" w:cs="Calibri"/>
                <w:sz w:val="20"/>
                <w:szCs w:val="20"/>
              </w:rPr>
              <w:t xml:space="preserve">Dlouhodobý hmotný majetek </w:t>
            </w:r>
          </w:p>
        </w:tc>
        <w:tc>
          <w:tcPr>
            <w:tcW w:w="1134" w:type="dxa"/>
            <w:vAlign w:val="bottom"/>
          </w:tcPr>
          <w:p w14:paraId="501D60FB"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108 747</w:t>
            </w:r>
          </w:p>
        </w:tc>
        <w:tc>
          <w:tcPr>
            <w:tcW w:w="1134" w:type="dxa"/>
            <w:vAlign w:val="bottom"/>
          </w:tcPr>
          <w:p w14:paraId="121E6C88"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115 391</w:t>
            </w:r>
          </w:p>
        </w:tc>
        <w:tc>
          <w:tcPr>
            <w:tcW w:w="1134" w:type="dxa"/>
            <w:vAlign w:val="bottom"/>
          </w:tcPr>
          <w:p w14:paraId="34364DBC"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113 651</w:t>
            </w:r>
          </w:p>
        </w:tc>
        <w:tc>
          <w:tcPr>
            <w:tcW w:w="1134" w:type="dxa"/>
            <w:vAlign w:val="bottom"/>
          </w:tcPr>
          <w:p w14:paraId="22510535"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80 899</w:t>
            </w:r>
          </w:p>
        </w:tc>
        <w:tc>
          <w:tcPr>
            <w:tcW w:w="1134" w:type="dxa"/>
            <w:vAlign w:val="bottom"/>
          </w:tcPr>
          <w:p w14:paraId="194188EA"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76 948</w:t>
            </w:r>
          </w:p>
        </w:tc>
      </w:tr>
      <w:tr w:rsidR="00EF54E6" w14:paraId="6E56A98E" w14:textId="77777777" w:rsidTr="00FD3EBA">
        <w:tc>
          <w:tcPr>
            <w:tcW w:w="3402" w:type="dxa"/>
            <w:tcBorders>
              <w:bottom w:val="single" w:sz="4" w:space="0" w:color="auto"/>
            </w:tcBorders>
          </w:tcPr>
          <w:p w14:paraId="4213EFB5" w14:textId="77777777" w:rsidR="00EF54E6" w:rsidRPr="009B320F" w:rsidRDefault="00EF54E6" w:rsidP="00EF54E6">
            <w:pPr>
              <w:contextualSpacing/>
              <w:rPr>
                <w:rFonts w:ascii="Calibri" w:hAnsi="Calibri" w:cs="Calibri"/>
                <w:sz w:val="20"/>
                <w:szCs w:val="20"/>
              </w:rPr>
            </w:pPr>
            <w:r w:rsidRPr="009B320F">
              <w:rPr>
                <w:rFonts w:ascii="Calibri" w:hAnsi="Calibri" w:cs="Calibri"/>
                <w:sz w:val="20"/>
                <w:szCs w:val="20"/>
              </w:rPr>
              <w:t>Dlouhodobý finanční majetek</w:t>
            </w:r>
          </w:p>
        </w:tc>
        <w:tc>
          <w:tcPr>
            <w:tcW w:w="1134" w:type="dxa"/>
            <w:tcBorders>
              <w:bottom w:val="single" w:sz="4" w:space="0" w:color="auto"/>
            </w:tcBorders>
            <w:vAlign w:val="bottom"/>
          </w:tcPr>
          <w:p w14:paraId="11DFD42B"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107</w:t>
            </w:r>
          </w:p>
        </w:tc>
        <w:tc>
          <w:tcPr>
            <w:tcW w:w="1134" w:type="dxa"/>
            <w:tcBorders>
              <w:bottom w:val="single" w:sz="4" w:space="0" w:color="auto"/>
            </w:tcBorders>
            <w:vAlign w:val="bottom"/>
          </w:tcPr>
          <w:p w14:paraId="52DB1ED5"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107</w:t>
            </w:r>
          </w:p>
        </w:tc>
        <w:tc>
          <w:tcPr>
            <w:tcW w:w="1134" w:type="dxa"/>
            <w:tcBorders>
              <w:bottom w:val="single" w:sz="4" w:space="0" w:color="auto"/>
            </w:tcBorders>
            <w:vAlign w:val="bottom"/>
          </w:tcPr>
          <w:p w14:paraId="3B3AA779"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107</w:t>
            </w:r>
          </w:p>
        </w:tc>
        <w:tc>
          <w:tcPr>
            <w:tcW w:w="1134" w:type="dxa"/>
            <w:tcBorders>
              <w:bottom w:val="single" w:sz="4" w:space="0" w:color="auto"/>
            </w:tcBorders>
            <w:vAlign w:val="bottom"/>
          </w:tcPr>
          <w:p w14:paraId="54379B7B"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107</w:t>
            </w:r>
          </w:p>
        </w:tc>
        <w:tc>
          <w:tcPr>
            <w:tcW w:w="1134" w:type="dxa"/>
            <w:tcBorders>
              <w:bottom w:val="single" w:sz="4" w:space="0" w:color="auto"/>
            </w:tcBorders>
            <w:vAlign w:val="bottom"/>
          </w:tcPr>
          <w:p w14:paraId="7454A54E"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107</w:t>
            </w:r>
          </w:p>
        </w:tc>
      </w:tr>
      <w:tr w:rsidR="00EF54E6" w14:paraId="20020DB7" w14:textId="77777777" w:rsidTr="00FD3EBA">
        <w:tc>
          <w:tcPr>
            <w:tcW w:w="3402" w:type="dxa"/>
          </w:tcPr>
          <w:p w14:paraId="0DB38F1F" w14:textId="77777777" w:rsidR="00EF54E6" w:rsidRPr="009B320F" w:rsidRDefault="00EF54E6" w:rsidP="00EF54E6">
            <w:pPr>
              <w:rPr>
                <w:rFonts w:ascii="Calibri" w:hAnsi="Calibri" w:cs="Calibri"/>
                <w:sz w:val="20"/>
                <w:szCs w:val="20"/>
              </w:rPr>
            </w:pPr>
            <w:r w:rsidRPr="009B320F">
              <w:rPr>
                <w:rFonts w:ascii="Calibri" w:hAnsi="Calibri" w:cs="Calibri"/>
                <w:sz w:val="20"/>
                <w:szCs w:val="20"/>
              </w:rPr>
              <w:t>Peněžní prostředky</w:t>
            </w:r>
          </w:p>
        </w:tc>
        <w:tc>
          <w:tcPr>
            <w:tcW w:w="1134" w:type="dxa"/>
            <w:vAlign w:val="bottom"/>
          </w:tcPr>
          <w:p w14:paraId="3C864658" w14:textId="77777777" w:rsidR="00EF54E6" w:rsidRPr="009B320F" w:rsidRDefault="00EF54E6" w:rsidP="00EF54E6">
            <w:pPr>
              <w:jc w:val="right"/>
              <w:rPr>
                <w:rFonts w:ascii="Calibri" w:hAnsi="Calibri" w:cs="Calibri"/>
                <w:sz w:val="20"/>
                <w:szCs w:val="20"/>
              </w:rPr>
            </w:pPr>
            <w:r w:rsidRPr="009B320F">
              <w:rPr>
                <w:rFonts w:ascii="Calibri" w:hAnsi="Calibri" w:cs="Calibri"/>
                <w:sz w:val="20"/>
                <w:szCs w:val="20"/>
              </w:rPr>
              <w:t>31 239</w:t>
            </w:r>
          </w:p>
        </w:tc>
        <w:tc>
          <w:tcPr>
            <w:tcW w:w="1134" w:type="dxa"/>
            <w:vAlign w:val="bottom"/>
          </w:tcPr>
          <w:p w14:paraId="06456CA6" w14:textId="77777777" w:rsidR="00EF54E6" w:rsidRPr="009B320F" w:rsidRDefault="00EF54E6" w:rsidP="00EF54E6">
            <w:pPr>
              <w:jc w:val="right"/>
              <w:rPr>
                <w:rFonts w:ascii="Calibri" w:hAnsi="Calibri" w:cs="Calibri"/>
                <w:bCs/>
                <w:sz w:val="20"/>
                <w:szCs w:val="20"/>
              </w:rPr>
            </w:pPr>
            <w:r w:rsidRPr="009B320F">
              <w:rPr>
                <w:rFonts w:ascii="Calibri" w:hAnsi="Calibri" w:cs="Calibri"/>
                <w:bCs/>
                <w:sz w:val="20"/>
                <w:szCs w:val="20"/>
              </w:rPr>
              <w:t>29 477</w:t>
            </w:r>
          </w:p>
        </w:tc>
        <w:tc>
          <w:tcPr>
            <w:tcW w:w="1134" w:type="dxa"/>
            <w:vAlign w:val="bottom"/>
          </w:tcPr>
          <w:p w14:paraId="3065C524" w14:textId="77777777" w:rsidR="00EF54E6" w:rsidRPr="009B320F" w:rsidRDefault="00EF54E6" w:rsidP="00EF54E6">
            <w:pPr>
              <w:jc w:val="right"/>
              <w:rPr>
                <w:rFonts w:ascii="Calibri" w:hAnsi="Calibri" w:cs="Calibri"/>
                <w:bCs/>
                <w:sz w:val="20"/>
                <w:szCs w:val="20"/>
              </w:rPr>
            </w:pPr>
            <w:r w:rsidRPr="009B320F">
              <w:rPr>
                <w:rFonts w:ascii="Calibri" w:hAnsi="Calibri" w:cs="Calibri"/>
                <w:bCs/>
                <w:sz w:val="20"/>
                <w:szCs w:val="20"/>
              </w:rPr>
              <w:t>36 661</w:t>
            </w:r>
          </w:p>
        </w:tc>
        <w:tc>
          <w:tcPr>
            <w:tcW w:w="1134" w:type="dxa"/>
            <w:vAlign w:val="bottom"/>
          </w:tcPr>
          <w:p w14:paraId="4B48CFB1" w14:textId="77777777" w:rsidR="00EF54E6" w:rsidRPr="009B320F" w:rsidRDefault="00EF54E6" w:rsidP="00EF54E6">
            <w:pPr>
              <w:jc w:val="right"/>
              <w:rPr>
                <w:rFonts w:ascii="Calibri" w:hAnsi="Calibri" w:cs="Calibri"/>
                <w:bCs/>
                <w:sz w:val="20"/>
                <w:szCs w:val="20"/>
              </w:rPr>
            </w:pPr>
            <w:r w:rsidRPr="009B320F">
              <w:rPr>
                <w:rFonts w:ascii="Calibri" w:hAnsi="Calibri" w:cs="Calibri"/>
                <w:bCs/>
                <w:sz w:val="20"/>
                <w:szCs w:val="20"/>
              </w:rPr>
              <w:t>41 479</w:t>
            </w:r>
          </w:p>
        </w:tc>
        <w:tc>
          <w:tcPr>
            <w:tcW w:w="1134" w:type="dxa"/>
            <w:vAlign w:val="bottom"/>
          </w:tcPr>
          <w:p w14:paraId="43549C6E" w14:textId="77777777" w:rsidR="00EF54E6" w:rsidRPr="009B320F" w:rsidRDefault="00EF54E6" w:rsidP="00EF54E6">
            <w:pPr>
              <w:jc w:val="right"/>
              <w:rPr>
                <w:rFonts w:ascii="Calibri" w:hAnsi="Calibri" w:cs="Calibri"/>
                <w:bCs/>
                <w:sz w:val="20"/>
                <w:szCs w:val="20"/>
              </w:rPr>
            </w:pPr>
            <w:r w:rsidRPr="009B320F">
              <w:rPr>
                <w:rFonts w:ascii="Calibri" w:hAnsi="Calibri" w:cs="Calibri"/>
                <w:bCs/>
                <w:sz w:val="20"/>
                <w:szCs w:val="20"/>
              </w:rPr>
              <w:t>48 376</w:t>
            </w:r>
          </w:p>
        </w:tc>
      </w:tr>
    </w:tbl>
    <w:p w14:paraId="09D4F296" w14:textId="0DDF4C9B" w:rsidR="00EF54E6" w:rsidRPr="00A72E41" w:rsidRDefault="00EF54E6" w:rsidP="00EF54E6">
      <w:pPr>
        <w:spacing w:after="0"/>
        <w:rPr>
          <w:rFonts w:ascii="Calibri" w:eastAsia="Calibri" w:hAnsi="Calibri"/>
          <w:sz w:val="20"/>
        </w:rPr>
      </w:pPr>
      <w:r w:rsidRPr="009316BE">
        <w:rPr>
          <w:rFonts w:ascii="Calibri" w:eastAsia="Calibri" w:hAnsi="Calibri"/>
          <w:b/>
          <w:sz w:val="20"/>
        </w:rPr>
        <w:t>Zdroj:</w:t>
      </w:r>
      <w:r w:rsidRPr="00A72E41">
        <w:rPr>
          <w:rFonts w:ascii="Calibri" w:eastAsia="Calibri" w:hAnsi="Calibri"/>
          <w:sz w:val="20"/>
        </w:rPr>
        <w:t xml:space="preserve"> účetní závěrk</w:t>
      </w:r>
      <w:r w:rsidR="000031AC">
        <w:rPr>
          <w:rFonts w:ascii="Calibri" w:eastAsia="Calibri" w:hAnsi="Calibri"/>
          <w:sz w:val="20"/>
        </w:rPr>
        <w:t>y</w:t>
      </w:r>
      <w:r w:rsidRPr="00A72E41">
        <w:rPr>
          <w:rFonts w:ascii="Calibri" w:eastAsia="Calibri" w:hAnsi="Calibri"/>
          <w:sz w:val="20"/>
        </w:rPr>
        <w:t xml:space="preserve"> EZÚ za jednotlivé roky 2019 až 2023.</w:t>
      </w:r>
    </w:p>
    <w:p w14:paraId="496B1472" w14:textId="4C17F920" w:rsidR="001C147E" w:rsidRDefault="001C147E" w:rsidP="00EF54E6">
      <w:pPr>
        <w:spacing w:after="0"/>
        <w:jc w:val="both"/>
        <w:rPr>
          <w:sz w:val="24"/>
        </w:rPr>
      </w:pPr>
    </w:p>
    <w:p w14:paraId="2BFC3CD8" w14:textId="0E5B2CBC" w:rsidR="001C147E" w:rsidRPr="00EF54E6" w:rsidRDefault="001C147E" w:rsidP="00EF54E6">
      <w:pPr>
        <w:spacing w:after="0"/>
        <w:jc w:val="both"/>
        <w:rPr>
          <w:b/>
          <w:sz w:val="24"/>
        </w:rPr>
      </w:pPr>
      <w:r w:rsidRPr="00EF54E6">
        <w:rPr>
          <w:b/>
          <w:sz w:val="24"/>
        </w:rPr>
        <w:lastRenderedPageBreak/>
        <w:t xml:space="preserve">Technický a zkušební ústav stavební Praha, s.p. </w:t>
      </w:r>
    </w:p>
    <w:p w14:paraId="06B705BC" w14:textId="77777777" w:rsidR="00EF54E6" w:rsidRDefault="00EF54E6" w:rsidP="00EF54E6">
      <w:pPr>
        <w:keepNext/>
        <w:spacing w:after="0" w:line="240" w:lineRule="auto"/>
        <w:contextualSpacing/>
        <w:jc w:val="both"/>
        <w:rPr>
          <w:rFonts w:ascii="Calibri" w:eastAsia="Calibri" w:hAnsi="Calibri" w:cs="Calibri"/>
          <w:sz w:val="24"/>
        </w:rPr>
      </w:pPr>
    </w:p>
    <w:p w14:paraId="3663B9EA" w14:textId="7A1B6D65" w:rsidR="00274B42" w:rsidRPr="005A13BD" w:rsidRDefault="00EF54E6" w:rsidP="005A13BD">
      <w:pPr>
        <w:keepNext/>
        <w:spacing w:after="0" w:line="240" w:lineRule="auto"/>
        <w:contextualSpacing/>
        <w:jc w:val="both"/>
        <w:rPr>
          <w:rFonts w:ascii="Calibri" w:eastAsia="Times New Roman" w:hAnsi="Calibri" w:cs="Times New Roman"/>
          <w:sz w:val="24"/>
          <w:szCs w:val="24"/>
        </w:rPr>
      </w:pPr>
      <w:r w:rsidRPr="00EF54E6">
        <w:rPr>
          <w:rFonts w:ascii="Calibri" w:eastAsia="Calibri" w:hAnsi="Calibri" w:cs="Calibri"/>
          <w:sz w:val="24"/>
        </w:rPr>
        <w:t xml:space="preserve">TZÚS byl založen za účelem provádění nezávislého (aplikovaného) využití nejnovějších poznatků vědy a techniky v procesu posuzování nových a inovativních výrobků. Dále za účelem poskytování odborných služeb v oblasti posuzování shody pro uvádění výrobků na trh, odborného dohledu, zkušebnictví, inspekcí, certifikace, znalectví, vzdělávání a za </w:t>
      </w:r>
      <w:r w:rsidRPr="005A13BD">
        <w:rPr>
          <w:rFonts w:ascii="Calibri" w:eastAsia="Calibri" w:hAnsi="Calibri" w:cs="Calibri"/>
          <w:sz w:val="24"/>
          <w:szCs w:val="24"/>
        </w:rPr>
        <w:t xml:space="preserve">účelem plnění dalších úkolů ukládaných mu zakladatelem v hospodářském nebo společenském zájmu státu. </w:t>
      </w:r>
      <w:r w:rsidRPr="005A13BD">
        <w:rPr>
          <w:rFonts w:ascii="Calibri" w:eastAsia="Times New Roman" w:hAnsi="Calibri" w:cs="Times New Roman"/>
          <w:sz w:val="24"/>
          <w:szCs w:val="24"/>
        </w:rPr>
        <w:t>Předmětem podnikání TZÚS je výkon státního zkušebnictví podle zákona č. 22/1997 Sb.</w:t>
      </w:r>
      <w:r w:rsidR="00274B42" w:rsidRPr="005A13BD">
        <w:rPr>
          <w:rFonts w:ascii="Calibri" w:eastAsia="Times New Roman" w:hAnsi="Calibri" w:cs="Times New Roman"/>
          <w:sz w:val="24"/>
          <w:szCs w:val="24"/>
        </w:rPr>
        <w:t>,</w:t>
      </w:r>
      <w:r w:rsidRPr="005A13BD">
        <w:rPr>
          <w:rFonts w:ascii="Calibri" w:eastAsia="Times New Roman" w:hAnsi="Calibri" w:cs="Times New Roman"/>
          <w:sz w:val="24"/>
          <w:szCs w:val="24"/>
        </w:rPr>
        <w:t xml:space="preserve"> zákona č. 90/2016 Sb.</w:t>
      </w:r>
      <w:r w:rsidR="00274B42" w:rsidRPr="005A13BD">
        <w:rPr>
          <w:rFonts w:ascii="Calibri" w:eastAsia="Times New Roman" w:hAnsi="Calibri" w:cs="Times New Roman"/>
          <w:sz w:val="24"/>
          <w:szCs w:val="24"/>
        </w:rPr>
        <w:t xml:space="preserve"> a nařízení EP a Rady (EU) č. 305/2011, včetně služeb pro technické posuzování, poskytuje služby nezávislé zkušební laboratoře, služby nezávislé třetí strany při posuzování systémů managementu, poskytuje technické služby v</w:t>
      </w:r>
      <w:r w:rsidR="007E6246">
        <w:rPr>
          <w:rFonts w:ascii="Calibri" w:eastAsia="Times New Roman" w:hAnsi="Calibri" w:cs="Times New Roman"/>
          <w:sz w:val="24"/>
          <w:szCs w:val="24"/>
        </w:rPr>
        <w:t xml:space="preserve"> </w:t>
      </w:r>
      <w:r w:rsidR="00274B42" w:rsidRPr="005A13BD">
        <w:rPr>
          <w:rFonts w:ascii="Calibri" w:eastAsia="Times New Roman" w:hAnsi="Calibri" w:cs="Times New Roman"/>
          <w:sz w:val="24"/>
          <w:szCs w:val="24"/>
        </w:rPr>
        <w:t xml:space="preserve">oblasti stavebních </w:t>
      </w:r>
      <w:r w:rsidR="007E6246">
        <w:rPr>
          <w:rFonts w:ascii="Calibri" w:eastAsia="Times New Roman" w:hAnsi="Calibri" w:cs="Times New Roman"/>
          <w:sz w:val="24"/>
          <w:szCs w:val="24"/>
        </w:rPr>
        <w:br/>
      </w:r>
      <w:r w:rsidR="00274B42" w:rsidRPr="005A13BD">
        <w:rPr>
          <w:rFonts w:ascii="Calibri" w:eastAsia="Times New Roman" w:hAnsi="Calibri" w:cs="Times New Roman"/>
          <w:sz w:val="24"/>
          <w:szCs w:val="24"/>
        </w:rPr>
        <w:t xml:space="preserve">materiálů, provádí odborné a znalecké posudky ve stavebnictví. TZÚS působí také v Polsku, je držitelem akreditace vydané Polským národním akreditačním institutem na výrobky „beton a hydraulicky vázané směsi“ a v oblasti dřevěných konstrukcí. </w:t>
      </w:r>
    </w:p>
    <w:p w14:paraId="2AE01DD3" w14:textId="77777777" w:rsidR="00E158BE" w:rsidRDefault="00E158BE" w:rsidP="00274B42">
      <w:pPr>
        <w:pStyle w:val="normlnodstavec"/>
        <w:spacing w:before="0" w:after="0"/>
      </w:pPr>
    </w:p>
    <w:p w14:paraId="72E4FCFE" w14:textId="5EF4925E" w:rsidR="00274B42" w:rsidRPr="00274B42" w:rsidRDefault="00274B42" w:rsidP="00274B42">
      <w:pPr>
        <w:pStyle w:val="normlnodstavec"/>
        <w:spacing w:before="0" w:after="0"/>
        <w:rPr>
          <w:color w:val="auto"/>
        </w:rPr>
      </w:pPr>
      <w:r w:rsidRPr="00E158BE">
        <w:t>TZÚS vlastní akcie dvou společností, QUALIFORM, a.s.</w:t>
      </w:r>
      <w:r w:rsidR="000A30E3">
        <w:t>,</w:t>
      </w:r>
      <w:r w:rsidRPr="00E158BE">
        <w:t xml:space="preserve"> (100 %) a PAVUS, a.s.</w:t>
      </w:r>
      <w:r w:rsidR="000A30E3">
        <w:t>,</w:t>
      </w:r>
      <w:r w:rsidRPr="00E158BE">
        <w:t xml:space="preserve"> (76,4 %), které obě poskytují služby v oblasti zkušebnictví a které spolu s</w:t>
      </w:r>
      <w:r w:rsidR="001749B3">
        <w:t>e státním</w:t>
      </w:r>
      <w:r w:rsidRPr="00E158BE">
        <w:t xml:space="preserve"> podnikem tvoří zájmové sdružení TZÚS Group, jehož prostřednictvím nabízí své odborné služby zákazníkům. </w:t>
      </w:r>
      <w:r w:rsidRPr="00E158BE">
        <w:rPr>
          <w:color w:val="auto"/>
        </w:rPr>
        <w:t>Společnost QUALIFORM, a.s.</w:t>
      </w:r>
      <w:r w:rsidR="000A30E3">
        <w:rPr>
          <w:color w:val="auto"/>
        </w:rPr>
        <w:t>,</w:t>
      </w:r>
      <w:r w:rsidRPr="00E158BE">
        <w:rPr>
          <w:color w:val="auto"/>
        </w:rPr>
        <w:t xml:space="preserve"> působí v oblasti zkušebnictví a</w:t>
      </w:r>
      <w:r w:rsidR="000A30E3">
        <w:rPr>
          <w:color w:val="auto"/>
        </w:rPr>
        <w:t xml:space="preserve"> </w:t>
      </w:r>
      <w:r w:rsidRPr="00E158BE">
        <w:rPr>
          <w:color w:val="auto"/>
        </w:rPr>
        <w:t>certifikací pro stavebnictví, poskytuje nezávislé kontroly kvality staveb (zejména dálnic, silnic, železnic, vodních staveb) a</w:t>
      </w:r>
      <w:r w:rsidR="00DD2A42">
        <w:rPr>
          <w:color w:val="auto"/>
        </w:rPr>
        <w:t> </w:t>
      </w:r>
      <w:r w:rsidRPr="00E158BE">
        <w:rPr>
          <w:color w:val="auto"/>
        </w:rPr>
        <w:t>technickou podporu stavebním projektům. Společnost PAVUS, a.s.</w:t>
      </w:r>
      <w:r w:rsidR="000A30E3">
        <w:rPr>
          <w:color w:val="auto"/>
        </w:rPr>
        <w:t>,</w:t>
      </w:r>
      <w:r w:rsidRPr="00E158BE">
        <w:rPr>
          <w:color w:val="auto"/>
        </w:rPr>
        <w:t xml:space="preserve"> působí v oblasti požárního zkušebnictví a certifikace pro stavebnictví a </w:t>
      </w:r>
      <w:r w:rsidR="000A30E3">
        <w:rPr>
          <w:color w:val="auto"/>
        </w:rPr>
        <w:t xml:space="preserve">dále </w:t>
      </w:r>
      <w:r w:rsidRPr="00E158BE">
        <w:rPr>
          <w:color w:val="auto"/>
        </w:rPr>
        <w:t xml:space="preserve">jako </w:t>
      </w:r>
      <w:r w:rsidR="000A30E3">
        <w:rPr>
          <w:color w:val="auto"/>
        </w:rPr>
        <w:t>c</w:t>
      </w:r>
      <w:r w:rsidRPr="00E158BE">
        <w:rPr>
          <w:color w:val="auto"/>
        </w:rPr>
        <w:t xml:space="preserve">entrum technické normalizace pro požární ochranu. </w:t>
      </w:r>
      <w:r w:rsidR="00FD3EBA" w:rsidRPr="00E158BE">
        <w:rPr>
          <w:rFonts w:ascii="Calibri" w:eastAsia="Times New Roman" w:hAnsi="Calibri" w:cs="Calibri"/>
          <w:color w:val="auto"/>
          <w:lang w:eastAsia="en-US" w:bidi="ar-SA"/>
        </w:rPr>
        <w:t>Vztahy mezi TZÚS a společnostmi QUALIFORM, a.s.</w:t>
      </w:r>
      <w:r w:rsidR="000A30E3">
        <w:rPr>
          <w:rFonts w:ascii="Calibri" w:eastAsia="Times New Roman" w:hAnsi="Calibri" w:cs="Calibri"/>
          <w:color w:val="auto"/>
          <w:lang w:eastAsia="en-US" w:bidi="ar-SA"/>
        </w:rPr>
        <w:t>,</w:t>
      </w:r>
      <w:r w:rsidR="00FD3EBA" w:rsidRPr="00E158BE">
        <w:rPr>
          <w:rFonts w:ascii="Calibri" w:eastAsia="Times New Roman" w:hAnsi="Calibri" w:cs="Calibri"/>
          <w:color w:val="auto"/>
          <w:lang w:eastAsia="en-US" w:bidi="ar-SA"/>
        </w:rPr>
        <w:t xml:space="preserve"> a</w:t>
      </w:r>
      <w:r w:rsidR="009040F6">
        <w:rPr>
          <w:rFonts w:ascii="Calibri" w:eastAsia="Times New Roman" w:hAnsi="Calibri" w:cs="Calibri"/>
          <w:color w:val="auto"/>
          <w:lang w:eastAsia="en-US" w:bidi="ar-SA"/>
        </w:rPr>
        <w:t> </w:t>
      </w:r>
      <w:r w:rsidR="00FD3EBA" w:rsidRPr="00E158BE">
        <w:rPr>
          <w:rFonts w:ascii="Calibri" w:eastAsia="Times New Roman" w:hAnsi="Calibri" w:cs="Calibri"/>
          <w:color w:val="auto"/>
          <w:lang w:eastAsia="en-US" w:bidi="ar-SA"/>
        </w:rPr>
        <w:t>PAVUS, a.s.</w:t>
      </w:r>
      <w:r w:rsidR="000A30E3">
        <w:rPr>
          <w:rFonts w:ascii="Calibri" w:eastAsia="Times New Roman" w:hAnsi="Calibri" w:cs="Calibri"/>
          <w:color w:val="auto"/>
          <w:lang w:eastAsia="en-US" w:bidi="ar-SA"/>
        </w:rPr>
        <w:t>,</w:t>
      </w:r>
      <w:r w:rsidR="00FD3EBA" w:rsidRPr="00E158BE">
        <w:rPr>
          <w:rFonts w:ascii="Calibri" w:eastAsia="Times New Roman" w:hAnsi="Calibri" w:cs="Calibri"/>
          <w:color w:val="auto"/>
          <w:lang w:eastAsia="en-US" w:bidi="ar-SA"/>
        </w:rPr>
        <w:t xml:space="preserve"> se řídí výhradně zákonem č. 90/2012 Sb.</w:t>
      </w:r>
      <w:r w:rsidR="001749B3">
        <w:rPr>
          <w:rStyle w:val="Znakapoznpodarou"/>
          <w:rFonts w:ascii="Calibri" w:eastAsia="Times New Roman" w:hAnsi="Calibri" w:cs="Calibri"/>
          <w:color w:val="auto"/>
          <w:lang w:eastAsia="en-US" w:bidi="ar-SA"/>
        </w:rPr>
        <w:footnoteReference w:id="7"/>
      </w:r>
    </w:p>
    <w:p w14:paraId="55CA9834" w14:textId="77777777" w:rsidR="00EF54E6" w:rsidRDefault="00EF54E6" w:rsidP="009F33BB">
      <w:pPr>
        <w:spacing w:after="0"/>
        <w:jc w:val="both"/>
        <w:rPr>
          <w:sz w:val="24"/>
        </w:rPr>
      </w:pPr>
    </w:p>
    <w:p w14:paraId="583DED83" w14:textId="489666D1" w:rsidR="00C01F6C" w:rsidRPr="00C01F6C" w:rsidRDefault="00073C9B" w:rsidP="00863860">
      <w:pPr>
        <w:spacing w:after="0"/>
        <w:jc w:val="both"/>
        <w:rPr>
          <w:rFonts w:cstheme="minorHAnsi"/>
          <w:sz w:val="24"/>
          <w:szCs w:val="24"/>
        </w:rPr>
      </w:pPr>
      <w:r>
        <w:rPr>
          <w:sz w:val="24"/>
        </w:rPr>
        <w:t xml:space="preserve">V kontrolovaném období </w:t>
      </w:r>
      <w:r w:rsidR="00E62184" w:rsidRPr="00784DF5">
        <w:rPr>
          <w:b/>
          <w:sz w:val="24"/>
        </w:rPr>
        <w:t>TZÚS</w:t>
      </w:r>
      <w:r w:rsidR="00E62184">
        <w:rPr>
          <w:sz w:val="24"/>
        </w:rPr>
        <w:t xml:space="preserve"> </w:t>
      </w:r>
      <w:r>
        <w:rPr>
          <w:sz w:val="24"/>
        </w:rPr>
        <w:t>hospodařil s majetkem státu ve výši 413 mil. Kč až 477 mil. Kč. V době ukončení kontroly provozoval TZÚS svo</w:t>
      </w:r>
      <w:r w:rsidR="000A30E3">
        <w:rPr>
          <w:sz w:val="24"/>
        </w:rPr>
        <w:t>u</w:t>
      </w:r>
      <w:r>
        <w:rPr>
          <w:sz w:val="24"/>
        </w:rPr>
        <w:t xml:space="preserve"> činnost v deseti organizačních jednotkách (devět poboček TZÚS a jeden odštěpný závod), rozmístěn</w:t>
      </w:r>
      <w:r w:rsidR="00C01F6C">
        <w:rPr>
          <w:sz w:val="24"/>
        </w:rPr>
        <w:t>ých v osmi areálech TZÚS po České republice</w:t>
      </w:r>
      <w:r w:rsidR="005849CA">
        <w:rPr>
          <w:sz w:val="24"/>
        </w:rPr>
        <w:t xml:space="preserve">. </w:t>
      </w:r>
      <w:r w:rsidR="00C01F6C" w:rsidRPr="00C01F6C">
        <w:rPr>
          <w:rFonts w:ascii="Calibri" w:eastAsia="Calibri" w:hAnsi="Calibri" w:cs="Times New Roman"/>
          <w:sz w:val="24"/>
          <w:szCs w:val="24"/>
        </w:rPr>
        <w:t>Všechny organizační jednotky sídlí v</w:t>
      </w:r>
      <w:r w:rsidR="00A77F61">
        <w:rPr>
          <w:rFonts w:ascii="Calibri" w:eastAsia="Calibri" w:hAnsi="Calibri" w:cs="Times New Roman"/>
          <w:sz w:val="24"/>
          <w:szCs w:val="24"/>
        </w:rPr>
        <w:t xml:space="preserve"> </w:t>
      </w:r>
      <w:r w:rsidR="00C01F6C" w:rsidRPr="00C01F6C">
        <w:rPr>
          <w:rFonts w:ascii="Calibri" w:eastAsia="Calibri" w:hAnsi="Calibri" w:cs="Times New Roman"/>
          <w:sz w:val="24"/>
          <w:szCs w:val="24"/>
        </w:rPr>
        <w:t>nemovitostech, se kterými má právo hospodařit TZÚS. Jedná se převážně o kancelářské budovy nebo budovy sloužící k provádění zkušebnictví, tzn.</w:t>
      </w:r>
      <w:r w:rsidR="00A77F61">
        <w:rPr>
          <w:rFonts w:ascii="Calibri" w:eastAsia="Calibri" w:hAnsi="Calibri" w:cs="Times New Roman"/>
          <w:sz w:val="24"/>
          <w:szCs w:val="24"/>
        </w:rPr>
        <w:t xml:space="preserve"> </w:t>
      </w:r>
      <w:r w:rsidR="00C01F6C" w:rsidRPr="00C01F6C">
        <w:rPr>
          <w:rFonts w:ascii="Calibri" w:eastAsia="Calibri" w:hAnsi="Calibri" w:cs="Times New Roman"/>
          <w:sz w:val="24"/>
          <w:szCs w:val="24"/>
        </w:rPr>
        <w:t xml:space="preserve">průmyslové haly. </w:t>
      </w:r>
      <w:r w:rsidR="00C01F6C" w:rsidRPr="00C01F6C">
        <w:rPr>
          <w:rFonts w:cstheme="minorHAnsi"/>
          <w:sz w:val="24"/>
          <w:szCs w:val="24"/>
        </w:rPr>
        <w:t>Významnou částí majetku TZÚS je dlouhodobý finanční majetek</w:t>
      </w:r>
      <w:r w:rsidR="00C01F6C">
        <w:rPr>
          <w:rFonts w:cstheme="minorHAnsi"/>
          <w:sz w:val="24"/>
          <w:szCs w:val="24"/>
        </w:rPr>
        <w:t xml:space="preserve">, </w:t>
      </w:r>
      <w:r w:rsidR="00FD3EBA">
        <w:rPr>
          <w:rFonts w:cstheme="minorHAnsi"/>
          <w:sz w:val="24"/>
          <w:szCs w:val="24"/>
        </w:rPr>
        <w:t>jehož hodnota vzrostla</w:t>
      </w:r>
      <w:r w:rsidR="00C01F6C">
        <w:rPr>
          <w:rFonts w:cstheme="minorHAnsi"/>
          <w:sz w:val="24"/>
          <w:szCs w:val="24"/>
        </w:rPr>
        <w:t xml:space="preserve"> v kontrolovaném období na 89,1 mil. Kč. </w:t>
      </w:r>
    </w:p>
    <w:p w14:paraId="5ACDA6A3" w14:textId="77777777" w:rsidR="00931CEF" w:rsidRDefault="00931CEF" w:rsidP="00E3144A">
      <w:pPr>
        <w:keepNext/>
        <w:spacing w:after="0"/>
        <w:rPr>
          <w:rFonts w:cstheme="minorHAnsi"/>
          <w:b/>
          <w:sz w:val="20"/>
        </w:rPr>
      </w:pPr>
    </w:p>
    <w:p w14:paraId="1E7E9235" w14:textId="4CF33E43" w:rsidR="00073C9B" w:rsidRPr="00343E58" w:rsidRDefault="00073C9B" w:rsidP="000B28F1">
      <w:pPr>
        <w:keepNext/>
        <w:tabs>
          <w:tab w:val="right" w:pos="9072"/>
        </w:tabs>
        <w:spacing w:after="0"/>
        <w:jc w:val="both"/>
        <w:rPr>
          <w:rFonts w:cstheme="minorHAnsi"/>
          <w:b/>
          <w:sz w:val="24"/>
        </w:rPr>
      </w:pPr>
      <w:r w:rsidRPr="00343E58">
        <w:rPr>
          <w:rFonts w:cstheme="minorHAnsi"/>
          <w:b/>
          <w:sz w:val="24"/>
        </w:rPr>
        <w:t>Tab</w:t>
      </w:r>
      <w:r w:rsidR="00182081">
        <w:rPr>
          <w:rFonts w:cstheme="minorHAnsi"/>
          <w:b/>
          <w:sz w:val="24"/>
        </w:rPr>
        <w:t>ulka</w:t>
      </w:r>
      <w:r w:rsidRPr="00343E58">
        <w:rPr>
          <w:rFonts w:cstheme="minorHAnsi"/>
          <w:b/>
          <w:sz w:val="24"/>
        </w:rPr>
        <w:t xml:space="preserve"> č. </w:t>
      </w:r>
      <w:r w:rsidR="000B17BF" w:rsidRPr="00343E58">
        <w:rPr>
          <w:rFonts w:cstheme="minorHAnsi"/>
          <w:b/>
          <w:sz w:val="24"/>
        </w:rPr>
        <w:t>2</w:t>
      </w:r>
      <w:r w:rsidRPr="00343E58">
        <w:rPr>
          <w:rFonts w:cstheme="minorHAnsi"/>
          <w:b/>
          <w:sz w:val="24"/>
        </w:rPr>
        <w:t xml:space="preserve">: Vybrané údaje z rozvahy </w:t>
      </w:r>
      <w:r w:rsidRPr="00343E58">
        <w:rPr>
          <w:b/>
          <w:sz w:val="24"/>
          <w:szCs w:val="20"/>
        </w:rPr>
        <w:t xml:space="preserve">TZÚS </w:t>
      </w:r>
      <w:r w:rsidRPr="00343E58">
        <w:rPr>
          <w:rFonts w:cstheme="minorHAnsi"/>
          <w:b/>
          <w:sz w:val="24"/>
        </w:rPr>
        <w:t xml:space="preserve">k 31. prosinci příslušného roku </w:t>
      </w:r>
      <w:r w:rsidR="00343E58">
        <w:rPr>
          <w:rFonts w:cstheme="minorHAnsi"/>
          <w:b/>
          <w:sz w:val="24"/>
        </w:rPr>
        <w:tab/>
      </w:r>
      <w:r w:rsidRPr="00343E58">
        <w:rPr>
          <w:rFonts w:cstheme="minorHAnsi"/>
          <w:b/>
          <w:sz w:val="24"/>
        </w:rPr>
        <w:t>(v tis. Kč)</w:t>
      </w:r>
    </w:p>
    <w:tbl>
      <w:tblPr>
        <w:tblStyle w:val="Mkatabulky"/>
        <w:tblW w:w="9072" w:type="dxa"/>
        <w:tblInd w:w="-5" w:type="dxa"/>
        <w:tblLook w:val="04A0" w:firstRow="1" w:lastRow="0" w:firstColumn="1" w:lastColumn="0" w:noHBand="0" w:noVBand="1"/>
      </w:tblPr>
      <w:tblGrid>
        <w:gridCol w:w="3402"/>
        <w:gridCol w:w="1134"/>
        <w:gridCol w:w="1134"/>
        <w:gridCol w:w="1134"/>
        <w:gridCol w:w="1134"/>
        <w:gridCol w:w="1134"/>
      </w:tblGrid>
      <w:tr w:rsidR="00073C9B" w14:paraId="11A1C5B8" w14:textId="77777777" w:rsidTr="00343E58">
        <w:tc>
          <w:tcPr>
            <w:tcW w:w="3402" w:type="dxa"/>
            <w:shd w:val="clear" w:color="auto" w:fill="E6E6E6"/>
          </w:tcPr>
          <w:p w14:paraId="78BBD0AB" w14:textId="77777777" w:rsidR="00073C9B" w:rsidRPr="009B320F" w:rsidRDefault="00073C9B" w:rsidP="00343E58">
            <w:pPr>
              <w:jc w:val="center"/>
              <w:rPr>
                <w:rFonts w:ascii="Calibri" w:hAnsi="Calibri" w:cs="Calibri"/>
                <w:b/>
                <w:sz w:val="20"/>
                <w:szCs w:val="20"/>
              </w:rPr>
            </w:pPr>
          </w:p>
        </w:tc>
        <w:tc>
          <w:tcPr>
            <w:tcW w:w="1134" w:type="dxa"/>
            <w:shd w:val="clear" w:color="auto" w:fill="E6E6E6"/>
            <w:vAlign w:val="bottom"/>
          </w:tcPr>
          <w:p w14:paraId="58413305" w14:textId="77777777" w:rsidR="00073C9B" w:rsidRPr="009B320F" w:rsidRDefault="00073C9B" w:rsidP="00343E58">
            <w:pPr>
              <w:jc w:val="center"/>
              <w:rPr>
                <w:rFonts w:ascii="Calibri" w:hAnsi="Calibri" w:cs="Calibri"/>
                <w:b/>
                <w:sz w:val="20"/>
                <w:szCs w:val="20"/>
              </w:rPr>
            </w:pPr>
            <w:r w:rsidRPr="009B320F">
              <w:rPr>
                <w:rFonts w:ascii="Calibri" w:hAnsi="Calibri" w:cs="Calibri"/>
                <w:b/>
                <w:sz w:val="20"/>
                <w:szCs w:val="20"/>
              </w:rPr>
              <w:t>2019</w:t>
            </w:r>
          </w:p>
        </w:tc>
        <w:tc>
          <w:tcPr>
            <w:tcW w:w="1134" w:type="dxa"/>
            <w:shd w:val="clear" w:color="auto" w:fill="E6E6E6"/>
            <w:vAlign w:val="bottom"/>
          </w:tcPr>
          <w:p w14:paraId="584F2D3E" w14:textId="77777777" w:rsidR="00073C9B" w:rsidRPr="009B320F" w:rsidRDefault="00073C9B" w:rsidP="00343E58">
            <w:pPr>
              <w:jc w:val="center"/>
              <w:rPr>
                <w:rFonts w:ascii="Calibri" w:hAnsi="Calibri" w:cs="Calibri"/>
                <w:b/>
                <w:sz w:val="20"/>
                <w:szCs w:val="20"/>
              </w:rPr>
            </w:pPr>
            <w:r w:rsidRPr="009B320F">
              <w:rPr>
                <w:rFonts w:ascii="Calibri" w:hAnsi="Calibri" w:cs="Calibri"/>
                <w:b/>
                <w:sz w:val="20"/>
                <w:szCs w:val="20"/>
              </w:rPr>
              <w:t>2020</w:t>
            </w:r>
          </w:p>
        </w:tc>
        <w:tc>
          <w:tcPr>
            <w:tcW w:w="1134" w:type="dxa"/>
            <w:shd w:val="clear" w:color="auto" w:fill="E6E6E6"/>
            <w:vAlign w:val="bottom"/>
          </w:tcPr>
          <w:p w14:paraId="708788F9" w14:textId="77777777" w:rsidR="00073C9B" w:rsidRPr="009B320F" w:rsidRDefault="00073C9B" w:rsidP="00343E58">
            <w:pPr>
              <w:jc w:val="center"/>
              <w:rPr>
                <w:rFonts w:ascii="Calibri" w:hAnsi="Calibri" w:cs="Calibri"/>
                <w:b/>
                <w:sz w:val="20"/>
                <w:szCs w:val="20"/>
              </w:rPr>
            </w:pPr>
            <w:r w:rsidRPr="009B320F">
              <w:rPr>
                <w:rFonts w:ascii="Calibri" w:hAnsi="Calibri" w:cs="Calibri"/>
                <w:b/>
                <w:sz w:val="20"/>
                <w:szCs w:val="20"/>
              </w:rPr>
              <w:t>2021</w:t>
            </w:r>
          </w:p>
        </w:tc>
        <w:tc>
          <w:tcPr>
            <w:tcW w:w="1134" w:type="dxa"/>
            <w:shd w:val="clear" w:color="auto" w:fill="E6E6E6"/>
            <w:vAlign w:val="bottom"/>
          </w:tcPr>
          <w:p w14:paraId="1A9EB66A" w14:textId="77777777" w:rsidR="00073C9B" w:rsidRPr="009B320F" w:rsidRDefault="00073C9B" w:rsidP="00343E58">
            <w:pPr>
              <w:jc w:val="center"/>
              <w:rPr>
                <w:rFonts w:ascii="Calibri" w:hAnsi="Calibri" w:cs="Calibri"/>
                <w:b/>
                <w:sz w:val="20"/>
                <w:szCs w:val="20"/>
              </w:rPr>
            </w:pPr>
            <w:r w:rsidRPr="009B320F">
              <w:rPr>
                <w:rFonts w:ascii="Calibri" w:hAnsi="Calibri" w:cs="Calibri"/>
                <w:b/>
                <w:sz w:val="20"/>
                <w:szCs w:val="20"/>
              </w:rPr>
              <w:t>2022</w:t>
            </w:r>
          </w:p>
        </w:tc>
        <w:tc>
          <w:tcPr>
            <w:tcW w:w="1134" w:type="dxa"/>
            <w:shd w:val="clear" w:color="auto" w:fill="E6E6E6"/>
            <w:vAlign w:val="bottom"/>
          </w:tcPr>
          <w:p w14:paraId="55C8C105" w14:textId="512DA3E7" w:rsidR="00073C9B" w:rsidRPr="009B320F" w:rsidRDefault="00073C9B" w:rsidP="00343E58">
            <w:pPr>
              <w:jc w:val="center"/>
              <w:rPr>
                <w:rFonts w:ascii="Calibri" w:hAnsi="Calibri" w:cs="Calibri"/>
                <w:b/>
                <w:sz w:val="20"/>
                <w:szCs w:val="20"/>
              </w:rPr>
            </w:pPr>
            <w:r w:rsidRPr="009B320F">
              <w:rPr>
                <w:rFonts w:ascii="Calibri" w:hAnsi="Calibri" w:cs="Calibri"/>
                <w:b/>
                <w:sz w:val="20"/>
                <w:szCs w:val="20"/>
              </w:rPr>
              <w:t>2023</w:t>
            </w:r>
          </w:p>
        </w:tc>
      </w:tr>
      <w:tr w:rsidR="00073C9B" w14:paraId="5EE0C6BB" w14:textId="77777777" w:rsidTr="00FD3EBA">
        <w:tc>
          <w:tcPr>
            <w:tcW w:w="3402" w:type="dxa"/>
          </w:tcPr>
          <w:p w14:paraId="062AE2B6" w14:textId="4926291F" w:rsidR="00073C9B" w:rsidRPr="009B320F" w:rsidRDefault="00073C9B" w:rsidP="009D2144">
            <w:pPr>
              <w:rPr>
                <w:rFonts w:ascii="Calibri" w:hAnsi="Calibri" w:cs="Calibri"/>
                <w:b/>
                <w:sz w:val="20"/>
                <w:szCs w:val="20"/>
              </w:rPr>
            </w:pPr>
            <w:r w:rsidRPr="009B320F">
              <w:rPr>
                <w:rFonts w:ascii="Calibri" w:hAnsi="Calibri" w:cs="Calibri"/>
                <w:b/>
                <w:sz w:val="20"/>
                <w:szCs w:val="20"/>
              </w:rPr>
              <w:t>Aktiva</w:t>
            </w:r>
            <w:r w:rsidR="00C42B86">
              <w:rPr>
                <w:rFonts w:ascii="Calibri" w:hAnsi="Calibri" w:cs="Calibri"/>
                <w:b/>
                <w:sz w:val="20"/>
                <w:szCs w:val="20"/>
              </w:rPr>
              <w:t xml:space="preserve"> celkem</w:t>
            </w:r>
            <w:r w:rsidR="00584C1F">
              <w:rPr>
                <w:rFonts w:ascii="Calibri" w:hAnsi="Calibri" w:cs="Calibri"/>
                <w:b/>
                <w:sz w:val="20"/>
                <w:szCs w:val="20"/>
              </w:rPr>
              <w:t xml:space="preserve"> (netto)</w:t>
            </w:r>
          </w:p>
        </w:tc>
        <w:tc>
          <w:tcPr>
            <w:tcW w:w="1134" w:type="dxa"/>
          </w:tcPr>
          <w:p w14:paraId="364822CE" w14:textId="77777777" w:rsidR="00073C9B" w:rsidRPr="00863860" w:rsidRDefault="00073C9B" w:rsidP="009D2144">
            <w:pPr>
              <w:jc w:val="right"/>
              <w:rPr>
                <w:b/>
                <w:sz w:val="20"/>
                <w:szCs w:val="20"/>
              </w:rPr>
            </w:pPr>
            <w:r w:rsidRPr="00863860">
              <w:rPr>
                <w:b/>
                <w:sz w:val="20"/>
                <w:szCs w:val="20"/>
              </w:rPr>
              <w:t>413 116</w:t>
            </w:r>
          </w:p>
        </w:tc>
        <w:tc>
          <w:tcPr>
            <w:tcW w:w="1134" w:type="dxa"/>
          </w:tcPr>
          <w:p w14:paraId="086C05A4" w14:textId="77777777" w:rsidR="00073C9B" w:rsidRPr="00863860" w:rsidRDefault="00073C9B" w:rsidP="009D2144">
            <w:pPr>
              <w:jc w:val="right"/>
              <w:rPr>
                <w:b/>
                <w:sz w:val="20"/>
                <w:szCs w:val="20"/>
              </w:rPr>
            </w:pPr>
            <w:r w:rsidRPr="00863860">
              <w:rPr>
                <w:b/>
                <w:sz w:val="20"/>
                <w:szCs w:val="20"/>
              </w:rPr>
              <w:t>429 703</w:t>
            </w:r>
          </w:p>
        </w:tc>
        <w:tc>
          <w:tcPr>
            <w:tcW w:w="1134" w:type="dxa"/>
          </w:tcPr>
          <w:p w14:paraId="33211F06" w14:textId="77777777" w:rsidR="00073C9B" w:rsidRPr="00863860" w:rsidRDefault="00073C9B" w:rsidP="009D2144">
            <w:pPr>
              <w:jc w:val="right"/>
              <w:rPr>
                <w:b/>
                <w:sz w:val="20"/>
                <w:szCs w:val="20"/>
              </w:rPr>
            </w:pPr>
            <w:r w:rsidRPr="00863860">
              <w:rPr>
                <w:b/>
                <w:sz w:val="20"/>
                <w:szCs w:val="20"/>
              </w:rPr>
              <w:t>446 143</w:t>
            </w:r>
          </w:p>
        </w:tc>
        <w:tc>
          <w:tcPr>
            <w:tcW w:w="1134" w:type="dxa"/>
          </w:tcPr>
          <w:p w14:paraId="18AFF6BC" w14:textId="77777777" w:rsidR="00073C9B" w:rsidRPr="00863860" w:rsidRDefault="00073C9B" w:rsidP="009D2144">
            <w:pPr>
              <w:jc w:val="right"/>
              <w:rPr>
                <w:b/>
                <w:sz w:val="20"/>
                <w:szCs w:val="20"/>
              </w:rPr>
            </w:pPr>
            <w:r w:rsidRPr="00863860">
              <w:rPr>
                <w:b/>
                <w:sz w:val="20"/>
                <w:szCs w:val="20"/>
              </w:rPr>
              <w:t>454 457</w:t>
            </w:r>
          </w:p>
        </w:tc>
        <w:tc>
          <w:tcPr>
            <w:tcW w:w="1134" w:type="dxa"/>
            <w:vAlign w:val="center"/>
          </w:tcPr>
          <w:p w14:paraId="31993DB3" w14:textId="77777777" w:rsidR="00073C9B" w:rsidRPr="00863860" w:rsidRDefault="00073C9B" w:rsidP="009D2144">
            <w:pPr>
              <w:jc w:val="right"/>
              <w:rPr>
                <w:b/>
                <w:sz w:val="20"/>
                <w:szCs w:val="20"/>
              </w:rPr>
            </w:pPr>
            <w:r w:rsidRPr="00863860">
              <w:rPr>
                <w:b/>
                <w:sz w:val="20"/>
                <w:szCs w:val="20"/>
              </w:rPr>
              <w:t>477 347</w:t>
            </w:r>
          </w:p>
        </w:tc>
      </w:tr>
      <w:tr w:rsidR="00073C9B" w:rsidRPr="00877DA8" w14:paraId="2A30734D" w14:textId="77777777" w:rsidTr="00FD3EBA">
        <w:tc>
          <w:tcPr>
            <w:tcW w:w="3402" w:type="dxa"/>
          </w:tcPr>
          <w:p w14:paraId="7034D171" w14:textId="77777777" w:rsidR="00073C9B" w:rsidRPr="00877DA8" w:rsidRDefault="00073C9B" w:rsidP="009D2144">
            <w:pPr>
              <w:rPr>
                <w:rFonts w:ascii="Calibri" w:hAnsi="Calibri" w:cs="Calibri"/>
                <w:sz w:val="20"/>
                <w:szCs w:val="20"/>
              </w:rPr>
            </w:pPr>
            <w:r w:rsidRPr="00877DA8">
              <w:rPr>
                <w:rFonts w:ascii="Calibri" w:hAnsi="Calibri" w:cs="Calibri"/>
                <w:sz w:val="20"/>
                <w:szCs w:val="20"/>
              </w:rPr>
              <w:t xml:space="preserve">Dlouhodobý hmotný majetek </w:t>
            </w:r>
          </w:p>
        </w:tc>
        <w:tc>
          <w:tcPr>
            <w:tcW w:w="1134" w:type="dxa"/>
          </w:tcPr>
          <w:p w14:paraId="3553D044" w14:textId="77777777" w:rsidR="00073C9B" w:rsidRPr="00877DA8" w:rsidRDefault="00073C9B" w:rsidP="009D2144">
            <w:pPr>
              <w:jc w:val="right"/>
              <w:rPr>
                <w:sz w:val="20"/>
                <w:szCs w:val="20"/>
              </w:rPr>
            </w:pPr>
            <w:r w:rsidRPr="00877DA8">
              <w:rPr>
                <w:sz w:val="20"/>
                <w:szCs w:val="20"/>
              </w:rPr>
              <w:t>273 685</w:t>
            </w:r>
          </w:p>
        </w:tc>
        <w:tc>
          <w:tcPr>
            <w:tcW w:w="1134" w:type="dxa"/>
          </w:tcPr>
          <w:p w14:paraId="6B69900D" w14:textId="77777777" w:rsidR="00073C9B" w:rsidRPr="00877DA8" w:rsidRDefault="00073C9B" w:rsidP="009D2144">
            <w:pPr>
              <w:jc w:val="right"/>
              <w:rPr>
                <w:sz w:val="20"/>
                <w:szCs w:val="20"/>
              </w:rPr>
            </w:pPr>
            <w:r w:rsidRPr="00877DA8">
              <w:rPr>
                <w:sz w:val="20"/>
                <w:szCs w:val="20"/>
              </w:rPr>
              <w:t>262 792</w:t>
            </w:r>
          </w:p>
        </w:tc>
        <w:tc>
          <w:tcPr>
            <w:tcW w:w="1134" w:type="dxa"/>
          </w:tcPr>
          <w:p w14:paraId="4BC82A46" w14:textId="77777777" w:rsidR="00073C9B" w:rsidRPr="00877DA8" w:rsidRDefault="00073C9B" w:rsidP="009D2144">
            <w:pPr>
              <w:jc w:val="right"/>
              <w:rPr>
                <w:sz w:val="20"/>
                <w:szCs w:val="20"/>
              </w:rPr>
            </w:pPr>
            <w:r w:rsidRPr="00877DA8">
              <w:rPr>
                <w:sz w:val="20"/>
                <w:szCs w:val="20"/>
              </w:rPr>
              <w:t>274 704</w:t>
            </w:r>
          </w:p>
        </w:tc>
        <w:tc>
          <w:tcPr>
            <w:tcW w:w="1134" w:type="dxa"/>
          </w:tcPr>
          <w:p w14:paraId="590A9A77" w14:textId="77777777" w:rsidR="00073C9B" w:rsidRPr="00877DA8" w:rsidRDefault="00073C9B" w:rsidP="009D2144">
            <w:pPr>
              <w:jc w:val="right"/>
              <w:rPr>
                <w:sz w:val="20"/>
                <w:szCs w:val="20"/>
              </w:rPr>
            </w:pPr>
            <w:r w:rsidRPr="00877DA8">
              <w:rPr>
                <w:sz w:val="20"/>
                <w:szCs w:val="20"/>
              </w:rPr>
              <w:t>268 474</w:t>
            </w:r>
          </w:p>
        </w:tc>
        <w:tc>
          <w:tcPr>
            <w:tcW w:w="1134" w:type="dxa"/>
            <w:vAlign w:val="center"/>
          </w:tcPr>
          <w:p w14:paraId="06D4BBAC" w14:textId="77777777" w:rsidR="00073C9B" w:rsidRPr="00877DA8" w:rsidRDefault="00073C9B" w:rsidP="009D2144">
            <w:pPr>
              <w:jc w:val="right"/>
              <w:rPr>
                <w:sz w:val="20"/>
                <w:szCs w:val="20"/>
              </w:rPr>
            </w:pPr>
            <w:r w:rsidRPr="00877DA8">
              <w:rPr>
                <w:sz w:val="20"/>
                <w:szCs w:val="20"/>
              </w:rPr>
              <w:t>257 783</w:t>
            </w:r>
          </w:p>
        </w:tc>
      </w:tr>
      <w:tr w:rsidR="00073C9B" w:rsidRPr="00877DA8" w14:paraId="17BFEAFA" w14:textId="77777777" w:rsidTr="00FD3EBA">
        <w:tc>
          <w:tcPr>
            <w:tcW w:w="3402" w:type="dxa"/>
            <w:tcBorders>
              <w:bottom w:val="single" w:sz="4" w:space="0" w:color="auto"/>
            </w:tcBorders>
          </w:tcPr>
          <w:p w14:paraId="1FC42532" w14:textId="77777777" w:rsidR="00073C9B" w:rsidRPr="00877DA8" w:rsidRDefault="00073C9B" w:rsidP="009D2144">
            <w:pPr>
              <w:contextualSpacing/>
              <w:rPr>
                <w:rFonts w:ascii="Calibri" w:hAnsi="Calibri" w:cs="Calibri"/>
                <w:sz w:val="20"/>
                <w:szCs w:val="20"/>
              </w:rPr>
            </w:pPr>
            <w:r w:rsidRPr="00877DA8">
              <w:rPr>
                <w:rFonts w:ascii="Calibri" w:hAnsi="Calibri" w:cs="Calibri"/>
                <w:sz w:val="20"/>
                <w:szCs w:val="20"/>
              </w:rPr>
              <w:t>Dlouhodobý finanční majetek</w:t>
            </w:r>
          </w:p>
        </w:tc>
        <w:tc>
          <w:tcPr>
            <w:tcW w:w="1134" w:type="dxa"/>
            <w:tcBorders>
              <w:bottom w:val="single" w:sz="4" w:space="0" w:color="auto"/>
            </w:tcBorders>
          </w:tcPr>
          <w:p w14:paraId="42D3A8EF" w14:textId="77777777" w:rsidR="00073C9B" w:rsidRPr="00877DA8" w:rsidRDefault="00073C9B" w:rsidP="009D2144">
            <w:pPr>
              <w:jc w:val="right"/>
              <w:rPr>
                <w:sz w:val="20"/>
                <w:szCs w:val="20"/>
              </w:rPr>
            </w:pPr>
            <w:r w:rsidRPr="00877DA8">
              <w:rPr>
                <w:sz w:val="20"/>
                <w:szCs w:val="20"/>
              </w:rPr>
              <w:t>54 331</w:t>
            </w:r>
          </w:p>
        </w:tc>
        <w:tc>
          <w:tcPr>
            <w:tcW w:w="1134" w:type="dxa"/>
            <w:tcBorders>
              <w:bottom w:val="single" w:sz="4" w:space="0" w:color="auto"/>
            </w:tcBorders>
          </w:tcPr>
          <w:p w14:paraId="4D04B463" w14:textId="77777777" w:rsidR="00073C9B" w:rsidRPr="00877DA8" w:rsidRDefault="00073C9B" w:rsidP="009D2144">
            <w:pPr>
              <w:jc w:val="right"/>
              <w:rPr>
                <w:sz w:val="20"/>
                <w:szCs w:val="20"/>
              </w:rPr>
            </w:pPr>
            <w:r w:rsidRPr="00877DA8">
              <w:rPr>
                <w:sz w:val="20"/>
                <w:szCs w:val="20"/>
              </w:rPr>
              <w:t>61 186</w:t>
            </w:r>
          </w:p>
        </w:tc>
        <w:tc>
          <w:tcPr>
            <w:tcW w:w="1134" w:type="dxa"/>
            <w:tcBorders>
              <w:bottom w:val="single" w:sz="4" w:space="0" w:color="auto"/>
            </w:tcBorders>
          </w:tcPr>
          <w:p w14:paraId="48891274" w14:textId="77777777" w:rsidR="00073C9B" w:rsidRPr="00877DA8" w:rsidRDefault="00073C9B" w:rsidP="009D2144">
            <w:pPr>
              <w:jc w:val="right"/>
              <w:rPr>
                <w:sz w:val="20"/>
                <w:szCs w:val="20"/>
              </w:rPr>
            </w:pPr>
            <w:r w:rsidRPr="00877DA8">
              <w:rPr>
                <w:sz w:val="20"/>
                <w:szCs w:val="20"/>
              </w:rPr>
              <w:t>69 228</w:t>
            </w:r>
          </w:p>
        </w:tc>
        <w:tc>
          <w:tcPr>
            <w:tcW w:w="1134" w:type="dxa"/>
            <w:tcBorders>
              <w:bottom w:val="single" w:sz="4" w:space="0" w:color="auto"/>
            </w:tcBorders>
          </w:tcPr>
          <w:p w14:paraId="4D95D9D6" w14:textId="77777777" w:rsidR="00073C9B" w:rsidRPr="00877DA8" w:rsidRDefault="00073C9B" w:rsidP="009D2144">
            <w:pPr>
              <w:jc w:val="right"/>
              <w:rPr>
                <w:sz w:val="20"/>
                <w:szCs w:val="20"/>
              </w:rPr>
            </w:pPr>
            <w:r w:rsidRPr="00877DA8">
              <w:rPr>
                <w:sz w:val="20"/>
                <w:szCs w:val="20"/>
              </w:rPr>
              <w:t xml:space="preserve">76 592 </w:t>
            </w:r>
          </w:p>
        </w:tc>
        <w:tc>
          <w:tcPr>
            <w:tcW w:w="1134" w:type="dxa"/>
            <w:tcBorders>
              <w:bottom w:val="single" w:sz="4" w:space="0" w:color="auto"/>
            </w:tcBorders>
            <w:vAlign w:val="center"/>
          </w:tcPr>
          <w:p w14:paraId="08D2BD96" w14:textId="77777777" w:rsidR="00073C9B" w:rsidRPr="00877DA8" w:rsidRDefault="00073C9B" w:rsidP="009D2144">
            <w:pPr>
              <w:jc w:val="right"/>
              <w:rPr>
                <w:sz w:val="20"/>
                <w:szCs w:val="20"/>
              </w:rPr>
            </w:pPr>
            <w:r w:rsidRPr="00877DA8">
              <w:rPr>
                <w:sz w:val="20"/>
                <w:szCs w:val="20"/>
              </w:rPr>
              <w:t>89 100</w:t>
            </w:r>
          </w:p>
        </w:tc>
      </w:tr>
      <w:tr w:rsidR="00073C9B" w:rsidRPr="00877DA8" w14:paraId="59E98600" w14:textId="77777777" w:rsidTr="00FD3EBA">
        <w:tc>
          <w:tcPr>
            <w:tcW w:w="3402" w:type="dxa"/>
          </w:tcPr>
          <w:p w14:paraId="38A6373D" w14:textId="77777777" w:rsidR="00073C9B" w:rsidRPr="00877DA8" w:rsidRDefault="00073C9B" w:rsidP="009D2144">
            <w:pPr>
              <w:rPr>
                <w:rFonts w:ascii="Calibri" w:hAnsi="Calibri" w:cs="Calibri"/>
                <w:sz w:val="20"/>
                <w:szCs w:val="20"/>
              </w:rPr>
            </w:pPr>
            <w:r w:rsidRPr="00877DA8">
              <w:rPr>
                <w:rFonts w:ascii="Calibri" w:hAnsi="Calibri" w:cs="Calibri"/>
                <w:sz w:val="20"/>
                <w:szCs w:val="20"/>
              </w:rPr>
              <w:t>Peněžní prostředky</w:t>
            </w:r>
          </w:p>
        </w:tc>
        <w:tc>
          <w:tcPr>
            <w:tcW w:w="1134" w:type="dxa"/>
          </w:tcPr>
          <w:p w14:paraId="5BA1DE66" w14:textId="77777777" w:rsidR="00073C9B" w:rsidRPr="00877DA8" w:rsidRDefault="00073C9B" w:rsidP="009D2144">
            <w:pPr>
              <w:jc w:val="right"/>
              <w:rPr>
                <w:sz w:val="20"/>
                <w:szCs w:val="20"/>
              </w:rPr>
            </w:pPr>
            <w:r w:rsidRPr="00877DA8">
              <w:rPr>
                <w:sz w:val="20"/>
                <w:szCs w:val="20"/>
              </w:rPr>
              <w:t>43 804</w:t>
            </w:r>
          </w:p>
        </w:tc>
        <w:tc>
          <w:tcPr>
            <w:tcW w:w="1134" w:type="dxa"/>
          </w:tcPr>
          <w:p w14:paraId="6BDDD495" w14:textId="77777777" w:rsidR="00073C9B" w:rsidRPr="00877DA8" w:rsidRDefault="00073C9B" w:rsidP="009D2144">
            <w:pPr>
              <w:jc w:val="right"/>
              <w:rPr>
                <w:sz w:val="20"/>
                <w:szCs w:val="20"/>
              </w:rPr>
            </w:pPr>
            <w:r w:rsidRPr="00877DA8">
              <w:rPr>
                <w:sz w:val="20"/>
                <w:szCs w:val="20"/>
              </w:rPr>
              <w:t>65 386</w:t>
            </w:r>
          </w:p>
        </w:tc>
        <w:tc>
          <w:tcPr>
            <w:tcW w:w="1134" w:type="dxa"/>
          </w:tcPr>
          <w:p w14:paraId="383136B0" w14:textId="77777777" w:rsidR="00073C9B" w:rsidRPr="00877DA8" w:rsidRDefault="00073C9B" w:rsidP="009D2144">
            <w:pPr>
              <w:jc w:val="right"/>
              <w:rPr>
                <w:sz w:val="20"/>
                <w:szCs w:val="20"/>
              </w:rPr>
            </w:pPr>
            <w:r w:rsidRPr="00877DA8">
              <w:rPr>
                <w:sz w:val="20"/>
                <w:szCs w:val="20"/>
              </w:rPr>
              <w:t>63 717</w:t>
            </w:r>
          </w:p>
        </w:tc>
        <w:tc>
          <w:tcPr>
            <w:tcW w:w="1134" w:type="dxa"/>
          </w:tcPr>
          <w:p w14:paraId="530BE0C4" w14:textId="77777777" w:rsidR="00073C9B" w:rsidRPr="00877DA8" w:rsidRDefault="00073C9B" w:rsidP="009D2144">
            <w:pPr>
              <w:jc w:val="right"/>
              <w:rPr>
                <w:sz w:val="20"/>
                <w:szCs w:val="20"/>
              </w:rPr>
            </w:pPr>
            <w:r w:rsidRPr="00877DA8">
              <w:rPr>
                <w:sz w:val="20"/>
                <w:szCs w:val="20"/>
              </w:rPr>
              <w:t>63 292</w:t>
            </w:r>
          </w:p>
        </w:tc>
        <w:tc>
          <w:tcPr>
            <w:tcW w:w="1134" w:type="dxa"/>
            <w:vAlign w:val="center"/>
          </w:tcPr>
          <w:p w14:paraId="09BAAF73" w14:textId="77777777" w:rsidR="00073C9B" w:rsidRPr="00877DA8" w:rsidRDefault="00073C9B" w:rsidP="009D2144">
            <w:pPr>
              <w:jc w:val="right"/>
              <w:rPr>
                <w:sz w:val="20"/>
                <w:szCs w:val="20"/>
              </w:rPr>
            </w:pPr>
            <w:r w:rsidRPr="00877DA8">
              <w:rPr>
                <w:sz w:val="20"/>
                <w:szCs w:val="20"/>
              </w:rPr>
              <w:t>80 052</w:t>
            </w:r>
          </w:p>
        </w:tc>
      </w:tr>
    </w:tbl>
    <w:p w14:paraId="6EC682D1" w14:textId="618C82C1" w:rsidR="00073C9B" w:rsidRPr="00A72E41" w:rsidRDefault="00E62184" w:rsidP="00E62184">
      <w:pPr>
        <w:spacing w:after="0"/>
        <w:rPr>
          <w:sz w:val="20"/>
        </w:rPr>
      </w:pPr>
      <w:r w:rsidRPr="009316BE">
        <w:rPr>
          <w:b/>
          <w:bCs/>
          <w:sz w:val="20"/>
        </w:rPr>
        <w:t>Z</w:t>
      </w:r>
      <w:r w:rsidR="00073C9B" w:rsidRPr="009316BE">
        <w:rPr>
          <w:b/>
          <w:bCs/>
          <w:sz w:val="20"/>
        </w:rPr>
        <w:t>droj:</w:t>
      </w:r>
      <w:r w:rsidR="00073C9B" w:rsidRPr="00A72E41">
        <w:rPr>
          <w:sz w:val="20"/>
        </w:rPr>
        <w:t xml:space="preserve"> výroční zprávy TZÚS a účetní deníky TZÚS z let 2019 až 2023.</w:t>
      </w:r>
    </w:p>
    <w:p w14:paraId="1C109B0A" w14:textId="77777777" w:rsidR="00E62184" w:rsidRDefault="00E62184" w:rsidP="00BA1F29">
      <w:pPr>
        <w:spacing w:after="0" w:line="240" w:lineRule="auto"/>
        <w:jc w:val="both"/>
        <w:rPr>
          <w:rFonts w:ascii="Calibri" w:eastAsia="Calibri" w:hAnsi="Calibri" w:cs="Times New Roman"/>
          <w:sz w:val="24"/>
          <w:szCs w:val="24"/>
        </w:rPr>
      </w:pPr>
    </w:p>
    <w:p w14:paraId="50957D71" w14:textId="6E7D4897" w:rsidR="009F33BB" w:rsidRDefault="009F33BB" w:rsidP="00BA1F29">
      <w:pPr>
        <w:spacing w:after="0" w:line="240" w:lineRule="auto"/>
        <w:jc w:val="both"/>
        <w:rPr>
          <w:rFonts w:ascii="Calibri" w:eastAsia="Calibri" w:hAnsi="Calibri" w:cs="Times New Roman"/>
          <w:sz w:val="24"/>
          <w:szCs w:val="24"/>
        </w:rPr>
      </w:pPr>
      <w:r w:rsidRPr="00626081">
        <w:rPr>
          <w:rFonts w:ascii="Calibri" w:eastAsia="Calibri" w:hAnsi="Calibri" w:cs="Times New Roman"/>
          <w:sz w:val="24"/>
          <w:szCs w:val="24"/>
        </w:rPr>
        <w:t xml:space="preserve">Podrobnější pravidla pro </w:t>
      </w:r>
      <w:r>
        <w:rPr>
          <w:rFonts w:ascii="Calibri" w:eastAsia="Calibri" w:hAnsi="Calibri" w:cs="Times New Roman"/>
          <w:sz w:val="24"/>
          <w:szCs w:val="24"/>
        </w:rPr>
        <w:t>činnost</w:t>
      </w:r>
      <w:r w:rsidRPr="00626081">
        <w:rPr>
          <w:rFonts w:ascii="Calibri" w:eastAsia="Calibri" w:hAnsi="Calibri" w:cs="Times New Roman"/>
          <w:sz w:val="24"/>
          <w:szCs w:val="24"/>
        </w:rPr>
        <w:t xml:space="preserve"> </w:t>
      </w:r>
      <w:r>
        <w:rPr>
          <w:rFonts w:ascii="Calibri" w:eastAsia="Calibri" w:hAnsi="Calibri" w:cs="Times New Roman"/>
          <w:sz w:val="24"/>
          <w:szCs w:val="24"/>
        </w:rPr>
        <w:t xml:space="preserve">obou </w:t>
      </w:r>
      <w:r w:rsidRPr="00626081">
        <w:rPr>
          <w:rFonts w:ascii="Calibri" w:eastAsia="Calibri" w:hAnsi="Calibri" w:cs="Times New Roman"/>
          <w:sz w:val="24"/>
          <w:szCs w:val="24"/>
        </w:rPr>
        <w:t>státní</w:t>
      </w:r>
      <w:r>
        <w:rPr>
          <w:rFonts w:ascii="Calibri" w:eastAsia="Calibri" w:hAnsi="Calibri" w:cs="Times New Roman"/>
          <w:sz w:val="24"/>
          <w:szCs w:val="24"/>
        </w:rPr>
        <w:t>ch</w:t>
      </w:r>
      <w:r w:rsidRPr="00626081">
        <w:rPr>
          <w:rFonts w:ascii="Calibri" w:eastAsia="Calibri" w:hAnsi="Calibri" w:cs="Times New Roman"/>
          <w:sz w:val="24"/>
          <w:szCs w:val="24"/>
        </w:rPr>
        <w:t xml:space="preserve"> podnik</w:t>
      </w:r>
      <w:r>
        <w:rPr>
          <w:rFonts w:ascii="Calibri" w:eastAsia="Calibri" w:hAnsi="Calibri" w:cs="Times New Roman"/>
          <w:sz w:val="24"/>
          <w:szCs w:val="24"/>
        </w:rPr>
        <w:t>ů</w:t>
      </w:r>
      <w:r w:rsidRPr="00626081">
        <w:rPr>
          <w:rFonts w:ascii="Calibri" w:eastAsia="Calibri" w:hAnsi="Calibri" w:cs="Times New Roman"/>
          <w:sz w:val="24"/>
          <w:szCs w:val="24"/>
        </w:rPr>
        <w:t xml:space="preserve"> jsou stanoven</w:t>
      </w:r>
      <w:r>
        <w:rPr>
          <w:rFonts w:ascii="Calibri" w:eastAsia="Calibri" w:hAnsi="Calibri" w:cs="Times New Roman"/>
          <w:sz w:val="24"/>
          <w:szCs w:val="24"/>
        </w:rPr>
        <w:t>a příslušným</w:t>
      </w:r>
      <w:r w:rsidR="000A30E3">
        <w:rPr>
          <w:rFonts w:ascii="Calibri" w:eastAsia="Calibri" w:hAnsi="Calibri" w:cs="Times New Roman"/>
          <w:sz w:val="24"/>
          <w:szCs w:val="24"/>
        </w:rPr>
        <w:t>i</w:t>
      </w:r>
      <w:r w:rsidRPr="00626081">
        <w:rPr>
          <w:rFonts w:ascii="Calibri" w:eastAsia="Calibri" w:hAnsi="Calibri" w:cs="Times New Roman"/>
          <w:sz w:val="24"/>
          <w:szCs w:val="24"/>
        </w:rPr>
        <w:t xml:space="preserve"> </w:t>
      </w:r>
      <w:r>
        <w:rPr>
          <w:rFonts w:ascii="Calibri" w:eastAsia="Calibri" w:hAnsi="Calibri" w:cs="Times New Roman"/>
          <w:sz w:val="24"/>
          <w:szCs w:val="24"/>
        </w:rPr>
        <w:t>s</w:t>
      </w:r>
      <w:r w:rsidRPr="00626081">
        <w:rPr>
          <w:rFonts w:ascii="Calibri" w:eastAsia="Calibri" w:hAnsi="Calibri" w:cs="Times New Roman"/>
          <w:sz w:val="24"/>
          <w:szCs w:val="24"/>
        </w:rPr>
        <w:t>tatut</w:t>
      </w:r>
      <w:r w:rsidR="000A30E3">
        <w:rPr>
          <w:rFonts w:ascii="Calibri" w:eastAsia="Calibri" w:hAnsi="Calibri" w:cs="Times New Roman"/>
          <w:sz w:val="24"/>
          <w:szCs w:val="24"/>
        </w:rPr>
        <w:t>y</w:t>
      </w:r>
      <w:r w:rsidR="009316BE">
        <w:rPr>
          <w:rFonts w:ascii="Calibri" w:eastAsia="Calibri" w:hAnsi="Calibri" w:cs="Times New Roman"/>
          <w:sz w:val="24"/>
          <w:szCs w:val="24"/>
        </w:rPr>
        <w:t xml:space="preserve"> </w:t>
      </w:r>
      <w:r w:rsidRPr="00626081">
        <w:rPr>
          <w:rFonts w:ascii="Calibri" w:eastAsia="Calibri" w:hAnsi="Calibri" w:cs="Times New Roman"/>
          <w:sz w:val="24"/>
          <w:szCs w:val="24"/>
        </w:rPr>
        <w:t>státního podniku</w:t>
      </w:r>
      <w:r w:rsidR="00931CEF">
        <w:rPr>
          <w:rFonts w:ascii="Calibri" w:eastAsia="Calibri" w:hAnsi="Calibri" w:cs="Times New Roman"/>
          <w:sz w:val="24"/>
          <w:szCs w:val="24"/>
        </w:rPr>
        <w:t>, kter</w:t>
      </w:r>
      <w:r w:rsidR="000A30E3">
        <w:rPr>
          <w:rFonts w:ascii="Calibri" w:eastAsia="Calibri" w:hAnsi="Calibri" w:cs="Times New Roman"/>
          <w:sz w:val="24"/>
          <w:szCs w:val="24"/>
        </w:rPr>
        <w:t>é</w:t>
      </w:r>
      <w:r w:rsidR="00931CEF">
        <w:rPr>
          <w:rFonts w:ascii="Calibri" w:eastAsia="Calibri" w:hAnsi="Calibri" w:cs="Times New Roman"/>
          <w:sz w:val="24"/>
          <w:szCs w:val="24"/>
        </w:rPr>
        <w:t xml:space="preserve"> vydává zakladatel</w:t>
      </w:r>
      <w:r w:rsidRPr="00626081">
        <w:rPr>
          <w:rFonts w:ascii="Calibri" w:eastAsia="Calibri" w:hAnsi="Calibri" w:cs="Times New Roman"/>
          <w:sz w:val="24"/>
          <w:szCs w:val="24"/>
        </w:rPr>
        <w:t>.</w:t>
      </w:r>
    </w:p>
    <w:p w14:paraId="11FA3916" w14:textId="47373E34" w:rsidR="005849CA" w:rsidRDefault="005849CA" w:rsidP="00BA1F29">
      <w:pPr>
        <w:spacing w:after="0" w:line="240" w:lineRule="auto"/>
        <w:jc w:val="both"/>
        <w:rPr>
          <w:rFonts w:ascii="Calibri" w:eastAsia="Calibri" w:hAnsi="Calibri" w:cs="Times New Roman"/>
          <w:b/>
          <w:sz w:val="24"/>
          <w:szCs w:val="24"/>
        </w:rPr>
      </w:pPr>
    </w:p>
    <w:p w14:paraId="2D5A39CB" w14:textId="7967DF9C" w:rsidR="00703F1A" w:rsidRDefault="00703F1A" w:rsidP="00BA1F29">
      <w:pPr>
        <w:spacing w:after="0" w:line="240" w:lineRule="auto"/>
        <w:jc w:val="both"/>
        <w:rPr>
          <w:rFonts w:ascii="Calibri" w:eastAsia="Calibri" w:hAnsi="Calibri" w:cs="Times New Roman"/>
          <w:b/>
          <w:sz w:val="24"/>
          <w:szCs w:val="24"/>
        </w:rPr>
      </w:pPr>
    </w:p>
    <w:p w14:paraId="20FA4CB9" w14:textId="77777777" w:rsidR="00703F1A" w:rsidRDefault="00703F1A" w:rsidP="00BA1F29">
      <w:pPr>
        <w:spacing w:after="0" w:line="240" w:lineRule="auto"/>
        <w:jc w:val="both"/>
        <w:rPr>
          <w:rFonts w:ascii="Calibri" w:eastAsia="Calibri" w:hAnsi="Calibri" w:cs="Times New Roman"/>
          <w:b/>
          <w:sz w:val="24"/>
          <w:szCs w:val="24"/>
        </w:rPr>
      </w:pPr>
    </w:p>
    <w:p w14:paraId="476CBD16" w14:textId="77777777" w:rsidR="00BA1F29" w:rsidRPr="00F72991" w:rsidRDefault="00BA1F29" w:rsidP="00BA1F29">
      <w:pPr>
        <w:spacing w:after="0" w:line="240" w:lineRule="auto"/>
        <w:jc w:val="both"/>
        <w:rPr>
          <w:rFonts w:ascii="Calibri" w:eastAsia="Calibri" w:hAnsi="Calibri" w:cs="Times New Roman"/>
          <w:b/>
          <w:sz w:val="24"/>
          <w:szCs w:val="24"/>
        </w:rPr>
      </w:pPr>
      <w:r w:rsidRPr="00F72991">
        <w:rPr>
          <w:rFonts w:ascii="Calibri" w:eastAsia="Calibri" w:hAnsi="Calibri" w:cs="Times New Roman"/>
          <w:b/>
          <w:sz w:val="24"/>
          <w:szCs w:val="24"/>
        </w:rPr>
        <w:lastRenderedPageBreak/>
        <w:t>Pro oba státní podniky platí:</w:t>
      </w:r>
    </w:p>
    <w:p w14:paraId="398B4442" w14:textId="799A47DE" w:rsidR="000A30E3" w:rsidRDefault="009F33BB" w:rsidP="00AA15F5">
      <w:pPr>
        <w:spacing w:after="120" w:line="240" w:lineRule="auto"/>
        <w:jc w:val="both"/>
        <w:rPr>
          <w:rFonts w:ascii="Calibri" w:eastAsia="Calibri" w:hAnsi="Calibri" w:cs="Times New Roman"/>
          <w:sz w:val="24"/>
          <w:szCs w:val="24"/>
        </w:rPr>
      </w:pPr>
      <w:r w:rsidRPr="00626081">
        <w:rPr>
          <w:rFonts w:ascii="Calibri" w:eastAsia="Calibri" w:hAnsi="Calibri" w:cs="Times New Roman"/>
          <w:sz w:val="24"/>
          <w:szCs w:val="24"/>
        </w:rPr>
        <w:t>Na chod státní</w:t>
      </w:r>
      <w:r w:rsidR="00BA1F29">
        <w:rPr>
          <w:rFonts w:ascii="Calibri" w:eastAsia="Calibri" w:hAnsi="Calibri" w:cs="Times New Roman"/>
          <w:sz w:val="24"/>
          <w:szCs w:val="24"/>
        </w:rPr>
        <w:t>ho</w:t>
      </w:r>
      <w:r w:rsidRPr="00626081">
        <w:rPr>
          <w:rFonts w:ascii="Calibri" w:eastAsia="Calibri" w:hAnsi="Calibri" w:cs="Times New Roman"/>
          <w:sz w:val="24"/>
          <w:szCs w:val="24"/>
        </w:rPr>
        <w:t xml:space="preserve"> podnik</w:t>
      </w:r>
      <w:r w:rsidR="00BA1F29">
        <w:rPr>
          <w:rFonts w:ascii="Calibri" w:eastAsia="Calibri" w:hAnsi="Calibri" w:cs="Times New Roman"/>
          <w:sz w:val="24"/>
          <w:szCs w:val="24"/>
        </w:rPr>
        <w:t>u</w:t>
      </w:r>
      <w:r w:rsidRPr="00626081">
        <w:rPr>
          <w:rFonts w:ascii="Calibri" w:eastAsia="Calibri" w:hAnsi="Calibri" w:cs="Times New Roman"/>
          <w:sz w:val="24"/>
          <w:szCs w:val="24"/>
        </w:rPr>
        <w:t xml:space="preserve"> dohlíží dle zákona č. 77/1997 Sb. </w:t>
      </w:r>
      <w:r w:rsidRPr="00626081">
        <w:rPr>
          <w:rFonts w:ascii="Calibri" w:eastAsia="Calibri" w:hAnsi="Calibri" w:cs="Times New Roman"/>
          <w:b/>
          <w:sz w:val="24"/>
          <w:szCs w:val="24"/>
        </w:rPr>
        <w:t>dozorčí rada</w:t>
      </w:r>
      <w:r w:rsidRPr="00A24AAD">
        <w:rPr>
          <w:rFonts w:ascii="Calibri" w:eastAsia="Calibri" w:hAnsi="Calibri" w:cs="Times New Roman"/>
          <w:b/>
          <w:sz w:val="24"/>
          <w:szCs w:val="24"/>
        </w:rPr>
        <w:t>,</w:t>
      </w:r>
      <w:r w:rsidRPr="00626081">
        <w:rPr>
          <w:rFonts w:ascii="Calibri" w:eastAsia="Calibri" w:hAnsi="Calibri" w:cs="Times New Roman"/>
          <w:sz w:val="24"/>
          <w:szCs w:val="24"/>
        </w:rPr>
        <w:t xml:space="preserve"> která má </w:t>
      </w:r>
      <w:r>
        <w:rPr>
          <w:rFonts w:ascii="Calibri" w:eastAsia="Calibri" w:hAnsi="Calibri" w:cs="Times New Roman"/>
          <w:sz w:val="24"/>
          <w:szCs w:val="24"/>
        </w:rPr>
        <w:t>šest</w:t>
      </w:r>
      <w:r w:rsidRPr="00626081">
        <w:rPr>
          <w:rFonts w:ascii="Calibri" w:eastAsia="Calibri" w:hAnsi="Calibri" w:cs="Times New Roman"/>
          <w:sz w:val="24"/>
          <w:szCs w:val="24"/>
        </w:rPr>
        <w:t xml:space="preserve"> člen</w:t>
      </w:r>
      <w:r>
        <w:rPr>
          <w:rFonts w:ascii="Calibri" w:eastAsia="Calibri" w:hAnsi="Calibri" w:cs="Times New Roman"/>
          <w:sz w:val="24"/>
          <w:szCs w:val="24"/>
        </w:rPr>
        <w:t>ů</w:t>
      </w:r>
      <w:r w:rsidRPr="00626081">
        <w:rPr>
          <w:rFonts w:ascii="Calibri" w:eastAsia="Calibri" w:hAnsi="Calibri" w:cs="Times New Roman"/>
          <w:sz w:val="24"/>
          <w:szCs w:val="24"/>
        </w:rPr>
        <w:t xml:space="preserve">. </w:t>
      </w:r>
      <w:r>
        <w:rPr>
          <w:rFonts w:ascii="Calibri" w:eastAsia="Calibri" w:hAnsi="Calibri" w:cs="Times New Roman"/>
          <w:sz w:val="24"/>
          <w:szCs w:val="24"/>
        </w:rPr>
        <w:t>Čtyři</w:t>
      </w:r>
      <w:r w:rsidRPr="00626081">
        <w:rPr>
          <w:rFonts w:ascii="Calibri" w:eastAsia="Calibri" w:hAnsi="Calibri" w:cs="Times New Roman"/>
          <w:sz w:val="24"/>
          <w:szCs w:val="24"/>
        </w:rPr>
        <w:t xml:space="preserve"> jsou jmenováni zakladatelem (MPO), </w:t>
      </w:r>
      <w:r>
        <w:rPr>
          <w:rFonts w:ascii="Calibri" w:eastAsia="Calibri" w:hAnsi="Calibri" w:cs="Times New Roman"/>
          <w:sz w:val="24"/>
          <w:szCs w:val="24"/>
        </w:rPr>
        <w:t>dva</w:t>
      </w:r>
      <w:r w:rsidRPr="00626081">
        <w:rPr>
          <w:rFonts w:ascii="Calibri" w:eastAsia="Calibri" w:hAnsi="Calibri" w:cs="Times New Roman"/>
          <w:sz w:val="24"/>
          <w:szCs w:val="24"/>
        </w:rPr>
        <w:t xml:space="preserve"> j</w:t>
      </w:r>
      <w:r>
        <w:rPr>
          <w:rFonts w:ascii="Calibri" w:eastAsia="Calibri" w:hAnsi="Calibri" w:cs="Times New Roman"/>
          <w:sz w:val="24"/>
          <w:szCs w:val="24"/>
        </w:rPr>
        <w:t>sou</w:t>
      </w:r>
      <w:r w:rsidRPr="00626081">
        <w:rPr>
          <w:rFonts w:ascii="Calibri" w:eastAsia="Calibri" w:hAnsi="Calibri" w:cs="Times New Roman"/>
          <w:sz w:val="24"/>
          <w:szCs w:val="24"/>
        </w:rPr>
        <w:t xml:space="preserve"> volen</w:t>
      </w:r>
      <w:r>
        <w:rPr>
          <w:rFonts w:ascii="Calibri" w:eastAsia="Calibri" w:hAnsi="Calibri" w:cs="Times New Roman"/>
          <w:sz w:val="24"/>
          <w:szCs w:val="24"/>
        </w:rPr>
        <w:t>i</w:t>
      </w:r>
      <w:r w:rsidRPr="00626081">
        <w:rPr>
          <w:rFonts w:ascii="Calibri" w:eastAsia="Calibri" w:hAnsi="Calibri" w:cs="Times New Roman"/>
          <w:sz w:val="24"/>
          <w:szCs w:val="24"/>
        </w:rPr>
        <w:t xml:space="preserve"> </w:t>
      </w:r>
      <w:r w:rsidR="00E62184">
        <w:rPr>
          <w:rFonts w:ascii="Calibri" w:eastAsia="Calibri" w:hAnsi="Calibri" w:cs="Times New Roman"/>
          <w:sz w:val="24"/>
          <w:szCs w:val="24"/>
        </w:rPr>
        <w:t xml:space="preserve">ze </w:t>
      </w:r>
      <w:r w:rsidRPr="00626081">
        <w:rPr>
          <w:rFonts w:ascii="Calibri" w:eastAsia="Calibri" w:hAnsi="Calibri" w:cs="Times New Roman"/>
          <w:sz w:val="24"/>
          <w:szCs w:val="24"/>
        </w:rPr>
        <w:t>zaměstnanc</w:t>
      </w:r>
      <w:r w:rsidR="00E62184">
        <w:rPr>
          <w:rFonts w:ascii="Calibri" w:eastAsia="Calibri" w:hAnsi="Calibri" w:cs="Times New Roman"/>
          <w:sz w:val="24"/>
          <w:szCs w:val="24"/>
        </w:rPr>
        <w:t>ů</w:t>
      </w:r>
      <w:r w:rsidRPr="00626081">
        <w:rPr>
          <w:rFonts w:ascii="Calibri" w:eastAsia="Calibri" w:hAnsi="Calibri" w:cs="Times New Roman"/>
          <w:sz w:val="24"/>
          <w:szCs w:val="24"/>
        </w:rPr>
        <w:t xml:space="preserve"> státního podniku. Funkční období členů dozorčí rady </w:t>
      </w:r>
      <w:r w:rsidR="000A30E3" w:rsidRPr="00626081">
        <w:rPr>
          <w:rFonts w:ascii="Calibri" w:eastAsia="Calibri" w:hAnsi="Calibri" w:cs="Times New Roman"/>
          <w:sz w:val="24"/>
          <w:szCs w:val="24"/>
        </w:rPr>
        <w:t xml:space="preserve">je </w:t>
      </w:r>
      <w:r w:rsidRPr="00626081">
        <w:rPr>
          <w:rFonts w:ascii="Calibri" w:eastAsia="Calibri" w:hAnsi="Calibri" w:cs="Times New Roman"/>
          <w:sz w:val="24"/>
          <w:szCs w:val="24"/>
        </w:rPr>
        <w:t xml:space="preserve">dle </w:t>
      </w:r>
      <w:r>
        <w:rPr>
          <w:rFonts w:ascii="Calibri" w:eastAsia="Calibri" w:hAnsi="Calibri" w:cs="Times New Roman"/>
          <w:sz w:val="24"/>
          <w:szCs w:val="24"/>
        </w:rPr>
        <w:t>s</w:t>
      </w:r>
      <w:r w:rsidRPr="00626081">
        <w:rPr>
          <w:rFonts w:ascii="Calibri" w:eastAsia="Calibri" w:hAnsi="Calibri" w:cs="Times New Roman"/>
          <w:sz w:val="24"/>
          <w:szCs w:val="24"/>
        </w:rPr>
        <w:t>tatutu státní</w:t>
      </w:r>
      <w:r>
        <w:rPr>
          <w:rFonts w:ascii="Calibri" w:eastAsia="Calibri" w:hAnsi="Calibri" w:cs="Times New Roman"/>
          <w:sz w:val="24"/>
          <w:szCs w:val="24"/>
        </w:rPr>
        <w:t>h</w:t>
      </w:r>
      <w:r w:rsidR="00BA1F29">
        <w:rPr>
          <w:rFonts w:ascii="Calibri" w:eastAsia="Calibri" w:hAnsi="Calibri" w:cs="Times New Roman"/>
          <w:sz w:val="24"/>
          <w:szCs w:val="24"/>
        </w:rPr>
        <w:t>o</w:t>
      </w:r>
      <w:r w:rsidRPr="00626081">
        <w:rPr>
          <w:rFonts w:ascii="Calibri" w:eastAsia="Calibri" w:hAnsi="Calibri" w:cs="Times New Roman"/>
          <w:sz w:val="24"/>
          <w:szCs w:val="24"/>
        </w:rPr>
        <w:t xml:space="preserve"> podnik</w:t>
      </w:r>
      <w:r w:rsidR="00BA1F29">
        <w:rPr>
          <w:rFonts w:ascii="Calibri" w:eastAsia="Calibri" w:hAnsi="Calibri" w:cs="Times New Roman"/>
          <w:sz w:val="24"/>
          <w:szCs w:val="24"/>
        </w:rPr>
        <w:t>u</w:t>
      </w:r>
      <w:r w:rsidRPr="00626081">
        <w:rPr>
          <w:rFonts w:ascii="Calibri" w:eastAsia="Calibri" w:hAnsi="Calibri" w:cs="Times New Roman"/>
          <w:sz w:val="24"/>
          <w:szCs w:val="24"/>
        </w:rPr>
        <w:t xml:space="preserve"> pět let. Dozorčí rada</w:t>
      </w:r>
      <w:r w:rsidR="00064DAB">
        <w:rPr>
          <w:rFonts w:ascii="Calibri" w:eastAsia="Calibri" w:hAnsi="Calibri" w:cs="Times New Roman"/>
          <w:sz w:val="24"/>
          <w:szCs w:val="24"/>
        </w:rPr>
        <w:t xml:space="preserve"> má pravomoci uvedené ve statutu státního podniku.</w:t>
      </w:r>
      <w:r w:rsidRPr="00626081">
        <w:rPr>
          <w:rFonts w:ascii="Calibri" w:eastAsia="Calibri" w:hAnsi="Calibri" w:cs="Times New Roman"/>
          <w:sz w:val="24"/>
          <w:szCs w:val="24"/>
        </w:rPr>
        <w:t xml:space="preserve"> Jedná se zejména o ty</w:t>
      </w:r>
      <w:r w:rsidR="000A30E3">
        <w:rPr>
          <w:rFonts w:ascii="Calibri" w:eastAsia="Calibri" w:hAnsi="Calibri" w:cs="Times New Roman"/>
          <w:sz w:val="24"/>
          <w:szCs w:val="24"/>
        </w:rPr>
        <w:t>to</w:t>
      </w:r>
      <w:r w:rsidRPr="00626081">
        <w:rPr>
          <w:rFonts w:ascii="Calibri" w:eastAsia="Calibri" w:hAnsi="Calibri" w:cs="Times New Roman"/>
          <w:sz w:val="24"/>
          <w:szCs w:val="24"/>
        </w:rPr>
        <w:t xml:space="preserve"> pravomoci</w:t>
      </w:r>
      <w:r w:rsidR="000A30E3">
        <w:rPr>
          <w:rFonts w:ascii="Calibri" w:eastAsia="Calibri" w:hAnsi="Calibri" w:cs="Times New Roman"/>
          <w:sz w:val="24"/>
          <w:szCs w:val="24"/>
        </w:rPr>
        <w:t>:</w:t>
      </w:r>
    </w:p>
    <w:p w14:paraId="319EC265" w14:textId="2EC3FED8" w:rsidR="009F33BB" w:rsidRPr="00626081" w:rsidRDefault="009F33BB" w:rsidP="00BA1F29">
      <w:pPr>
        <w:spacing w:after="0" w:line="240" w:lineRule="auto"/>
        <w:jc w:val="both"/>
        <w:rPr>
          <w:rFonts w:ascii="Calibri" w:eastAsia="Calibri" w:hAnsi="Calibri" w:cs="Times New Roman"/>
          <w:sz w:val="24"/>
          <w:szCs w:val="24"/>
        </w:rPr>
      </w:pPr>
      <w:r w:rsidRPr="00626081">
        <w:rPr>
          <w:rFonts w:ascii="Calibri" w:eastAsia="Calibri" w:hAnsi="Calibri" w:cs="Times New Roman"/>
          <w:sz w:val="24"/>
          <w:szCs w:val="24"/>
        </w:rPr>
        <w:t>dozorčí rada</w:t>
      </w:r>
    </w:p>
    <w:p w14:paraId="32946885" w14:textId="77777777" w:rsidR="009F33BB" w:rsidRPr="00626081" w:rsidRDefault="009F33BB" w:rsidP="00BA1F29">
      <w:pPr>
        <w:numPr>
          <w:ilvl w:val="0"/>
          <w:numId w:val="2"/>
        </w:numPr>
        <w:spacing w:after="0" w:line="240" w:lineRule="auto"/>
        <w:contextualSpacing/>
        <w:jc w:val="both"/>
        <w:rPr>
          <w:rFonts w:ascii="Calibri" w:eastAsia="Calibri" w:hAnsi="Calibri" w:cs="Times New Roman"/>
          <w:sz w:val="24"/>
          <w:szCs w:val="24"/>
        </w:rPr>
      </w:pPr>
      <w:r w:rsidRPr="00626081">
        <w:rPr>
          <w:rFonts w:ascii="Calibri" w:eastAsia="Calibri" w:hAnsi="Calibri" w:cs="Times New Roman"/>
          <w:sz w:val="24"/>
          <w:szCs w:val="24"/>
        </w:rPr>
        <w:t xml:space="preserve">schvaluje koncepce rozvoje státního podniku, </w:t>
      </w:r>
    </w:p>
    <w:p w14:paraId="027A8944" w14:textId="77777777" w:rsidR="009F33BB" w:rsidRPr="00626081" w:rsidRDefault="009F33BB" w:rsidP="00BA1F29">
      <w:pPr>
        <w:numPr>
          <w:ilvl w:val="0"/>
          <w:numId w:val="2"/>
        </w:numPr>
        <w:spacing w:after="0" w:line="240" w:lineRule="auto"/>
        <w:contextualSpacing/>
        <w:jc w:val="both"/>
        <w:rPr>
          <w:rFonts w:ascii="Calibri" w:eastAsia="Calibri" w:hAnsi="Calibri" w:cs="Times New Roman"/>
          <w:sz w:val="24"/>
          <w:szCs w:val="24"/>
        </w:rPr>
      </w:pPr>
      <w:r w:rsidRPr="00626081">
        <w:rPr>
          <w:rFonts w:ascii="Calibri" w:eastAsia="Calibri" w:hAnsi="Calibri" w:cs="Times New Roman"/>
          <w:sz w:val="24"/>
          <w:szCs w:val="24"/>
        </w:rPr>
        <w:t xml:space="preserve">schvaluje nakládání s majetkem, </w:t>
      </w:r>
    </w:p>
    <w:p w14:paraId="31F0AC1A" w14:textId="77777777" w:rsidR="009F33BB" w:rsidRPr="00626081" w:rsidRDefault="009F33BB" w:rsidP="00BA1F29">
      <w:pPr>
        <w:numPr>
          <w:ilvl w:val="0"/>
          <w:numId w:val="2"/>
        </w:numPr>
        <w:spacing w:after="0" w:line="240" w:lineRule="auto"/>
        <w:contextualSpacing/>
        <w:jc w:val="both"/>
        <w:rPr>
          <w:rFonts w:ascii="Calibri" w:eastAsia="Calibri" w:hAnsi="Calibri" w:cs="Times New Roman"/>
          <w:sz w:val="24"/>
          <w:szCs w:val="24"/>
        </w:rPr>
      </w:pPr>
      <w:r w:rsidRPr="00626081">
        <w:rPr>
          <w:rFonts w:ascii="Calibri" w:eastAsia="Calibri" w:hAnsi="Calibri" w:cs="Times New Roman"/>
          <w:sz w:val="24"/>
          <w:szCs w:val="24"/>
        </w:rPr>
        <w:t>projednává výroční zprávu, přezkoumává účetní závěrku podniku</w:t>
      </w:r>
      <w:r>
        <w:rPr>
          <w:rFonts w:ascii="Calibri" w:eastAsia="Calibri" w:hAnsi="Calibri" w:cs="Times New Roman"/>
          <w:sz w:val="24"/>
          <w:szCs w:val="24"/>
        </w:rPr>
        <w:t xml:space="preserve"> a</w:t>
      </w:r>
      <w:r w:rsidRPr="00626081">
        <w:rPr>
          <w:rFonts w:ascii="Calibri" w:eastAsia="Calibri" w:hAnsi="Calibri" w:cs="Times New Roman"/>
          <w:sz w:val="24"/>
          <w:szCs w:val="24"/>
        </w:rPr>
        <w:t xml:space="preserve"> pololetní výsledky hospodaření, </w:t>
      </w:r>
    </w:p>
    <w:p w14:paraId="79073657" w14:textId="77777777" w:rsidR="009F33BB" w:rsidRPr="00626081" w:rsidRDefault="009F33BB" w:rsidP="00BA1F29">
      <w:pPr>
        <w:numPr>
          <w:ilvl w:val="0"/>
          <w:numId w:val="2"/>
        </w:numPr>
        <w:spacing w:after="0" w:line="240" w:lineRule="auto"/>
        <w:contextualSpacing/>
        <w:jc w:val="both"/>
        <w:rPr>
          <w:rFonts w:ascii="Calibri" w:eastAsia="Calibri" w:hAnsi="Calibri" w:cs="Times New Roman"/>
          <w:sz w:val="24"/>
          <w:szCs w:val="24"/>
        </w:rPr>
      </w:pPr>
      <w:r w:rsidRPr="00626081">
        <w:rPr>
          <w:rFonts w:ascii="Calibri" w:eastAsia="Calibri" w:hAnsi="Calibri" w:cs="Times New Roman"/>
          <w:sz w:val="24"/>
          <w:szCs w:val="24"/>
        </w:rPr>
        <w:t>dohlíží na výkon působnosti ředitele a uskutečňování podnikatelské činnosti podniku,</w:t>
      </w:r>
    </w:p>
    <w:p w14:paraId="24BC90BB" w14:textId="77777777" w:rsidR="009F33BB" w:rsidRPr="00626081" w:rsidRDefault="009F33BB" w:rsidP="00BA1F29">
      <w:pPr>
        <w:numPr>
          <w:ilvl w:val="0"/>
          <w:numId w:val="2"/>
        </w:numPr>
        <w:spacing w:after="0" w:line="240" w:lineRule="auto"/>
        <w:contextualSpacing/>
        <w:jc w:val="both"/>
        <w:rPr>
          <w:rFonts w:ascii="Calibri" w:eastAsia="Calibri" w:hAnsi="Calibri" w:cs="Times New Roman"/>
          <w:sz w:val="24"/>
          <w:szCs w:val="24"/>
        </w:rPr>
      </w:pPr>
      <w:r w:rsidRPr="00626081">
        <w:rPr>
          <w:rFonts w:ascii="Calibri" w:eastAsia="Calibri" w:hAnsi="Calibri" w:cs="Times New Roman"/>
          <w:sz w:val="24"/>
          <w:szCs w:val="24"/>
        </w:rPr>
        <w:t>je povinna upozornit ředitele a zakladatele na zjištěné nedostatky,</w:t>
      </w:r>
    </w:p>
    <w:p w14:paraId="710929C7" w14:textId="77777777" w:rsidR="009F33BB" w:rsidRPr="00626081" w:rsidRDefault="009F33BB" w:rsidP="00BA1F29">
      <w:pPr>
        <w:numPr>
          <w:ilvl w:val="0"/>
          <w:numId w:val="2"/>
        </w:numPr>
        <w:spacing w:after="0" w:line="240" w:lineRule="auto"/>
        <w:contextualSpacing/>
        <w:jc w:val="both"/>
        <w:rPr>
          <w:rFonts w:ascii="Calibri" w:eastAsia="Calibri" w:hAnsi="Calibri" w:cs="Times New Roman"/>
          <w:sz w:val="24"/>
          <w:szCs w:val="24"/>
        </w:rPr>
      </w:pPr>
      <w:r w:rsidRPr="00626081">
        <w:rPr>
          <w:rFonts w:ascii="Calibri" w:eastAsia="Calibri" w:hAnsi="Calibri" w:cs="Times New Roman"/>
          <w:sz w:val="24"/>
          <w:szCs w:val="24"/>
        </w:rPr>
        <w:t>schvaluje uzavírání smluv.</w:t>
      </w:r>
    </w:p>
    <w:p w14:paraId="39714641" w14:textId="77777777" w:rsidR="000A30E3" w:rsidRDefault="000A30E3" w:rsidP="00BA1F29">
      <w:pPr>
        <w:spacing w:after="0" w:line="240" w:lineRule="auto"/>
        <w:jc w:val="both"/>
        <w:rPr>
          <w:rFonts w:ascii="Calibri" w:eastAsia="Calibri" w:hAnsi="Calibri" w:cs="Calibri"/>
          <w:sz w:val="24"/>
          <w:szCs w:val="24"/>
        </w:rPr>
      </w:pPr>
    </w:p>
    <w:p w14:paraId="07949AF4" w14:textId="78E66302" w:rsidR="009F33BB" w:rsidRPr="00E57AEC" w:rsidRDefault="009F33BB" w:rsidP="00BA1F29">
      <w:pPr>
        <w:spacing w:after="0" w:line="240" w:lineRule="auto"/>
        <w:jc w:val="both"/>
        <w:rPr>
          <w:rFonts w:ascii="Calibri" w:eastAsia="Calibri" w:hAnsi="Calibri" w:cs="Calibri"/>
          <w:sz w:val="24"/>
          <w:szCs w:val="24"/>
        </w:rPr>
      </w:pPr>
      <w:r w:rsidRPr="001C01FB">
        <w:rPr>
          <w:rFonts w:ascii="Calibri" w:eastAsia="Calibri" w:hAnsi="Calibri" w:cs="Calibri"/>
          <w:sz w:val="24"/>
          <w:szCs w:val="24"/>
        </w:rPr>
        <w:t>Statutárním o</w:t>
      </w:r>
      <w:r>
        <w:rPr>
          <w:rFonts w:ascii="Calibri" w:eastAsia="Calibri" w:hAnsi="Calibri" w:cs="Calibri"/>
          <w:sz w:val="24"/>
          <w:szCs w:val="24"/>
        </w:rPr>
        <w:t>r</w:t>
      </w:r>
      <w:r w:rsidRPr="001C01FB">
        <w:rPr>
          <w:rFonts w:ascii="Calibri" w:eastAsia="Calibri" w:hAnsi="Calibri" w:cs="Calibri"/>
          <w:sz w:val="24"/>
          <w:szCs w:val="24"/>
        </w:rPr>
        <w:t>gánem</w:t>
      </w:r>
      <w:r w:rsidR="00BA1F29">
        <w:rPr>
          <w:rFonts w:ascii="Calibri" w:eastAsia="Calibri" w:hAnsi="Calibri" w:cs="Calibri"/>
          <w:sz w:val="24"/>
          <w:szCs w:val="24"/>
        </w:rPr>
        <w:t xml:space="preserve"> </w:t>
      </w:r>
      <w:r w:rsidRPr="001C01FB">
        <w:rPr>
          <w:rFonts w:ascii="Calibri" w:eastAsia="Calibri" w:hAnsi="Calibri" w:cs="Calibri"/>
          <w:sz w:val="24"/>
          <w:szCs w:val="24"/>
        </w:rPr>
        <w:t>státníh</w:t>
      </w:r>
      <w:r w:rsidR="00BA1F29">
        <w:rPr>
          <w:rFonts w:ascii="Calibri" w:eastAsia="Calibri" w:hAnsi="Calibri" w:cs="Calibri"/>
          <w:sz w:val="24"/>
          <w:szCs w:val="24"/>
        </w:rPr>
        <w:t>o</w:t>
      </w:r>
      <w:r w:rsidRPr="001C01FB">
        <w:rPr>
          <w:rFonts w:ascii="Calibri" w:eastAsia="Calibri" w:hAnsi="Calibri" w:cs="Calibri"/>
          <w:sz w:val="24"/>
          <w:szCs w:val="24"/>
        </w:rPr>
        <w:t xml:space="preserve"> podnik</w:t>
      </w:r>
      <w:r w:rsidR="00BA1F29">
        <w:rPr>
          <w:rFonts w:ascii="Calibri" w:eastAsia="Calibri" w:hAnsi="Calibri" w:cs="Calibri"/>
          <w:sz w:val="24"/>
          <w:szCs w:val="24"/>
        </w:rPr>
        <w:t>u</w:t>
      </w:r>
      <w:r w:rsidRPr="001C01FB">
        <w:rPr>
          <w:rFonts w:ascii="Calibri" w:eastAsia="Calibri" w:hAnsi="Calibri" w:cs="Calibri"/>
          <w:sz w:val="24"/>
          <w:szCs w:val="24"/>
        </w:rPr>
        <w:t xml:space="preserve"> je jeho </w:t>
      </w:r>
      <w:r w:rsidRPr="00CB4E40">
        <w:rPr>
          <w:rFonts w:ascii="Calibri" w:eastAsia="Calibri" w:hAnsi="Calibri" w:cs="Calibri"/>
          <w:b/>
          <w:sz w:val="24"/>
          <w:szCs w:val="24"/>
        </w:rPr>
        <w:t>ředitel</w:t>
      </w:r>
      <w:r w:rsidRPr="00A24AAD">
        <w:rPr>
          <w:rFonts w:ascii="Calibri" w:eastAsia="Calibri" w:hAnsi="Calibri" w:cs="Calibri"/>
          <w:b/>
          <w:sz w:val="24"/>
          <w:szCs w:val="24"/>
        </w:rPr>
        <w:t>.</w:t>
      </w:r>
      <w:r w:rsidRPr="001C01FB">
        <w:rPr>
          <w:rFonts w:ascii="Calibri" w:eastAsia="Calibri" w:hAnsi="Calibri" w:cs="Calibri"/>
          <w:sz w:val="24"/>
          <w:szCs w:val="24"/>
        </w:rPr>
        <w:t xml:space="preserve"> </w:t>
      </w:r>
      <w:r>
        <w:rPr>
          <w:rFonts w:ascii="Calibri" w:eastAsia="Calibri" w:hAnsi="Calibri" w:cs="Calibri"/>
          <w:sz w:val="24"/>
          <w:szCs w:val="24"/>
        </w:rPr>
        <w:t xml:space="preserve">Řídí činnost státního podniku a rozhoduje o všech jeho záležitostech, pokud nejsou vyhrazeny do působnosti zakladatele. Je povinen počínat </w:t>
      </w:r>
      <w:r w:rsidR="00E62184">
        <w:rPr>
          <w:rFonts w:ascii="Calibri" w:eastAsia="Calibri" w:hAnsi="Calibri" w:cs="Calibri"/>
          <w:sz w:val="24"/>
          <w:szCs w:val="24"/>
        </w:rPr>
        <w:t xml:space="preserve">si </w:t>
      </w:r>
      <w:r>
        <w:rPr>
          <w:rFonts w:ascii="Calibri" w:eastAsia="Calibri" w:hAnsi="Calibri" w:cs="Calibri"/>
          <w:sz w:val="24"/>
          <w:szCs w:val="24"/>
        </w:rPr>
        <w:t>s péčí řádného hospodáře. Ředitele státního podniku jmenuje a odvolává ministr průmyslu a obchodu.</w:t>
      </w:r>
    </w:p>
    <w:p w14:paraId="6B09263B" w14:textId="77777777" w:rsidR="009F33BB" w:rsidRDefault="009F33BB" w:rsidP="00BA1F29">
      <w:pPr>
        <w:spacing w:after="0"/>
        <w:jc w:val="both"/>
        <w:rPr>
          <w:sz w:val="24"/>
        </w:rPr>
      </w:pPr>
    </w:p>
    <w:p w14:paraId="590C89FC" w14:textId="77777777" w:rsidR="009F33BB" w:rsidRPr="00626081" w:rsidRDefault="009F33BB" w:rsidP="00BA1F29">
      <w:pPr>
        <w:keepNext/>
        <w:spacing w:after="0" w:line="240" w:lineRule="auto"/>
        <w:jc w:val="both"/>
        <w:rPr>
          <w:rFonts w:ascii="Calibri" w:eastAsia="Calibri" w:hAnsi="Calibri" w:cs="Calibri"/>
          <w:b/>
          <w:sz w:val="24"/>
          <w:szCs w:val="24"/>
        </w:rPr>
      </w:pPr>
      <w:r w:rsidRPr="00626081">
        <w:rPr>
          <w:rFonts w:ascii="Calibri" w:eastAsia="Calibri" w:hAnsi="Calibri" w:cs="Calibri"/>
          <w:b/>
          <w:sz w:val="24"/>
          <w:szCs w:val="24"/>
        </w:rPr>
        <w:t>Ministerstvo průmyslu a obchodu</w:t>
      </w:r>
    </w:p>
    <w:p w14:paraId="51167FC2" w14:textId="584EB465" w:rsidR="009F33BB" w:rsidRPr="00626081" w:rsidRDefault="001328DE" w:rsidP="00BA1F29">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MPO je organizační složk</w:t>
      </w:r>
      <w:r w:rsidR="00962419">
        <w:rPr>
          <w:rFonts w:ascii="Calibri" w:eastAsia="Calibri" w:hAnsi="Calibri" w:cs="Times New Roman"/>
          <w:sz w:val="24"/>
          <w:szCs w:val="24"/>
        </w:rPr>
        <w:t>ou</w:t>
      </w:r>
      <w:r>
        <w:rPr>
          <w:rFonts w:ascii="Calibri" w:eastAsia="Calibri" w:hAnsi="Calibri" w:cs="Times New Roman"/>
          <w:sz w:val="24"/>
          <w:szCs w:val="24"/>
        </w:rPr>
        <w:t xml:space="preserve"> státu a účetní jednotkou. MPO</w:t>
      </w:r>
      <w:r w:rsidR="009F33BB">
        <w:rPr>
          <w:rFonts w:ascii="Calibri" w:eastAsia="Calibri" w:hAnsi="Calibri" w:cs="Times New Roman"/>
          <w:sz w:val="24"/>
          <w:szCs w:val="24"/>
        </w:rPr>
        <w:t xml:space="preserve"> vykonává funkci</w:t>
      </w:r>
      <w:r w:rsidR="009F33BB" w:rsidRPr="00626081">
        <w:rPr>
          <w:rFonts w:ascii="Calibri" w:eastAsia="Calibri" w:hAnsi="Calibri" w:cs="Times New Roman"/>
          <w:sz w:val="24"/>
          <w:szCs w:val="24"/>
        </w:rPr>
        <w:t xml:space="preserve"> zakladatele </w:t>
      </w:r>
      <w:r w:rsidR="00863860">
        <w:rPr>
          <w:rFonts w:ascii="Calibri" w:eastAsia="Calibri" w:hAnsi="Calibri" w:cs="Times New Roman"/>
          <w:sz w:val="24"/>
          <w:szCs w:val="24"/>
        </w:rPr>
        <w:t>EZÚ a</w:t>
      </w:r>
      <w:r w:rsidR="00E62184">
        <w:rPr>
          <w:rFonts w:ascii="Calibri" w:eastAsia="Calibri" w:hAnsi="Calibri" w:cs="Times New Roman"/>
          <w:sz w:val="24"/>
          <w:szCs w:val="24"/>
        </w:rPr>
        <w:t> </w:t>
      </w:r>
      <w:r w:rsidR="00863860">
        <w:rPr>
          <w:rFonts w:ascii="Calibri" w:eastAsia="Calibri" w:hAnsi="Calibri" w:cs="Times New Roman"/>
          <w:sz w:val="24"/>
          <w:szCs w:val="24"/>
        </w:rPr>
        <w:t>TZÚS</w:t>
      </w:r>
      <w:r w:rsidR="009F33BB">
        <w:rPr>
          <w:rFonts w:ascii="Calibri" w:eastAsia="Calibri" w:hAnsi="Calibri" w:cs="Times New Roman"/>
          <w:sz w:val="24"/>
          <w:szCs w:val="24"/>
        </w:rPr>
        <w:t xml:space="preserve"> </w:t>
      </w:r>
      <w:r w:rsidR="009F33BB" w:rsidRPr="00626081">
        <w:rPr>
          <w:rFonts w:ascii="Calibri" w:eastAsia="Calibri" w:hAnsi="Calibri" w:cs="Times New Roman"/>
          <w:sz w:val="24"/>
          <w:szCs w:val="24"/>
        </w:rPr>
        <w:t>podle zákona č. 77/1997 Sb., o státním podniku</w:t>
      </w:r>
      <w:r w:rsidR="009F33BB">
        <w:rPr>
          <w:rFonts w:ascii="Calibri" w:eastAsia="Calibri" w:hAnsi="Calibri" w:cs="Times New Roman"/>
          <w:sz w:val="24"/>
          <w:szCs w:val="24"/>
        </w:rPr>
        <w:t>,</w:t>
      </w:r>
      <w:r w:rsidR="009F33BB" w:rsidRPr="00626081">
        <w:rPr>
          <w:rFonts w:ascii="Calibri" w:eastAsia="Calibri" w:hAnsi="Calibri" w:cs="Times New Roman"/>
          <w:sz w:val="24"/>
          <w:szCs w:val="24"/>
        </w:rPr>
        <w:t xml:space="preserve"> a mj.</w:t>
      </w:r>
      <w:r w:rsidR="009F33BB">
        <w:rPr>
          <w:rFonts w:ascii="Calibri" w:eastAsia="Calibri" w:hAnsi="Calibri" w:cs="Times New Roman"/>
          <w:sz w:val="24"/>
          <w:szCs w:val="24"/>
        </w:rPr>
        <w:t>:</w:t>
      </w:r>
      <w:r w:rsidR="009F33BB" w:rsidRPr="00626081">
        <w:rPr>
          <w:rFonts w:ascii="Calibri" w:eastAsia="Calibri" w:hAnsi="Calibri" w:cs="Times New Roman"/>
          <w:sz w:val="24"/>
          <w:szCs w:val="24"/>
        </w:rPr>
        <w:t xml:space="preserve"> </w:t>
      </w:r>
    </w:p>
    <w:p w14:paraId="67300EF0" w14:textId="77777777" w:rsidR="001749B3" w:rsidRDefault="001749B3" w:rsidP="009F33BB">
      <w:pPr>
        <w:numPr>
          <w:ilvl w:val="0"/>
          <w:numId w:val="1"/>
        </w:numPr>
        <w:spacing w:after="0" w:line="240" w:lineRule="auto"/>
        <w:ind w:left="284" w:hanging="284"/>
        <w:jc w:val="both"/>
        <w:rPr>
          <w:rFonts w:ascii="Calibri" w:eastAsia="Times New Roman" w:hAnsi="Calibri" w:cs="Calibri"/>
          <w:sz w:val="24"/>
          <w:szCs w:val="24"/>
        </w:rPr>
      </w:pPr>
      <w:r>
        <w:rPr>
          <w:rFonts w:ascii="Calibri" w:eastAsia="Times New Roman" w:hAnsi="Calibri" w:cs="Calibri"/>
          <w:sz w:val="24"/>
          <w:szCs w:val="24"/>
        </w:rPr>
        <w:t>jmenuje a odvolává ředitele a členy dozorčí rady,</w:t>
      </w:r>
    </w:p>
    <w:p w14:paraId="39BA08BF" w14:textId="12016611" w:rsidR="009F33BB" w:rsidRPr="00626081" w:rsidRDefault="009F33BB" w:rsidP="009F33BB">
      <w:pPr>
        <w:numPr>
          <w:ilvl w:val="0"/>
          <w:numId w:val="1"/>
        </w:numPr>
        <w:spacing w:after="0" w:line="240" w:lineRule="auto"/>
        <w:ind w:left="284" w:hanging="284"/>
        <w:jc w:val="both"/>
        <w:rPr>
          <w:rFonts w:ascii="Calibri" w:eastAsia="Times New Roman" w:hAnsi="Calibri" w:cs="Calibri"/>
          <w:sz w:val="24"/>
          <w:szCs w:val="24"/>
        </w:rPr>
      </w:pPr>
      <w:r w:rsidRPr="00626081">
        <w:rPr>
          <w:rFonts w:ascii="Calibri" w:eastAsia="Times New Roman" w:hAnsi="Calibri" w:cs="Calibri"/>
          <w:sz w:val="24"/>
          <w:szCs w:val="24"/>
        </w:rPr>
        <w:t>schvaluje jednací řád dozorčí rady, stanoví počet jej</w:t>
      </w:r>
      <w:r w:rsidR="00EC3743">
        <w:rPr>
          <w:rFonts w:ascii="Calibri" w:eastAsia="Times New Roman" w:hAnsi="Calibri" w:cs="Calibri"/>
          <w:sz w:val="24"/>
          <w:szCs w:val="24"/>
        </w:rPr>
        <w:t>í</w:t>
      </w:r>
      <w:r w:rsidRPr="00626081">
        <w:rPr>
          <w:rFonts w:ascii="Calibri" w:eastAsia="Times New Roman" w:hAnsi="Calibri" w:cs="Calibri"/>
          <w:sz w:val="24"/>
          <w:szCs w:val="24"/>
        </w:rPr>
        <w:t>ch členů, délku funkčního období a</w:t>
      </w:r>
      <w:r>
        <w:rPr>
          <w:rFonts w:ascii="Calibri" w:eastAsia="Times New Roman" w:hAnsi="Calibri" w:cs="Calibri"/>
          <w:sz w:val="24"/>
          <w:szCs w:val="24"/>
        </w:rPr>
        <w:t> </w:t>
      </w:r>
      <w:r w:rsidRPr="00626081">
        <w:rPr>
          <w:rFonts w:ascii="Calibri" w:eastAsia="Times New Roman" w:hAnsi="Calibri" w:cs="Calibri"/>
          <w:sz w:val="24"/>
          <w:szCs w:val="24"/>
        </w:rPr>
        <w:t>minimální počet schůzí za rok,</w:t>
      </w:r>
    </w:p>
    <w:p w14:paraId="30EE4F05" w14:textId="77777777" w:rsidR="009F33BB" w:rsidRPr="00626081" w:rsidRDefault="009F33BB" w:rsidP="009F33BB">
      <w:pPr>
        <w:numPr>
          <w:ilvl w:val="0"/>
          <w:numId w:val="1"/>
        </w:numPr>
        <w:spacing w:after="0" w:line="240" w:lineRule="auto"/>
        <w:ind w:left="284" w:hanging="284"/>
        <w:jc w:val="both"/>
        <w:rPr>
          <w:rFonts w:ascii="Calibri" w:eastAsia="Times New Roman" w:hAnsi="Calibri" w:cs="Calibri"/>
          <w:sz w:val="24"/>
          <w:szCs w:val="24"/>
        </w:rPr>
      </w:pPr>
      <w:r w:rsidRPr="00626081">
        <w:rPr>
          <w:rFonts w:ascii="Calibri" w:eastAsia="Times New Roman" w:hAnsi="Calibri" w:cs="Calibri"/>
          <w:sz w:val="24"/>
          <w:szCs w:val="24"/>
        </w:rPr>
        <w:t>má povinnost vymezit v příloze zakládací listiny určený majetek včetně jeho položkové specifikace,</w:t>
      </w:r>
    </w:p>
    <w:p w14:paraId="415A3F2B" w14:textId="77777777" w:rsidR="009F33BB" w:rsidRPr="00626081" w:rsidRDefault="009F33BB" w:rsidP="009F33BB">
      <w:pPr>
        <w:numPr>
          <w:ilvl w:val="0"/>
          <w:numId w:val="1"/>
        </w:numPr>
        <w:spacing w:after="0" w:line="240" w:lineRule="auto"/>
        <w:ind w:left="284" w:hanging="284"/>
        <w:jc w:val="both"/>
        <w:rPr>
          <w:rFonts w:ascii="Calibri" w:eastAsia="Times New Roman" w:hAnsi="Calibri" w:cs="Calibri"/>
          <w:sz w:val="24"/>
          <w:szCs w:val="24"/>
        </w:rPr>
      </w:pPr>
      <w:r w:rsidRPr="00626081">
        <w:rPr>
          <w:rFonts w:ascii="Calibri" w:eastAsia="Times New Roman" w:hAnsi="Calibri" w:cs="Calibri"/>
          <w:sz w:val="24"/>
          <w:szCs w:val="24"/>
        </w:rPr>
        <w:t>může měnit zakládací listinu s výjimkou odnětí majetku, s nímž má podnik právo hospodařit k okamžiku svého založení nebo k okamžiku zápisu změny zakládací listiny do obchodního rejstříku,</w:t>
      </w:r>
    </w:p>
    <w:p w14:paraId="3E3631FB" w14:textId="77777777" w:rsidR="009F33BB" w:rsidRPr="00626081" w:rsidRDefault="009F33BB" w:rsidP="009F33BB">
      <w:pPr>
        <w:numPr>
          <w:ilvl w:val="0"/>
          <w:numId w:val="1"/>
        </w:numPr>
        <w:spacing w:after="0" w:line="240" w:lineRule="auto"/>
        <w:ind w:left="284" w:hanging="284"/>
        <w:jc w:val="both"/>
        <w:rPr>
          <w:rFonts w:ascii="Calibri" w:eastAsia="Times New Roman" w:hAnsi="Calibri" w:cs="Calibri"/>
          <w:sz w:val="24"/>
          <w:szCs w:val="24"/>
        </w:rPr>
      </w:pPr>
      <w:r w:rsidRPr="00626081">
        <w:rPr>
          <w:rFonts w:ascii="Calibri" w:eastAsia="Times New Roman" w:hAnsi="Calibri" w:cs="Calibri"/>
          <w:sz w:val="24"/>
          <w:szCs w:val="24"/>
        </w:rPr>
        <w:t>má povinnost kontrolovat, zda potřeby státu, které podnik svou podnikatelskou činností zabezpečuje, jsou zajišťovány účelně a hospodárně,</w:t>
      </w:r>
    </w:p>
    <w:p w14:paraId="40285076" w14:textId="77777777" w:rsidR="009F33BB" w:rsidRPr="00626081" w:rsidRDefault="009F33BB" w:rsidP="009F33BB">
      <w:pPr>
        <w:numPr>
          <w:ilvl w:val="0"/>
          <w:numId w:val="1"/>
        </w:numPr>
        <w:spacing w:after="0" w:line="240" w:lineRule="auto"/>
        <w:ind w:left="284" w:hanging="284"/>
        <w:jc w:val="both"/>
        <w:rPr>
          <w:rFonts w:ascii="Calibri" w:eastAsia="Times New Roman" w:hAnsi="Calibri" w:cs="Calibri"/>
          <w:sz w:val="24"/>
          <w:szCs w:val="24"/>
        </w:rPr>
      </w:pPr>
      <w:r w:rsidRPr="00626081">
        <w:rPr>
          <w:rFonts w:ascii="Calibri" w:eastAsia="Times New Roman" w:hAnsi="Calibri" w:cs="Calibri"/>
          <w:sz w:val="24"/>
          <w:szCs w:val="24"/>
        </w:rPr>
        <w:t>schvaluje účetní závěrku a výroční zprávu, rozhoduje o rozdělení použitelného zisku,</w:t>
      </w:r>
    </w:p>
    <w:p w14:paraId="65A39662" w14:textId="77777777" w:rsidR="009F33BB" w:rsidRPr="00626081" w:rsidRDefault="009F33BB" w:rsidP="009F33BB">
      <w:pPr>
        <w:numPr>
          <w:ilvl w:val="0"/>
          <w:numId w:val="1"/>
        </w:numPr>
        <w:spacing w:after="0" w:line="240" w:lineRule="auto"/>
        <w:ind w:left="284" w:hanging="284"/>
        <w:jc w:val="both"/>
        <w:rPr>
          <w:rFonts w:ascii="Calibri" w:eastAsia="Times New Roman" w:hAnsi="Calibri" w:cs="Calibri"/>
          <w:sz w:val="24"/>
          <w:szCs w:val="24"/>
        </w:rPr>
      </w:pPr>
      <w:r w:rsidRPr="00626081">
        <w:rPr>
          <w:rFonts w:ascii="Calibri" w:eastAsia="Times New Roman" w:hAnsi="Calibri" w:cs="Calibri"/>
          <w:sz w:val="24"/>
          <w:szCs w:val="24"/>
        </w:rPr>
        <w:t>dohlíží na řádný výkon práva hospodařit s majetkem státu, zejména na hospodárné, účelné a efektivní využívání tohoto majetku při provozování podnikatelské činnosti, a kontroluje, jak podnik s tímto majetkem nakládá.</w:t>
      </w:r>
    </w:p>
    <w:p w14:paraId="5F0EB6B7" w14:textId="52846BD0" w:rsidR="009136CD" w:rsidRDefault="009136CD" w:rsidP="009F33BB">
      <w:pPr>
        <w:spacing w:after="0"/>
        <w:jc w:val="both"/>
        <w:rPr>
          <w:sz w:val="24"/>
        </w:rPr>
      </w:pPr>
    </w:p>
    <w:p w14:paraId="0EEEDFF7" w14:textId="77777777" w:rsidR="00EC3743" w:rsidRDefault="00EC3743">
      <w:pPr>
        <w:rPr>
          <w:b/>
          <w:sz w:val="28"/>
        </w:rPr>
      </w:pPr>
      <w:r>
        <w:rPr>
          <w:b/>
          <w:sz w:val="28"/>
        </w:rPr>
        <w:br w:type="page"/>
      </w:r>
    </w:p>
    <w:p w14:paraId="5E1C40BE" w14:textId="51679C95" w:rsidR="00BA1F29" w:rsidRPr="001C147E" w:rsidRDefault="009136CD" w:rsidP="001C147E">
      <w:pPr>
        <w:spacing w:after="0"/>
        <w:jc w:val="center"/>
        <w:rPr>
          <w:b/>
          <w:sz w:val="28"/>
        </w:rPr>
      </w:pPr>
      <w:r>
        <w:rPr>
          <w:b/>
          <w:sz w:val="28"/>
        </w:rPr>
        <w:lastRenderedPageBreak/>
        <w:t>I</w:t>
      </w:r>
      <w:r w:rsidR="00BA1F29" w:rsidRPr="001C147E">
        <w:rPr>
          <w:b/>
          <w:sz w:val="28"/>
        </w:rPr>
        <w:t>II. Rozsah kontroly</w:t>
      </w:r>
    </w:p>
    <w:p w14:paraId="7CEC90B0" w14:textId="77777777" w:rsidR="00BA1F29" w:rsidRDefault="00BA1F29" w:rsidP="009F33BB">
      <w:pPr>
        <w:spacing w:after="0"/>
        <w:jc w:val="both"/>
        <w:rPr>
          <w:sz w:val="24"/>
        </w:rPr>
      </w:pPr>
    </w:p>
    <w:p w14:paraId="1A779DB6" w14:textId="13C6D069" w:rsidR="00BA1F29" w:rsidRDefault="00BA1F29" w:rsidP="00BA1F29">
      <w:pPr>
        <w:spacing w:after="0"/>
        <w:jc w:val="both"/>
        <w:rPr>
          <w:sz w:val="24"/>
          <w:lang w:eastAsia="cs-CZ"/>
        </w:rPr>
      </w:pPr>
      <w:r w:rsidRPr="000A6E21">
        <w:rPr>
          <w:sz w:val="24"/>
          <w:lang w:eastAsia="cs-CZ"/>
        </w:rPr>
        <w:t>Cílem kontroly</w:t>
      </w:r>
      <w:r>
        <w:rPr>
          <w:sz w:val="24"/>
          <w:lang w:eastAsia="cs-CZ"/>
        </w:rPr>
        <w:t xml:space="preserve"> bylo prověřit, zda MPO</w:t>
      </w:r>
      <w:r w:rsidRPr="000A6E21">
        <w:rPr>
          <w:sz w:val="24"/>
          <w:lang w:eastAsia="cs-CZ"/>
        </w:rPr>
        <w:t xml:space="preserve"> </w:t>
      </w:r>
      <w:r>
        <w:rPr>
          <w:sz w:val="24"/>
          <w:lang w:eastAsia="cs-CZ"/>
        </w:rPr>
        <w:t xml:space="preserve">plní řádně funkci zakladatele zkušebních ústavů a zda vybrané zkušební ústavy postupují při výkonu práva hospodařit s majetkem a peněžními prostředky státu hospodárně a v souladu s právními předpisy. Vybranými zkušebními ústavy </w:t>
      </w:r>
      <w:r w:rsidR="001328DE">
        <w:rPr>
          <w:sz w:val="24"/>
          <w:lang w:eastAsia="cs-CZ"/>
        </w:rPr>
        <w:t xml:space="preserve">byly </w:t>
      </w:r>
      <w:r>
        <w:rPr>
          <w:sz w:val="24"/>
          <w:lang w:eastAsia="cs-CZ"/>
        </w:rPr>
        <w:t>Elektrotechnický zkušební ústav, s. p.</w:t>
      </w:r>
      <w:r w:rsidR="00EC3743">
        <w:rPr>
          <w:sz w:val="24"/>
          <w:lang w:eastAsia="cs-CZ"/>
        </w:rPr>
        <w:t>,</w:t>
      </w:r>
      <w:r>
        <w:rPr>
          <w:sz w:val="24"/>
          <w:lang w:eastAsia="cs-CZ"/>
        </w:rPr>
        <w:t xml:space="preserve"> a Technický a zkušební ústav stavební Praha, s.p. Oba zkušební ústavy mají právní formu státní</w:t>
      </w:r>
      <w:r w:rsidR="00EC3743">
        <w:rPr>
          <w:sz w:val="24"/>
          <w:lang w:eastAsia="cs-CZ"/>
        </w:rPr>
        <w:t>ho</w:t>
      </w:r>
      <w:r>
        <w:rPr>
          <w:sz w:val="24"/>
          <w:lang w:eastAsia="cs-CZ"/>
        </w:rPr>
        <w:t xml:space="preserve"> podnik</w:t>
      </w:r>
      <w:r w:rsidR="00EC3743">
        <w:rPr>
          <w:sz w:val="24"/>
          <w:lang w:eastAsia="cs-CZ"/>
        </w:rPr>
        <w:t>u</w:t>
      </w:r>
      <w:r>
        <w:rPr>
          <w:sz w:val="24"/>
          <w:lang w:eastAsia="cs-CZ"/>
        </w:rPr>
        <w:t>.</w:t>
      </w:r>
    </w:p>
    <w:p w14:paraId="79EA06A3" w14:textId="77777777" w:rsidR="00BA1F29" w:rsidRDefault="00BA1F29" w:rsidP="00BA1F29">
      <w:pPr>
        <w:spacing w:after="0"/>
        <w:jc w:val="both"/>
        <w:rPr>
          <w:sz w:val="24"/>
          <w:lang w:eastAsia="cs-CZ"/>
        </w:rPr>
      </w:pPr>
    </w:p>
    <w:p w14:paraId="220D8BE9" w14:textId="5AB55179" w:rsidR="00BA1F29" w:rsidRDefault="00BA1F29" w:rsidP="00BA1F29">
      <w:pPr>
        <w:spacing w:after="0"/>
        <w:jc w:val="both"/>
        <w:rPr>
          <w:sz w:val="24"/>
          <w:lang w:eastAsia="cs-CZ"/>
        </w:rPr>
      </w:pPr>
      <w:r>
        <w:rPr>
          <w:sz w:val="24"/>
          <w:lang w:eastAsia="cs-CZ"/>
        </w:rPr>
        <w:t>U MPO bylo kontrole podrobeno plnění povinností vyplývající</w:t>
      </w:r>
      <w:r w:rsidR="00EC3743">
        <w:rPr>
          <w:sz w:val="24"/>
          <w:lang w:eastAsia="cs-CZ"/>
        </w:rPr>
        <w:t>ch</w:t>
      </w:r>
      <w:r>
        <w:rPr>
          <w:sz w:val="24"/>
          <w:lang w:eastAsia="cs-CZ"/>
        </w:rPr>
        <w:t xml:space="preserve"> z</w:t>
      </w:r>
      <w:r w:rsidR="00EC3743">
        <w:rPr>
          <w:sz w:val="24"/>
          <w:lang w:eastAsia="cs-CZ"/>
        </w:rPr>
        <w:t xml:space="preserve"> </w:t>
      </w:r>
      <w:r>
        <w:rPr>
          <w:sz w:val="24"/>
          <w:lang w:eastAsia="cs-CZ"/>
        </w:rPr>
        <w:t>funkce zakladatele výše uvedených státních podniků podle zákona č. 77/1997 Sb.</w:t>
      </w:r>
    </w:p>
    <w:p w14:paraId="7CBD244F" w14:textId="77777777" w:rsidR="00BA1F29" w:rsidRDefault="00BA1F29" w:rsidP="00BA1F29">
      <w:pPr>
        <w:spacing w:after="0"/>
        <w:jc w:val="both"/>
        <w:rPr>
          <w:sz w:val="24"/>
          <w:lang w:eastAsia="cs-CZ"/>
        </w:rPr>
      </w:pPr>
    </w:p>
    <w:p w14:paraId="7F26F384" w14:textId="4784956E" w:rsidR="00BA1F29" w:rsidRDefault="00BA1F29" w:rsidP="00BA1F29">
      <w:pPr>
        <w:spacing w:after="0"/>
        <w:jc w:val="both"/>
        <w:rPr>
          <w:sz w:val="24"/>
          <w:lang w:eastAsia="cs-CZ"/>
        </w:rPr>
      </w:pPr>
      <w:r>
        <w:rPr>
          <w:sz w:val="24"/>
          <w:lang w:eastAsia="cs-CZ"/>
        </w:rPr>
        <w:t>U EZÚ a TZÚS byla kontrola zaměřena na hospodaření s</w:t>
      </w:r>
      <w:r w:rsidR="00EC3743">
        <w:rPr>
          <w:sz w:val="24"/>
          <w:lang w:eastAsia="cs-CZ"/>
        </w:rPr>
        <w:t xml:space="preserve"> </w:t>
      </w:r>
      <w:r>
        <w:rPr>
          <w:sz w:val="24"/>
          <w:lang w:eastAsia="cs-CZ"/>
        </w:rPr>
        <w:t>majetkem a peněžními prostředky státu</w:t>
      </w:r>
      <w:r w:rsidR="001C147E">
        <w:rPr>
          <w:sz w:val="24"/>
          <w:lang w:eastAsia="cs-CZ"/>
        </w:rPr>
        <w:t>,</w:t>
      </w:r>
      <w:r>
        <w:rPr>
          <w:sz w:val="24"/>
          <w:lang w:eastAsia="cs-CZ"/>
        </w:rPr>
        <w:t xml:space="preserve"> s nimiž hospodaří vybrané státní podniky, zejména zda </w:t>
      </w:r>
      <w:r w:rsidR="001328DE">
        <w:rPr>
          <w:sz w:val="24"/>
          <w:lang w:eastAsia="cs-CZ"/>
        </w:rPr>
        <w:t xml:space="preserve">nakládají </w:t>
      </w:r>
      <w:r>
        <w:rPr>
          <w:sz w:val="24"/>
          <w:lang w:eastAsia="cs-CZ"/>
        </w:rPr>
        <w:t>s</w:t>
      </w:r>
      <w:r w:rsidR="00EC3743">
        <w:rPr>
          <w:sz w:val="24"/>
          <w:lang w:eastAsia="cs-CZ"/>
        </w:rPr>
        <w:t xml:space="preserve"> </w:t>
      </w:r>
      <w:r>
        <w:rPr>
          <w:sz w:val="24"/>
          <w:lang w:eastAsia="cs-CZ"/>
        </w:rPr>
        <w:t>majetkem s</w:t>
      </w:r>
      <w:r w:rsidR="00E46448">
        <w:rPr>
          <w:sz w:val="24"/>
          <w:lang w:eastAsia="cs-CZ"/>
        </w:rPr>
        <w:t>t</w:t>
      </w:r>
      <w:r>
        <w:rPr>
          <w:sz w:val="24"/>
          <w:lang w:eastAsia="cs-CZ"/>
        </w:rPr>
        <w:t>átu hospodárně a</w:t>
      </w:r>
      <w:r w:rsidR="009040F6">
        <w:rPr>
          <w:sz w:val="24"/>
          <w:lang w:eastAsia="cs-CZ"/>
        </w:rPr>
        <w:t> </w:t>
      </w:r>
      <w:r>
        <w:rPr>
          <w:sz w:val="24"/>
          <w:lang w:eastAsia="cs-CZ"/>
        </w:rPr>
        <w:t>v</w:t>
      </w:r>
      <w:r w:rsidR="009040F6">
        <w:rPr>
          <w:sz w:val="24"/>
          <w:lang w:eastAsia="cs-CZ"/>
        </w:rPr>
        <w:t> </w:t>
      </w:r>
      <w:r>
        <w:rPr>
          <w:sz w:val="24"/>
          <w:lang w:eastAsia="cs-CZ"/>
        </w:rPr>
        <w:t>souladu s právními předpisy.</w:t>
      </w:r>
    </w:p>
    <w:p w14:paraId="145902DF" w14:textId="77777777" w:rsidR="00BA1F29" w:rsidRDefault="00BA1F29" w:rsidP="00BA1F29">
      <w:pPr>
        <w:spacing w:after="0"/>
        <w:jc w:val="both"/>
        <w:rPr>
          <w:sz w:val="24"/>
          <w:lang w:eastAsia="cs-CZ"/>
        </w:rPr>
      </w:pPr>
    </w:p>
    <w:p w14:paraId="35CFD87D" w14:textId="06264A25" w:rsidR="003346C9" w:rsidRDefault="003346C9" w:rsidP="00BA1F29">
      <w:pPr>
        <w:spacing w:after="0"/>
        <w:jc w:val="both"/>
        <w:rPr>
          <w:sz w:val="24"/>
          <w:lang w:eastAsia="cs-CZ"/>
        </w:rPr>
      </w:pPr>
      <w:r>
        <w:rPr>
          <w:sz w:val="24"/>
          <w:lang w:eastAsia="cs-CZ"/>
        </w:rPr>
        <w:t>Při kontrole hospodárnosti se NKÚ zaměřil na posouzení vynaložených peněžních prostředků na provoz státních podniků a při nákup</w:t>
      </w:r>
      <w:r w:rsidR="00863860">
        <w:rPr>
          <w:sz w:val="24"/>
          <w:lang w:eastAsia="cs-CZ"/>
        </w:rPr>
        <w:t>ech</w:t>
      </w:r>
      <w:r>
        <w:rPr>
          <w:sz w:val="24"/>
          <w:lang w:eastAsia="cs-CZ"/>
        </w:rPr>
        <w:t xml:space="preserve"> movitého majetku</w:t>
      </w:r>
      <w:r w:rsidR="0090453F">
        <w:rPr>
          <w:sz w:val="24"/>
          <w:lang w:eastAsia="cs-CZ"/>
        </w:rPr>
        <w:t>.</w:t>
      </w:r>
      <w:r w:rsidR="003D1368">
        <w:rPr>
          <w:sz w:val="24"/>
          <w:lang w:eastAsia="cs-CZ"/>
        </w:rPr>
        <w:t xml:space="preserve"> Za hospodárn</w:t>
      </w:r>
      <w:r w:rsidR="00EC3743">
        <w:rPr>
          <w:sz w:val="24"/>
          <w:lang w:eastAsia="cs-CZ"/>
        </w:rPr>
        <w:t>é</w:t>
      </w:r>
      <w:r w:rsidR="003D1368">
        <w:rPr>
          <w:sz w:val="24"/>
          <w:lang w:eastAsia="cs-CZ"/>
        </w:rPr>
        <w:t xml:space="preserve"> považuje NKÚ takové použití peněžních prostředků, které </w:t>
      </w:r>
      <w:r w:rsidR="0090453F">
        <w:rPr>
          <w:sz w:val="24"/>
          <w:lang w:eastAsia="cs-CZ"/>
        </w:rPr>
        <w:t>zajistí provoz a nákupy státních podniků s nejnižším vynaložením těchto prostředků při zajištění odpovídající kvalit</w:t>
      </w:r>
      <w:r w:rsidR="002D09FA">
        <w:rPr>
          <w:sz w:val="24"/>
          <w:lang w:eastAsia="cs-CZ"/>
        </w:rPr>
        <w:t>y</w:t>
      </w:r>
      <w:r w:rsidR="0090453F">
        <w:rPr>
          <w:sz w:val="24"/>
          <w:lang w:eastAsia="cs-CZ"/>
        </w:rPr>
        <w:t xml:space="preserve"> plnění</w:t>
      </w:r>
      <w:r>
        <w:rPr>
          <w:sz w:val="24"/>
          <w:lang w:eastAsia="cs-CZ"/>
        </w:rPr>
        <w:t>.</w:t>
      </w:r>
    </w:p>
    <w:p w14:paraId="01B10516" w14:textId="77777777" w:rsidR="0090453F" w:rsidRDefault="0090453F" w:rsidP="00BA1F29">
      <w:pPr>
        <w:spacing w:after="0"/>
        <w:jc w:val="both"/>
        <w:rPr>
          <w:sz w:val="24"/>
          <w:lang w:eastAsia="cs-CZ"/>
        </w:rPr>
      </w:pPr>
    </w:p>
    <w:p w14:paraId="7F1CD004" w14:textId="77777777" w:rsidR="0090453F" w:rsidRDefault="0090453F" w:rsidP="00BA1F29">
      <w:pPr>
        <w:spacing w:after="0"/>
        <w:jc w:val="both"/>
        <w:rPr>
          <w:sz w:val="24"/>
          <w:lang w:eastAsia="cs-CZ"/>
        </w:rPr>
      </w:pPr>
      <w:r>
        <w:rPr>
          <w:sz w:val="24"/>
          <w:lang w:eastAsia="cs-CZ"/>
        </w:rPr>
        <w:t>Za účelné považuje NKÚ takové použití peněžních prostředků, které zajistí optimální využití peněžních prostředků pro plnění účelu, který je státním podnikům stanoven zakládací listinou.</w:t>
      </w:r>
    </w:p>
    <w:p w14:paraId="0F651E0C" w14:textId="77777777" w:rsidR="003346C9" w:rsidRDefault="003346C9" w:rsidP="00BA1F29">
      <w:pPr>
        <w:spacing w:after="0"/>
        <w:jc w:val="both"/>
        <w:rPr>
          <w:sz w:val="24"/>
          <w:lang w:eastAsia="cs-CZ"/>
        </w:rPr>
      </w:pPr>
    </w:p>
    <w:p w14:paraId="353E6ED4" w14:textId="05F72378" w:rsidR="00BA1F29" w:rsidRDefault="00BA1F29" w:rsidP="00BA1F29">
      <w:pPr>
        <w:spacing w:after="0"/>
        <w:jc w:val="both"/>
        <w:rPr>
          <w:sz w:val="24"/>
          <w:lang w:eastAsia="cs-CZ"/>
        </w:rPr>
      </w:pPr>
      <w:r>
        <w:rPr>
          <w:sz w:val="24"/>
          <w:lang w:eastAsia="cs-CZ"/>
        </w:rPr>
        <w:t>Kontrolovaný objem u EZÚ byl stanoven</w:t>
      </w:r>
      <w:r w:rsidR="001328DE">
        <w:rPr>
          <w:sz w:val="24"/>
          <w:lang w:eastAsia="cs-CZ"/>
        </w:rPr>
        <w:t xml:space="preserve"> NKÚ</w:t>
      </w:r>
      <w:r>
        <w:rPr>
          <w:sz w:val="24"/>
          <w:lang w:eastAsia="cs-CZ"/>
        </w:rPr>
        <w:t xml:space="preserve"> na 24</w:t>
      </w:r>
      <w:r w:rsidR="00863860">
        <w:rPr>
          <w:sz w:val="24"/>
          <w:lang w:eastAsia="cs-CZ"/>
        </w:rPr>
        <w:t xml:space="preserve">4 </w:t>
      </w:r>
      <w:r>
        <w:rPr>
          <w:sz w:val="24"/>
          <w:lang w:eastAsia="cs-CZ"/>
        </w:rPr>
        <w:t xml:space="preserve">mil. Kč jako součet pořizovací ceny určeného majetku ke dni 31. prosince 2023, pořizovací ceny dlouhodobého finančního majetku, </w:t>
      </w:r>
      <w:r w:rsidRPr="00BC4EC6">
        <w:rPr>
          <w:sz w:val="24"/>
          <w:lang w:eastAsia="cs-CZ"/>
        </w:rPr>
        <w:t>jmenovité hodnoty kontrolovaného vzorku pohledávek po splatnosti, výdajů na pořízení kontrolovaného vzorku zkušebních zařízení, výdajů na záměr výstavby provozního objektu s objektem komory EMC zahrnující</w:t>
      </w:r>
      <w:r w:rsidR="00EC3743">
        <w:rPr>
          <w:sz w:val="24"/>
          <w:lang w:eastAsia="cs-CZ"/>
        </w:rPr>
        <w:t>ch</w:t>
      </w:r>
      <w:r w:rsidRPr="00BC4EC6">
        <w:rPr>
          <w:sz w:val="24"/>
          <w:lang w:eastAsia="cs-CZ"/>
        </w:rPr>
        <w:t xml:space="preserve"> rovněž výdaje na fyzickou likvidaci budovy C1, výdajů na rekonstrukci budovy M1, nákladů na právní služby a subdodávky v letech 2019 až 2023.</w:t>
      </w:r>
    </w:p>
    <w:p w14:paraId="372E84E5" w14:textId="77777777" w:rsidR="00BA1F29" w:rsidRDefault="00BA1F29" w:rsidP="00BA1F29">
      <w:pPr>
        <w:spacing w:after="0"/>
        <w:jc w:val="both"/>
        <w:rPr>
          <w:sz w:val="24"/>
          <w:lang w:eastAsia="cs-CZ"/>
        </w:rPr>
      </w:pPr>
    </w:p>
    <w:p w14:paraId="0EAD22C8" w14:textId="1B8C1F29" w:rsidR="00BA1F29" w:rsidRDefault="00BA1F29" w:rsidP="00BA1F29">
      <w:pPr>
        <w:spacing w:after="0"/>
        <w:jc w:val="both"/>
        <w:rPr>
          <w:sz w:val="24"/>
          <w:lang w:eastAsia="cs-CZ"/>
        </w:rPr>
      </w:pPr>
      <w:r>
        <w:rPr>
          <w:sz w:val="24"/>
          <w:lang w:eastAsia="cs-CZ"/>
        </w:rPr>
        <w:t>Kontrolovaný objem u TZÚS byl stanoven</w:t>
      </w:r>
      <w:r w:rsidR="001328DE">
        <w:rPr>
          <w:sz w:val="24"/>
          <w:lang w:eastAsia="cs-CZ"/>
        </w:rPr>
        <w:t xml:space="preserve"> NKÚ</w:t>
      </w:r>
      <w:r>
        <w:rPr>
          <w:sz w:val="24"/>
          <w:lang w:eastAsia="cs-CZ"/>
        </w:rPr>
        <w:t xml:space="preserve"> na 477 mil. Kč jako součet majetku a peněžních prostředků vykazovaný v účetní závěrce ke dni 31. prosince 2023. </w:t>
      </w:r>
      <w:r w:rsidRPr="00BC4EC6">
        <w:rPr>
          <w:sz w:val="24"/>
          <w:lang w:eastAsia="cs-CZ"/>
        </w:rPr>
        <w:t xml:space="preserve">Z toho </w:t>
      </w:r>
      <w:r w:rsidR="00863860">
        <w:rPr>
          <w:sz w:val="24"/>
          <w:lang w:eastAsia="cs-CZ"/>
        </w:rPr>
        <w:t>tvořil</w:t>
      </w:r>
      <w:r w:rsidRPr="00BC4EC6">
        <w:rPr>
          <w:sz w:val="24"/>
          <w:lang w:eastAsia="cs-CZ"/>
        </w:rPr>
        <w:t xml:space="preserve"> dlouhodobý hmotný majetek ve výši 258 mil. Kč, finanční majetek ve výši 89 mil. Kč a peněžní prostředky ve výši 80 mil. Kč.</w:t>
      </w:r>
    </w:p>
    <w:p w14:paraId="231C011D" w14:textId="77777777" w:rsidR="00BA1F29" w:rsidRDefault="00BA1F29" w:rsidP="00BA1F29">
      <w:pPr>
        <w:spacing w:after="0"/>
        <w:jc w:val="both"/>
        <w:rPr>
          <w:sz w:val="24"/>
          <w:lang w:eastAsia="cs-CZ"/>
        </w:rPr>
      </w:pPr>
    </w:p>
    <w:p w14:paraId="3390ECAE" w14:textId="699435F8" w:rsidR="00445A09" w:rsidRDefault="00445A09" w:rsidP="00BA1F29">
      <w:pPr>
        <w:spacing w:after="0"/>
        <w:jc w:val="both"/>
        <w:rPr>
          <w:sz w:val="24"/>
          <w:lang w:eastAsia="cs-CZ"/>
        </w:rPr>
      </w:pPr>
      <w:r>
        <w:rPr>
          <w:sz w:val="24"/>
          <w:lang w:eastAsia="cs-CZ"/>
        </w:rPr>
        <w:t>Kontrolovaným obdobím byly roky 2019 až 2024, v</w:t>
      </w:r>
      <w:r w:rsidR="00A77F61">
        <w:rPr>
          <w:sz w:val="24"/>
          <w:lang w:eastAsia="cs-CZ"/>
        </w:rPr>
        <w:t xml:space="preserve"> </w:t>
      </w:r>
      <w:r>
        <w:rPr>
          <w:sz w:val="24"/>
          <w:lang w:eastAsia="cs-CZ"/>
        </w:rPr>
        <w:t>případě věcných souvislostí i období předcházející.</w:t>
      </w:r>
    </w:p>
    <w:p w14:paraId="59D4A0CE" w14:textId="77777777" w:rsidR="00BA1F29" w:rsidRDefault="00BA1F29" w:rsidP="00BA1F29">
      <w:pPr>
        <w:spacing w:after="0"/>
        <w:jc w:val="both"/>
        <w:rPr>
          <w:sz w:val="24"/>
          <w:lang w:eastAsia="cs-CZ"/>
        </w:rPr>
      </w:pPr>
    </w:p>
    <w:p w14:paraId="4D29F79F" w14:textId="77777777" w:rsidR="00BA1F29" w:rsidRDefault="00BA1F29" w:rsidP="00BA1F29">
      <w:pPr>
        <w:spacing w:after="0" w:line="240" w:lineRule="auto"/>
        <w:ind w:left="567" w:hanging="567"/>
        <w:jc w:val="both"/>
        <w:rPr>
          <w:rFonts w:cstheme="minorHAnsi"/>
          <w:sz w:val="20"/>
          <w:szCs w:val="20"/>
        </w:rPr>
      </w:pPr>
      <w:bookmarkStart w:id="4" w:name="_Hlk177396515"/>
      <w:r w:rsidRPr="00891AA7">
        <w:rPr>
          <w:rFonts w:cstheme="minorHAnsi"/>
          <w:b/>
          <w:sz w:val="20"/>
          <w:szCs w:val="20"/>
        </w:rPr>
        <w:t>Pozn.:</w:t>
      </w:r>
      <w:r w:rsidRPr="00891AA7">
        <w:rPr>
          <w:rFonts w:cstheme="minorHAnsi"/>
          <w:sz w:val="20"/>
          <w:szCs w:val="20"/>
        </w:rPr>
        <w:tab/>
        <w:t>Právní předpisy uvedené v tomto kontrolním závěru jsou aplikovány ve znění účinném pro kontrolované období.</w:t>
      </w:r>
    </w:p>
    <w:bookmarkEnd w:id="4"/>
    <w:p w14:paraId="02B2C02E" w14:textId="77777777" w:rsidR="009040F6" w:rsidRDefault="009040F6">
      <w:pPr>
        <w:rPr>
          <w:b/>
          <w:sz w:val="28"/>
        </w:rPr>
      </w:pPr>
      <w:r>
        <w:rPr>
          <w:b/>
          <w:sz w:val="28"/>
        </w:rPr>
        <w:br w:type="page"/>
      </w:r>
    </w:p>
    <w:p w14:paraId="5931BBBA" w14:textId="4C7A1635" w:rsidR="007B64C5" w:rsidRPr="007B64C5" w:rsidRDefault="007B64C5" w:rsidP="007B64C5">
      <w:pPr>
        <w:spacing w:after="0"/>
        <w:jc w:val="center"/>
        <w:rPr>
          <w:b/>
          <w:sz w:val="28"/>
        </w:rPr>
      </w:pPr>
      <w:r w:rsidRPr="007B64C5">
        <w:rPr>
          <w:b/>
          <w:sz w:val="28"/>
        </w:rPr>
        <w:lastRenderedPageBreak/>
        <w:t>IV. Podrobné skutečnosti zjištěné kontrolou</w:t>
      </w:r>
    </w:p>
    <w:p w14:paraId="63FBB97E" w14:textId="77777777" w:rsidR="007B64C5" w:rsidRPr="007B64C5" w:rsidRDefault="007B64C5" w:rsidP="007B64C5">
      <w:pPr>
        <w:rPr>
          <w:sz w:val="24"/>
        </w:rPr>
      </w:pPr>
    </w:p>
    <w:p w14:paraId="672DAC17" w14:textId="5975A748" w:rsidR="00BA6900" w:rsidRDefault="00BA6900" w:rsidP="00BA6900">
      <w:pPr>
        <w:spacing w:after="0"/>
        <w:jc w:val="both"/>
        <w:rPr>
          <w:b/>
          <w:sz w:val="24"/>
        </w:rPr>
      </w:pPr>
      <w:r>
        <w:rPr>
          <w:b/>
          <w:sz w:val="24"/>
        </w:rPr>
        <w:t>1. Kontrolní činnost zakladatele a dozorčí rady</w:t>
      </w:r>
    </w:p>
    <w:p w14:paraId="5E2FE15E" w14:textId="77777777" w:rsidR="00BA6900" w:rsidRDefault="00BA6900" w:rsidP="00BA6900">
      <w:pPr>
        <w:spacing w:after="0"/>
        <w:jc w:val="both"/>
        <w:rPr>
          <w:sz w:val="24"/>
        </w:rPr>
      </w:pPr>
    </w:p>
    <w:tbl>
      <w:tblPr>
        <w:tblStyle w:val="Mkatabulky"/>
        <w:tblW w:w="0" w:type="auto"/>
        <w:shd w:val="clear" w:color="auto" w:fill="E6E6E6"/>
        <w:tblLook w:val="04A0" w:firstRow="1" w:lastRow="0" w:firstColumn="1" w:lastColumn="0" w:noHBand="0" w:noVBand="1"/>
      </w:tblPr>
      <w:tblGrid>
        <w:gridCol w:w="9062"/>
      </w:tblGrid>
      <w:tr w:rsidR="00BA6900" w14:paraId="5F173DBF" w14:textId="77777777" w:rsidTr="00343E58">
        <w:tc>
          <w:tcPr>
            <w:tcW w:w="9062" w:type="dxa"/>
            <w:tcBorders>
              <w:top w:val="single" w:sz="4" w:space="0" w:color="auto"/>
              <w:left w:val="single" w:sz="4" w:space="0" w:color="auto"/>
              <w:bottom w:val="single" w:sz="4" w:space="0" w:color="auto"/>
              <w:right w:val="single" w:sz="4" w:space="0" w:color="auto"/>
            </w:tcBorders>
            <w:shd w:val="clear" w:color="auto" w:fill="E6E6E6"/>
            <w:hideMark/>
          </w:tcPr>
          <w:p w14:paraId="6DE5CC61" w14:textId="77777777" w:rsidR="00BA6900" w:rsidRPr="00662866" w:rsidRDefault="00BA6900" w:rsidP="00221850">
            <w:pPr>
              <w:jc w:val="both"/>
              <w:rPr>
                <w:iCs/>
                <w:sz w:val="24"/>
              </w:rPr>
            </w:pPr>
            <w:r w:rsidRPr="00662866">
              <w:rPr>
                <w:iCs/>
                <w:sz w:val="24"/>
              </w:rPr>
              <w:t>Zakladatel:</w:t>
            </w:r>
          </w:p>
          <w:p w14:paraId="23DEA166" w14:textId="77777777" w:rsidR="00BA6900" w:rsidRPr="00662866" w:rsidRDefault="00BA6900" w:rsidP="00221850">
            <w:pPr>
              <w:pStyle w:val="Odstavecseseznamem"/>
              <w:widowControl/>
              <w:numPr>
                <w:ilvl w:val="0"/>
                <w:numId w:val="4"/>
              </w:numPr>
              <w:rPr>
                <w:iCs/>
              </w:rPr>
            </w:pPr>
            <w:r>
              <w:rPr>
                <w:i/>
              </w:rPr>
              <w:t xml:space="preserve">má právo a povinnost požadovat informace o hospodářské činnosti a stavu majetku podniku a na kontrolu a ověřování těchto informací způsobem stanoveným zvláštním předpisem </w:t>
            </w:r>
            <w:r w:rsidRPr="00662866">
              <w:rPr>
                <w:iCs/>
              </w:rPr>
              <w:t>(ustanovení § 15 odst. 1 písm. g) ZSP),</w:t>
            </w:r>
          </w:p>
          <w:p w14:paraId="2EE278C8" w14:textId="77777777" w:rsidR="00BA6900" w:rsidRPr="00662866" w:rsidRDefault="00BA6900" w:rsidP="00221850">
            <w:pPr>
              <w:pStyle w:val="Odstavecseseznamem"/>
              <w:widowControl/>
              <w:numPr>
                <w:ilvl w:val="0"/>
                <w:numId w:val="4"/>
              </w:numPr>
              <w:rPr>
                <w:iCs/>
              </w:rPr>
            </w:pPr>
            <w:r>
              <w:rPr>
                <w:i/>
              </w:rPr>
              <w:t xml:space="preserve">kontroluje, zda potřeby státu, které podnik svou podnikatelskou činností zabezpečuje, jsou zajišťovány účelně a hospodárně </w:t>
            </w:r>
            <w:r w:rsidRPr="00662866">
              <w:rPr>
                <w:iCs/>
              </w:rPr>
              <w:t>(ustanovení § 15 odst. 1 písm. h) ZSP),</w:t>
            </w:r>
          </w:p>
          <w:p w14:paraId="4140695F" w14:textId="6D2CD09E" w:rsidR="00BA6900" w:rsidRDefault="00BA6900" w:rsidP="00221850">
            <w:pPr>
              <w:pStyle w:val="Odstavecseseznamem"/>
              <w:widowControl/>
              <w:numPr>
                <w:ilvl w:val="0"/>
                <w:numId w:val="4"/>
              </w:numPr>
            </w:pPr>
            <w:r>
              <w:rPr>
                <w:i/>
              </w:rPr>
              <w:t>dohlíží na řádný výkon práva hospodařit s majetkem státu, zejména na hospodárné, účelné a efektivní využívání tohoto majetku při provozování podnikatelské činnosti, a</w:t>
            </w:r>
            <w:r w:rsidR="00E62184">
              <w:rPr>
                <w:i/>
              </w:rPr>
              <w:t> </w:t>
            </w:r>
            <w:r>
              <w:rPr>
                <w:i/>
              </w:rPr>
              <w:t xml:space="preserve">kontroluje, jak podnik s tímto majetkem nakládá </w:t>
            </w:r>
            <w:r w:rsidRPr="00662866">
              <w:rPr>
                <w:iCs/>
              </w:rPr>
              <w:t>(ustanovení § 15 odst. 1 písm. l) ZSP)</w:t>
            </w:r>
            <w:r w:rsidR="009040F6">
              <w:rPr>
                <w:iCs/>
              </w:rPr>
              <w:t>.</w:t>
            </w:r>
          </w:p>
        </w:tc>
      </w:tr>
    </w:tbl>
    <w:p w14:paraId="19A8B93B" w14:textId="77777777" w:rsidR="00BA6900" w:rsidRDefault="00BA6900" w:rsidP="00BA6900">
      <w:pPr>
        <w:spacing w:after="0"/>
        <w:jc w:val="both"/>
        <w:rPr>
          <w:sz w:val="24"/>
        </w:rPr>
      </w:pPr>
    </w:p>
    <w:p w14:paraId="78D6D509" w14:textId="107E3415" w:rsidR="00BA6900" w:rsidRDefault="00BA6900" w:rsidP="00BA6900">
      <w:pPr>
        <w:spacing w:after="0"/>
        <w:jc w:val="both"/>
        <w:rPr>
          <w:sz w:val="24"/>
        </w:rPr>
      </w:pPr>
      <w:r>
        <w:rPr>
          <w:sz w:val="24"/>
        </w:rPr>
        <w:t>Kontrolu a dohled nad činností státních podniků ponechal zakladatel na dozorčích radách státních podniků, ve kterých má dvoutřetinové zastoupení. Dozorčí rady každoročně na pokyn zakladatele provádí kontrolu vybrané oblasti hospodaření státních podniků, kterou pak předkládají zakladateli. V</w:t>
      </w:r>
      <w:r w:rsidR="007E6246">
        <w:rPr>
          <w:sz w:val="24"/>
        </w:rPr>
        <w:t xml:space="preserve"> </w:t>
      </w:r>
      <w:r>
        <w:rPr>
          <w:sz w:val="24"/>
        </w:rPr>
        <w:t xml:space="preserve">kontrolovaném období kontroly dozorčích rad obou státních podniků nezjistily, že by potřeby státu byly zajišťovány neúčelně či nehospodárně. </w:t>
      </w:r>
      <w:r w:rsidRPr="00E6177A">
        <w:rPr>
          <w:b/>
          <w:sz w:val="24"/>
        </w:rPr>
        <w:t xml:space="preserve">V kontrolovaném období zakladatel neprovedl přímou kontrolu ve státních podnicích, jak mu umožňuje </w:t>
      </w:r>
      <w:r>
        <w:rPr>
          <w:b/>
          <w:sz w:val="24"/>
        </w:rPr>
        <w:t>ZSP</w:t>
      </w:r>
      <w:r w:rsidRPr="00E6177A">
        <w:rPr>
          <w:b/>
          <w:sz w:val="24"/>
        </w:rPr>
        <w:t>.</w:t>
      </w:r>
      <w:r>
        <w:rPr>
          <w:sz w:val="24"/>
        </w:rPr>
        <w:t xml:space="preserve"> </w:t>
      </w:r>
    </w:p>
    <w:p w14:paraId="64B7BAD8" w14:textId="77777777" w:rsidR="00BA6900" w:rsidRDefault="00BA6900" w:rsidP="00BA6900">
      <w:pPr>
        <w:spacing w:after="0"/>
        <w:jc w:val="both"/>
        <w:rPr>
          <w:sz w:val="24"/>
        </w:rPr>
      </w:pPr>
    </w:p>
    <w:tbl>
      <w:tblPr>
        <w:tblStyle w:val="Mkatabulky"/>
        <w:tblW w:w="0" w:type="auto"/>
        <w:shd w:val="clear" w:color="auto" w:fill="E6E6E6"/>
        <w:tblLook w:val="04A0" w:firstRow="1" w:lastRow="0" w:firstColumn="1" w:lastColumn="0" w:noHBand="0" w:noVBand="1"/>
      </w:tblPr>
      <w:tblGrid>
        <w:gridCol w:w="9062"/>
      </w:tblGrid>
      <w:tr w:rsidR="00BA6900" w14:paraId="4B242F12" w14:textId="77777777" w:rsidTr="00343E58">
        <w:tc>
          <w:tcPr>
            <w:tcW w:w="9062" w:type="dxa"/>
            <w:tcBorders>
              <w:top w:val="single" w:sz="4" w:space="0" w:color="auto"/>
              <w:left w:val="single" w:sz="4" w:space="0" w:color="auto"/>
              <w:bottom w:val="single" w:sz="4" w:space="0" w:color="auto"/>
              <w:right w:val="single" w:sz="4" w:space="0" w:color="auto"/>
            </w:tcBorders>
            <w:shd w:val="clear" w:color="auto" w:fill="E6E6E6"/>
            <w:hideMark/>
          </w:tcPr>
          <w:p w14:paraId="7787E4FB" w14:textId="61D0A8DC" w:rsidR="00BA6900" w:rsidRPr="00931DAC" w:rsidRDefault="00BA6900" w:rsidP="00221850">
            <w:pPr>
              <w:pStyle w:val="Odstavecseseznamem"/>
              <w:widowControl/>
              <w:numPr>
                <w:ilvl w:val="0"/>
                <w:numId w:val="5"/>
              </w:numPr>
              <w:rPr>
                <w:iCs/>
              </w:rPr>
            </w:pPr>
            <w:r>
              <w:rPr>
                <w:i/>
              </w:rPr>
              <w:t>Ředitel státního podniku je povinen počínat si s péčí řádného hospodáře a zajistit, aby plnění významných strategických, hospodářských, společenských, bezpečnostních a</w:t>
            </w:r>
            <w:r w:rsidR="00E62184">
              <w:rPr>
                <w:i/>
              </w:rPr>
              <w:t> </w:t>
            </w:r>
            <w:r>
              <w:rPr>
                <w:i/>
              </w:rPr>
              <w:t xml:space="preserve">dalších zájmů státu bylo realizováno účelně, hospodárně a efektivně </w:t>
            </w:r>
            <w:r w:rsidRPr="00931DAC">
              <w:rPr>
                <w:iCs/>
              </w:rPr>
              <w:t>(ustanovení § 12a odst. 1 ZSP).</w:t>
            </w:r>
          </w:p>
          <w:p w14:paraId="33685C55" w14:textId="77777777" w:rsidR="00BA6900" w:rsidRPr="00931DAC" w:rsidRDefault="00BA6900" w:rsidP="00221850">
            <w:pPr>
              <w:pStyle w:val="Odstavecseseznamem"/>
              <w:widowControl/>
              <w:numPr>
                <w:ilvl w:val="0"/>
                <w:numId w:val="5"/>
              </w:numPr>
              <w:rPr>
                <w:iCs/>
              </w:rPr>
            </w:pPr>
            <w:r>
              <w:rPr>
                <w:i/>
              </w:rPr>
              <w:t xml:space="preserve">Členové dozorčí rady jsou povinni vykonávat svoji působnost s péčí řádného hospodáře </w:t>
            </w:r>
            <w:r w:rsidRPr="00931DAC">
              <w:rPr>
                <w:iCs/>
              </w:rPr>
              <w:t>(ustanovení § 13 odst. 7 ZSP).</w:t>
            </w:r>
          </w:p>
          <w:p w14:paraId="45AAF921" w14:textId="77777777" w:rsidR="00BA6900" w:rsidRDefault="00BA6900" w:rsidP="00221850">
            <w:pPr>
              <w:pStyle w:val="Odstavecseseznamem"/>
              <w:widowControl/>
              <w:numPr>
                <w:ilvl w:val="0"/>
                <w:numId w:val="5"/>
              </w:numPr>
            </w:pPr>
            <w:r>
              <w:rPr>
                <w:i/>
              </w:rPr>
              <w:t xml:space="preserve">Dozorčí rada je povinna upozornit ředitele a zakladatele na zjištěné nedostatky; přitom může navrhnout řediteli opatření k nápravě </w:t>
            </w:r>
            <w:r w:rsidRPr="00931DAC">
              <w:rPr>
                <w:iCs/>
              </w:rPr>
              <w:t>(ustanovení § 13 odst. 1 písm. g) ZSP).</w:t>
            </w:r>
          </w:p>
        </w:tc>
      </w:tr>
    </w:tbl>
    <w:p w14:paraId="462E9556" w14:textId="77777777" w:rsidR="00BA6900" w:rsidRDefault="00BA6900" w:rsidP="00BA6900">
      <w:pPr>
        <w:spacing w:after="0"/>
        <w:jc w:val="both"/>
        <w:rPr>
          <w:sz w:val="24"/>
        </w:rPr>
      </w:pPr>
    </w:p>
    <w:p w14:paraId="0423EF3E" w14:textId="77777777" w:rsidR="00BA6900" w:rsidRPr="00E6177A" w:rsidRDefault="00BA6900" w:rsidP="009040F6">
      <w:pPr>
        <w:spacing w:after="120"/>
        <w:jc w:val="both"/>
        <w:rPr>
          <w:b/>
          <w:sz w:val="24"/>
        </w:rPr>
      </w:pPr>
      <w:r w:rsidRPr="00E6177A">
        <w:rPr>
          <w:b/>
          <w:sz w:val="24"/>
        </w:rPr>
        <w:t>Zmařená investice v</w:t>
      </w:r>
      <w:r>
        <w:rPr>
          <w:b/>
          <w:sz w:val="24"/>
        </w:rPr>
        <w:t> </w:t>
      </w:r>
      <w:r w:rsidRPr="00E6177A">
        <w:rPr>
          <w:b/>
          <w:sz w:val="24"/>
        </w:rPr>
        <w:t>důsledku</w:t>
      </w:r>
      <w:r>
        <w:rPr>
          <w:b/>
          <w:sz w:val="24"/>
        </w:rPr>
        <w:t xml:space="preserve"> špatného rozhodnutí státního podniku a </w:t>
      </w:r>
      <w:r w:rsidRPr="00E6177A">
        <w:rPr>
          <w:b/>
          <w:sz w:val="24"/>
        </w:rPr>
        <w:t>nedostatečné kontroly zakladatele a dozorčí rady EZÚ</w:t>
      </w:r>
    </w:p>
    <w:p w14:paraId="509B2553" w14:textId="586ECE6F" w:rsidR="00BA6900" w:rsidRPr="00E82FCA" w:rsidRDefault="00BA6900" w:rsidP="00BA6900">
      <w:pPr>
        <w:spacing w:after="0"/>
        <w:jc w:val="both"/>
        <w:rPr>
          <w:sz w:val="24"/>
        </w:rPr>
      </w:pPr>
      <w:r w:rsidRPr="00581DC5">
        <w:rPr>
          <w:sz w:val="24"/>
        </w:rPr>
        <w:t>EZÚ od roku 2014 připravoval výstavbu nové a zároveň demolici stávající, stavebně a technicky nevyhovující</w:t>
      </w:r>
      <w:r w:rsidR="00A13C88">
        <w:rPr>
          <w:sz w:val="24"/>
        </w:rPr>
        <w:t>,</w:t>
      </w:r>
      <w:r w:rsidRPr="00581DC5">
        <w:rPr>
          <w:sz w:val="24"/>
        </w:rPr>
        <w:t xml:space="preserve"> zkušební budovy. Součástí nové budovy měly být zkušební laboratoře a komora pro zkoušky elektromagnetické kompatibility pro měření metodou 10 metrů</w:t>
      </w:r>
      <w:r>
        <w:rPr>
          <w:sz w:val="24"/>
        </w:rPr>
        <w:t>. Pro realizaci záměru neměl EZÚ dostatek vlastních peněžních prostředků, proto plánoval využít dotační podpor</w:t>
      </w:r>
      <w:r w:rsidR="009040F6">
        <w:rPr>
          <w:sz w:val="24"/>
        </w:rPr>
        <w:t>u</w:t>
      </w:r>
      <w:r>
        <w:rPr>
          <w:sz w:val="24"/>
        </w:rPr>
        <w:t xml:space="preserve"> z </w:t>
      </w:r>
      <w:r w:rsidR="009040F6">
        <w:rPr>
          <w:sz w:val="24"/>
        </w:rPr>
        <w:t>o</w:t>
      </w:r>
      <w:r>
        <w:rPr>
          <w:sz w:val="24"/>
        </w:rPr>
        <w:t xml:space="preserve">peračního programu </w:t>
      </w:r>
      <w:r w:rsidRPr="00931DAC">
        <w:rPr>
          <w:i/>
          <w:iCs/>
          <w:sz w:val="24"/>
        </w:rPr>
        <w:t>Výzkum, vývoj a vzdělávání 2014–2020</w:t>
      </w:r>
      <w:r>
        <w:rPr>
          <w:sz w:val="24"/>
        </w:rPr>
        <w:t xml:space="preserve">, kde mohl získat dotaci ve výši 95 % způsobilých výdajů. Celkové náklady měly dle objemové studie z roku 2016 dosáhnout 427 mil. Kč. Tato částka obsahovala náklady na demolici staré budovy, výstavbu nové budovy, úpravu prostoru areálu EZÚ včetně výstavby opěrné zdi kvůli sousednímu svažitému pozemku a náklady na potřebné projektové činnosti. V polovině roku 2016 však EZÚ zjistil, že nesplňuje podmínky pro získání dotace a na záměr tak nemá finanční zdroje. </w:t>
      </w:r>
      <w:r w:rsidRPr="00E82FCA">
        <w:rPr>
          <w:sz w:val="24"/>
        </w:rPr>
        <w:t>Výše</w:t>
      </w:r>
      <w:r w:rsidR="00A77F61">
        <w:rPr>
          <w:sz w:val="24"/>
        </w:rPr>
        <w:t xml:space="preserve"> </w:t>
      </w:r>
      <w:r w:rsidRPr="00E82FCA">
        <w:rPr>
          <w:sz w:val="24"/>
        </w:rPr>
        <w:lastRenderedPageBreak/>
        <w:t xml:space="preserve">peněžních prostředků EZÚ k 31. prosinci 2016 činila 80 mil. Kč, částka, kterou EZÚ v té době potřeboval na úhradu běžných nákladů za tři měsíce, se pohybovala kolem 25 mil. Kč. </w:t>
      </w:r>
    </w:p>
    <w:p w14:paraId="6AF3B897" w14:textId="77777777" w:rsidR="00BA6900" w:rsidRDefault="00BA6900" w:rsidP="00BA6900">
      <w:pPr>
        <w:spacing w:after="0"/>
        <w:jc w:val="both"/>
        <w:rPr>
          <w:sz w:val="24"/>
        </w:rPr>
      </w:pPr>
    </w:p>
    <w:p w14:paraId="22FD7816" w14:textId="422E6C68" w:rsidR="00BA6900" w:rsidRDefault="00BA6900" w:rsidP="00BA6900">
      <w:pPr>
        <w:spacing w:after="0"/>
        <w:jc w:val="both"/>
        <w:rPr>
          <w:b/>
          <w:sz w:val="24"/>
        </w:rPr>
      </w:pPr>
      <w:r>
        <w:rPr>
          <w:sz w:val="24"/>
        </w:rPr>
        <w:t>Přesto na konci roku 2016 EZÚ rozhodl o pokračování přípravy výstavby s tím, že je nutná pro rozvoj státního podniku. Od poloviny roku 2017 EZÚ plánoval využít jiný dotační titul, a sice podporu z </w:t>
      </w:r>
      <w:r w:rsidR="008623F1">
        <w:rPr>
          <w:sz w:val="24"/>
        </w:rPr>
        <w:t>o</w:t>
      </w:r>
      <w:r>
        <w:rPr>
          <w:sz w:val="24"/>
        </w:rPr>
        <w:t xml:space="preserve">peračního programu </w:t>
      </w:r>
      <w:r w:rsidRPr="00931DAC">
        <w:rPr>
          <w:i/>
          <w:iCs/>
          <w:sz w:val="24"/>
        </w:rPr>
        <w:t xml:space="preserve">Praha </w:t>
      </w:r>
      <w:r w:rsidR="008623F1" w:rsidRPr="00931DAC">
        <w:rPr>
          <w:rFonts w:cstheme="minorHAnsi"/>
          <w:i/>
          <w:iCs/>
          <w:sz w:val="24"/>
        </w:rPr>
        <w:t>–</w:t>
      </w:r>
      <w:r w:rsidR="008623F1" w:rsidRPr="00931DAC">
        <w:rPr>
          <w:i/>
          <w:iCs/>
          <w:sz w:val="24"/>
        </w:rPr>
        <w:t xml:space="preserve"> </w:t>
      </w:r>
      <w:r w:rsidRPr="00931DAC">
        <w:rPr>
          <w:i/>
          <w:iCs/>
          <w:sz w:val="24"/>
        </w:rPr>
        <w:t>pól růstu</w:t>
      </w:r>
      <w:r w:rsidR="008623F1" w:rsidRPr="00931DAC">
        <w:rPr>
          <w:i/>
          <w:iCs/>
          <w:sz w:val="24"/>
        </w:rPr>
        <w:t xml:space="preserve"> ČR</w:t>
      </w:r>
      <w:r>
        <w:rPr>
          <w:sz w:val="24"/>
        </w:rPr>
        <w:t>, kde mohl získat dotaci ve výši 50</w:t>
      </w:r>
      <w:r w:rsidR="008623F1">
        <w:rPr>
          <w:sz w:val="24"/>
        </w:rPr>
        <w:t> </w:t>
      </w:r>
      <w:r>
        <w:rPr>
          <w:sz w:val="24"/>
        </w:rPr>
        <w:t xml:space="preserve">% způsobilých výdajů. Podmínkám dotace upravil </w:t>
      </w:r>
      <w:r w:rsidR="00C3370B">
        <w:rPr>
          <w:sz w:val="24"/>
        </w:rPr>
        <w:t xml:space="preserve">EZÚ </w:t>
      </w:r>
      <w:r>
        <w:rPr>
          <w:sz w:val="24"/>
        </w:rPr>
        <w:t>projekt, který se nově skládal ze dvou etap, z</w:t>
      </w:r>
      <w:r w:rsidR="008623F1">
        <w:rPr>
          <w:sz w:val="24"/>
        </w:rPr>
        <w:t xml:space="preserve"> </w:t>
      </w:r>
      <w:r>
        <w:rPr>
          <w:sz w:val="24"/>
        </w:rPr>
        <w:t>nichž první měla být financována z</w:t>
      </w:r>
      <w:r w:rsidR="008623F1">
        <w:rPr>
          <w:sz w:val="24"/>
        </w:rPr>
        <w:t xml:space="preserve"> </w:t>
      </w:r>
      <w:r>
        <w:rPr>
          <w:sz w:val="24"/>
        </w:rPr>
        <w:t>dotace. První etapa zahrnovala výstavbu kompletních základů budovy, opěrnou zeď sousedního svažitého pozemku a východní křídlo budovy. Podmínkou získání dotace bylo platné stavební povolení, kterou EZÚ nesplnil. Dle žádosti o podporu, kterou podal EZÚ v říjnu 2018, měl být objem způsobilých výdajů 168</w:t>
      </w:r>
      <w:r w:rsidR="006C4970">
        <w:rPr>
          <w:sz w:val="24"/>
        </w:rPr>
        <w:t> </w:t>
      </w:r>
      <w:r>
        <w:rPr>
          <w:sz w:val="24"/>
        </w:rPr>
        <w:t>mil.</w:t>
      </w:r>
      <w:r w:rsidR="006C4970">
        <w:rPr>
          <w:sz w:val="24"/>
        </w:rPr>
        <w:t> </w:t>
      </w:r>
      <w:r>
        <w:rPr>
          <w:sz w:val="24"/>
        </w:rPr>
        <w:t xml:space="preserve">Kč. </w:t>
      </w:r>
      <w:r w:rsidRPr="007A49F4">
        <w:rPr>
          <w:b/>
          <w:sz w:val="24"/>
        </w:rPr>
        <w:t>Na konci roku 2018 však činil objem peněžních prostředků EZÚ pouze 59</w:t>
      </w:r>
      <w:r w:rsidR="008623F1">
        <w:rPr>
          <w:b/>
          <w:sz w:val="24"/>
        </w:rPr>
        <w:t> </w:t>
      </w:r>
      <w:r w:rsidRPr="007A49F4">
        <w:rPr>
          <w:b/>
          <w:sz w:val="24"/>
        </w:rPr>
        <w:t>mil.</w:t>
      </w:r>
      <w:r w:rsidR="008623F1">
        <w:rPr>
          <w:b/>
          <w:sz w:val="24"/>
        </w:rPr>
        <w:t> </w:t>
      </w:r>
      <w:r w:rsidRPr="007A49F4">
        <w:rPr>
          <w:b/>
          <w:sz w:val="24"/>
        </w:rPr>
        <w:t>Kč</w:t>
      </w:r>
      <w:r>
        <w:rPr>
          <w:b/>
          <w:sz w:val="24"/>
        </w:rPr>
        <w:t xml:space="preserve">, v září 2019 pouhých 28,4 mil. Kč a EZÚ zvažoval zřízení kontokorentního úvěru na výplaty mezd zaměstnanců. </w:t>
      </w:r>
    </w:p>
    <w:p w14:paraId="70F4A7F3" w14:textId="77777777" w:rsidR="00BA6900" w:rsidRDefault="00BA6900" w:rsidP="00BA6900">
      <w:pPr>
        <w:spacing w:after="0"/>
        <w:jc w:val="both"/>
        <w:rPr>
          <w:sz w:val="24"/>
        </w:rPr>
      </w:pPr>
    </w:p>
    <w:p w14:paraId="74DC0BD0" w14:textId="1D3B4DD8" w:rsidR="00BA6900" w:rsidRPr="00343E58" w:rsidRDefault="00BA6900" w:rsidP="00931DAC">
      <w:pPr>
        <w:tabs>
          <w:tab w:val="right" w:pos="9072"/>
        </w:tabs>
        <w:autoSpaceDE w:val="0"/>
        <w:autoSpaceDN w:val="0"/>
        <w:adjustRightInd w:val="0"/>
        <w:spacing w:after="0"/>
        <w:ind w:left="1276" w:hanging="1276"/>
        <w:jc w:val="both"/>
        <w:rPr>
          <w:rFonts w:cstheme="minorHAnsi"/>
          <w:b/>
          <w:sz w:val="24"/>
        </w:rPr>
      </w:pPr>
      <w:r w:rsidRPr="00343E58">
        <w:rPr>
          <w:rFonts w:cstheme="minorHAnsi"/>
          <w:b/>
          <w:sz w:val="24"/>
        </w:rPr>
        <w:t xml:space="preserve">Tabulka č. 3: </w:t>
      </w:r>
      <w:r w:rsidR="00182081">
        <w:rPr>
          <w:rFonts w:cstheme="minorHAnsi"/>
          <w:b/>
          <w:sz w:val="24"/>
        </w:rPr>
        <w:tab/>
      </w:r>
      <w:r w:rsidRPr="00343E58">
        <w:rPr>
          <w:rFonts w:cstheme="minorHAnsi"/>
          <w:b/>
          <w:sz w:val="24"/>
        </w:rPr>
        <w:t>Údaje o výši peněžních prostředků, čistém peněžním toku z provozní činnosti a </w:t>
      </w:r>
      <w:r w:rsidR="008623F1">
        <w:rPr>
          <w:rFonts w:cstheme="minorHAnsi"/>
          <w:b/>
          <w:sz w:val="24"/>
        </w:rPr>
        <w:t>o </w:t>
      </w:r>
      <w:r w:rsidRPr="00343E58">
        <w:rPr>
          <w:rFonts w:cstheme="minorHAnsi"/>
          <w:b/>
          <w:sz w:val="24"/>
        </w:rPr>
        <w:t xml:space="preserve">výsledku hospodaření EZÚ za roky 2014 až 2021 </w:t>
      </w:r>
      <w:r w:rsidR="00343E58">
        <w:rPr>
          <w:rFonts w:cstheme="minorHAnsi"/>
          <w:b/>
          <w:sz w:val="24"/>
        </w:rPr>
        <w:tab/>
      </w:r>
      <w:r w:rsidRPr="00343E58">
        <w:rPr>
          <w:rFonts w:cstheme="minorHAnsi"/>
          <w:b/>
          <w:sz w:val="24"/>
        </w:rPr>
        <w:t>(v tis. Kč)</w:t>
      </w:r>
    </w:p>
    <w:tbl>
      <w:tblPr>
        <w:tblW w:w="4997" w:type="pct"/>
        <w:tblLayout w:type="fixed"/>
        <w:tblCellMar>
          <w:left w:w="70" w:type="dxa"/>
          <w:right w:w="70" w:type="dxa"/>
        </w:tblCellMar>
        <w:tblLook w:val="04A0" w:firstRow="1" w:lastRow="0" w:firstColumn="1" w:lastColumn="0" w:noHBand="0" w:noVBand="1"/>
      </w:tblPr>
      <w:tblGrid>
        <w:gridCol w:w="1985"/>
        <w:gridCol w:w="884"/>
        <w:gridCol w:w="884"/>
        <w:gridCol w:w="884"/>
        <w:gridCol w:w="884"/>
        <w:gridCol w:w="884"/>
        <w:gridCol w:w="884"/>
        <w:gridCol w:w="884"/>
        <w:gridCol w:w="884"/>
      </w:tblGrid>
      <w:tr w:rsidR="00343E58" w14:paraId="7A2478D8" w14:textId="77777777" w:rsidTr="00907108">
        <w:trPr>
          <w:trHeight w:val="300"/>
        </w:trPr>
        <w:tc>
          <w:tcPr>
            <w:tcW w:w="1096" w:type="pct"/>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38BE1230" w14:textId="77777777" w:rsidR="00BA6900" w:rsidRPr="009B320F" w:rsidRDefault="00BA6900" w:rsidP="00343E58">
            <w:pPr>
              <w:spacing w:after="0"/>
              <w:jc w:val="center"/>
              <w:rPr>
                <w:rFonts w:ascii="Calibri" w:hAnsi="Calibri" w:cs="Calibri"/>
                <w:b/>
                <w:sz w:val="20"/>
                <w:szCs w:val="20"/>
                <w:lang w:eastAsia="cs-CZ"/>
              </w:rPr>
            </w:pPr>
            <w:r w:rsidRPr="009B320F">
              <w:rPr>
                <w:rFonts w:ascii="Calibri" w:hAnsi="Calibri" w:cs="Calibri"/>
                <w:b/>
                <w:sz w:val="20"/>
                <w:szCs w:val="20"/>
                <w:lang w:eastAsia="cs-CZ"/>
              </w:rPr>
              <w:t>Rok</w:t>
            </w:r>
          </w:p>
        </w:tc>
        <w:tc>
          <w:tcPr>
            <w:tcW w:w="488" w:type="pct"/>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ECC9D5E" w14:textId="77777777" w:rsidR="00BA6900" w:rsidRPr="009B320F" w:rsidRDefault="00BA6900" w:rsidP="00343E58">
            <w:pPr>
              <w:spacing w:after="0"/>
              <w:jc w:val="center"/>
              <w:rPr>
                <w:rFonts w:ascii="Calibri" w:hAnsi="Calibri" w:cs="Calibri"/>
                <w:b/>
                <w:sz w:val="20"/>
                <w:szCs w:val="20"/>
                <w:lang w:eastAsia="cs-CZ"/>
              </w:rPr>
            </w:pPr>
            <w:r w:rsidRPr="009B320F">
              <w:rPr>
                <w:rFonts w:ascii="Calibri" w:hAnsi="Calibri" w:cs="Calibri"/>
                <w:b/>
                <w:sz w:val="20"/>
                <w:szCs w:val="20"/>
                <w:lang w:eastAsia="cs-CZ"/>
              </w:rPr>
              <w:t>2014</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3ABE0880" w14:textId="77777777" w:rsidR="00BA6900" w:rsidRPr="009B320F" w:rsidRDefault="00BA6900" w:rsidP="00343E58">
            <w:pPr>
              <w:spacing w:after="0"/>
              <w:jc w:val="center"/>
              <w:rPr>
                <w:rFonts w:ascii="Calibri" w:hAnsi="Calibri" w:cs="Calibri"/>
                <w:b/>
                <w:sz w:val="20"/>
                <w:szCs w:val="20"/>
                <w:lang w:eastAsia="cs-CZ"/>
              </w:rPr>
            </w:pPr>
            <w:r w:rsidRPr="009B320F">
              <w:rPr>
                <w:rFonts w:ascii="Calibri" w:hAnsi="Calibri" w:cs="Calibri"/>
                <w:b/>
                <w:sz w:val="20"/>
                <w:szCs w:val="20"/>
                <w:lang w:eastAsia="cs-CZ"/>
              </w:rPr>
              <w:t>2015</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2758D8F7" w14:textId="77777777" w:rsidR="00BA6900" w:rsidRPr="009B320F" w:rsidRDefault="00BA6900" w:rsidP="00343E58">
            <w:pPr>
              <w:spacing w:after="0"/>
              <w:jc w:val="center"/>
              <w:rPr>
                <w:rFonts w:ascii="Calibri" w:hAnsi="Calibri" w:cs="Calibri"/>
                <w:b/>
                <w:sz w:val="20"/>
                <w:szCs w:val="20"/>
                <w:lang w:eastAsia="cs-CZ"/>
              </w:rPr>
            </w:pPr>
            <w:r w:rsidRPr="009B320F">
              <w:rPr>
                <w:rFonts w:ascii="Calibri" w:hAnsi="Calibri" w:cs="Calibri"/>
                <w:b/>
                <w:sz w:val="20"/>
                <w:szCs w:val="20"/>
                <w:lang w:eastAsia="cs-CZ"/>
              </w:rPr>
              <w:t>2016</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168833A1" w14:textId="77777777" w:rsidR="00BA6900" w:rsidRPr="009B320F" w:rsidRDefault="00BA6900" w:rsidP="00343E58">
            <w:pPr>
              <w:spacing w:after="0"/>
              <w:jc w:val="center"/>
              <w:rPr>
                <w:rFonts w:ascii="Calibri" w:hAnsi="Calibri" w:cs="Calibri"/>
                <w:b/>
                <w:bCs/>
                <w:sz w:val="20"/>
                <w:szCs w:val="20"/>
                <w:lang w:eastAsia="cs-CZ"/>
              </w:rPr>
            </w:pPr>
            <w:r w:rsidRPr="009B320F">
              <w:rPr>
                <w:rFonts w:ascii="Calibri" w:hAnsi="Calibri" w:cs="Calibri"/>
                <w:b/>
                <w:bCs/>
                <w:sz w:val="20"/>
                <w:szCs w:val="20"/>
                <w:lang w:eastAsia="cs-CZ"/>
              </w:rPr>
              <w:t>2017</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02316E4D" w14:textId="77777777" w:rsidR="00BA6900" w:rsidRPr="009B320F" w:rsidRDefault="00BA6900" w:rsidP="00343E58">
            <w:pPr>
              <w:spacing w:after="0"/>
              <w:jc w:val="center"/>
              <w:rPr>
                <w:rFonts w:ascii="Calibri" w:hAnsi="Calibri" w:cs="Calibri"/>
                <w:b/>
                <w:bCs/>
                <w:sz w:val="20"/>
                <w:szCs w:val="20"/>
                <w:lang w:eastAsia="cs-CZ"/>
              </w:rPr>
            </w:pPr>
            <w:r w:rsidRPr="009B320F">
              <w:rPr>
                <w:rFonts w:ascii="Calibri" w:hAnsi="Calibri" w:cs="Calibri"/>
                <w:b/>
                <w:bCs/>
                <w:sz w:val="20"/>
                <w:szCs w:val="20"/>
                <w:lang w:eastAsia="cs-CZ"/>
              </w:rPr>
              <w:t>2018</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3D612609" w14:textId="77777777" w:rsidR="00BA6900" w:rsidRPr="009B320F" w:rsidRDefault="00BA6900" w:rsidP="00343E58">
            <w:pPr>
              <w:spacing w:after="0"/>
              <w:jc w:val="center"/>
              <w:rPr>
                <w:rFonts w:ascii="Calibri" w:hAnsi="Calibri" w:cs="Calibri"/>
                <w:b/>
                <w:bCs/>
                <w:sz w:val="20"/>
                <w:szCs w:val="20"/>
                <w:lang w:eastAsia="cs-CZ"/>
              </w:rPr>
            </w:pPr>
            <w:r w:rsidRPr="009B320F">
              <w:rPr>
                <w:rFonts w:ascii="Calibri" w:hAnsi="Calibri" w:cs="Calibri"/>
                <w:b/>
                <w:bCs/>
                <w:sz w:val="20"/>
                <w:szCs w:val="20"/>
                <w:lang w:eastAsia="cs-CZ"/>
              </w:rPr>
              <w:t>2019</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52FD0B9A" w14:textId="77777777" w:rsidR="00BA6900" w:rsidRPr="009B320F" w:rsidRDefault="00BA6900" w:rsidP="00343E58">
            <w:pPr>
              <w:spacing w:after="0"/>
              <w:jc w:val="center"/>
              <w:rPr>
                <w:rFonts w:ascii="Calibri" w:hAnsi="Calibri" w:cs="Calibri"/>
                <w:b/>
                <w:bCs/>
                <w:sz w:val="20"/>
                <w:szCs w:val="20"/>
                <w:lang w:eastAsia="cs-CZ"/>
              </w:rPr>
            </w:pPr>
            <w:r w:rsidRPr="009B320F">
              <w:rPr>
                <w:rFonts w:ascii="Calibri" w:hAnsi="Calibri" w:cs="Calibri"/>
                <w:b/>
                <w:bCs/>
                <w:sz w:val="20"/>
                <w:szCs w:val="20"/>
                <w:lang w:eastAsia="cs-CZ"/>
              </w:rPr>
              <w:t>2020</w:t>
            </w:r>
          </w:p>
        </w:tc>
        <w:tc>
          <w:tcPr>
            <w:tcW w:w="488" w:type="pct"/>
            <w:tcBorders>
              <w:top w:val="single" w:sz="4" w:space="0" w:color="auto"/>
              <w:left w:val="nil"/>
              <w:bottom w:val="single" w:sz="4" w:space="0" w:color="auto"/>
              <w:right w:val="single" w:sz="4" w:space="0" w:color="auto"/>
            </w:tcBorders>
            <w:shd w:val="clear" w:color="auto" w:fill="E6E6E6"/>
            <w:noWrap/>
            <w:vAlign w:val="bottom"/>
            <w:hideMark/>
          </w:tcPr>
          <w:p w14:paraId="50B2E5BE" w14:textId="77777777" w:rsidR="00BA6900" w:rsidRPr="009B320F" w:rsidRDefault="00BA6900" w:rsidP="00343E58">
            <w:pPr>
              <w:spacing w:after="0"/>
              <w:jc w:val="center"/>
              <w:rPr>
                <w:rFonts w:ascii="Calibri" w:hAnsi="Calibri" w:cs="Calibri"/>
                <w:b/>
                <w:bCs/>
                <w:sz w:val="20"/>
                <w:szCs w:val="20"/>
                <w:lang w:eastAsia="cs-CZ"/>
              </w:rPr>
            </w:pPr>
            <w:r w:rsidRPr="009B320F">
              <w:rPr>
                <w:rFonts w:ascii="Calibri" w:hAnsi="Calibri" w:cs="Calibri"/>
                <w:b/>
                <w:bCs/>
                <w:sz w:val="20"/>
                <w:szCs w:val="20"/>
                <w:lang w:eastAsia="cs-CZ"/>
              </w:rPr>
              <w:t>2021</w:t>
            </w:r>
          </w:p>
        </w:tc>
      </w:tr>
      <w:tr w:rsidR="00343E58" w14:paraId="7E2D4193" w14:textId="77777777" w:rsidTr="00907108">
        <w:trPr>
          <w:trHeight w:val="315"/>
        </w:trPr>
        <w:tc>
          <w:tcPr>
            <w:tcW w:w="10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CF9F7" w14:textId="77777777" w:rsidR="00BA6900" w:rsidRPr="009B320F" w:rsidRDefault="00BA6900" w:rsidP="00931DAC">
            <w:pPr>
              <w:spacing w:after="0"/>
              <w:rPr>
                <w:rFonts w:ascii="Calibri" w:hAnsi="Calibri" w:cs="Calibri"/>
                <w:b/>
                <w:sz w:val="20"/>
                <w:szCs w:val="20"/>
                <w:lang w:eastAsia="cs-CZ"/>
              </w:rPr>
            </w:pPr>
            <w:r w:rsidRPr="009B320F">
              <w:rPr>
                <w:rFonts w:ascii="Calibri" w:hAnsi="Calibri" w:cs="Calibri"/>
                <w:b/>
                <w:sz w:val="20"/>
                <w:szCs w:val="20"/>
                <w:lang w:eastAsia="cs-CZ"/>
              </w:rPr>
              <w:t>Peněžní prostředky k 31. prosinci daného roku</w:t>
            </w:r>
          </w:p>
        </w:tc>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124E708B"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85 306</w:t>
            </w:r>
          </w:p>
        </w:tc>
        <w:tc>
          <w:tcPr>
            <w:tcW w:w="488" w:type="pct"/>
            <w:tcBorders>
              <w:top w:val="nil"/>
              <w:left w:val="nil"/>
              <w:bottom w:val="single" w:sz="4" w:space="0" w:color="auto"/>
              <w:right w:val="single" w:sz="4" w:space="0" w:color="auto"/>
            </w:tcBorders>
            <w:shd w:val="clear" w:color="auto" w:fill="auto"/>
            <w:noWrap/>
            <w:vAlign w:val="bottom"/>
            <w:hideMark/>
          </w:tcPr>
          <w:p w14:paraId="664048FB"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68 755</w:t>
            </w:r>
          </w:p>
        </w:tc>
        <w:tc>
          <w:tcPr>
            <w:tcW w:w="488" w:type="pct"/>
            <w:tcBorders>
              <w:top w:val="nil"/>
              <w:left w:val="nil"/>
              <w:bottom w:val="single" w:sz="4" w:space="0" w:color="auto"/>
              <w:right w:val="single" w:sz="4" w:space="0" w:color="auto"/>
            </w:tcBorders>
            <w:shd w:val="clear" w:color="auto" w:fill="auto"/>
            <w:noWrap/>
            <w:vAlign w:val="bottom"/>
            <w:hideMark/>
          </w:tcPr>
          <w:p w14:paraId="4B3C9FC6"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 xml:space="preserve">80 337 </w:t>
            </w:r>
          </w:p>
        </w:tc>
        <w:tc>
          <w:tcPr>
            <w:tcW w:w="488" w:type="pct"/>
            <w:tcBorders>
              <w:top w:val="nil"/>
              <w:left w:val="nil"/>
              <w:bottom w:val="single" w:sz="4" w:space="0" w:color="auto"/>
              <w:right w:val="single" w:sz="4" w:space="0" w:color="auto"/>
            </w:tcBorders>
            <w:shd w:val="clear" w:color="auto" w:fill="auto"/>
            <w:noWrap/>
            <w:vAlign w:val="bottom"/>
            <w:hideMark/>
          </w:tcPr>
          <w:p w14:paraId="6FCA398E"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72 001</w:t>
            </w:r>
          </w:p>
        </w:tc>
        <w:tc>
          <w:tcPr>
            <w:tcW w:w="488" w:type="pct"/>
            <w:tcBorders>
              <w:top w:val="nil"/>
              <w:left w:val="nil"/>
              <w:bottom w:val="single" w:sz="4" w:space="0" w:color="auto"/>
              <w:right w:val="single" w:sz="4" w:space="0" w:color="auto"/>
            </w:tcBorders>
            <w:shd w:val="clear" w:color="auto" w:fill="auto"/>
            <w:noWrap/>
            <w:vAlign w:val="bottom"/>
            <w:hideMark/>
          </w:tcPr>
          <w:p w14:paraId="3C0EF97E"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58 722</w:t>
            </w:r>
          </w:p>
        </w:tc>
        <w:tc>
          <w:tcPr>
            <w:tcW w:w="488" w:type="pct"/>
            <w:tcBorders>
              <w:top w:val="nil"/>
              <w:left w:val="nil"/>
              <w:bottom w:val="single" w:sz="4" w:space="0" w:color="auto"/>
              <w:right w:val="single" w:sz="4" w:space="0" w:color="auto"/>
            </w:tcBorders>
            <w:shd w:val="clear" w:color="auto" w:fill="auto"/>
            <w:noWrap/>
            <w:vAlign w:val="bottom"/>
            <w:hideMark/>
          </w:tcPr>
          <w:p w14:paraId="258628D2"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31 239</w:t>
            </w:r>
          </w:p>
        </w:tc>
        <w:tc>
          <w:tcPr>
            <w:tcW w:w="488" w:type="pct"/>
            <w:tcBorders>
              <w:top w:val="nil"/>
              <w:left w:val="nil"/>
              <w:bottom w:val="single" w:sz="4" w:space="0" w:color="auto"/>
              <w:right w:val="single" w:sz="4" w:space="0" w:color="auto"/>
            </w:tcBorders>
            <w:shd w:val="clear" w:color="auto" w:fill="auto"/>
            <w:noWrap/>
            <w:vAlign w:val="bottom"/>
            <w:hideMark/>
          </w:tcPr>
          <w:p w14:paraId="26D8D629"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29 477</w:t>
            </w:r>
          </w:p>
        </w:tc>
        <w:tc>
          <w:tcPr>
            <w:tcW w:w="488" w:type="pct"/>
            <w:tcBorders>
              <w:top w:val="nil"/>
              <w:left w:val="nil"/>
              <w:bottom w:val="single" w:sz="4" w:space="0" w:color="auto"/>
              <w:right w:val="single" w:sz="4" w:space="0" w:color="auto"/>
            </w:tcBorders>
            <w:shd w:val="clear" w:color="auto" w:fill="auto"/>
            <w:noWrap/>
            <w:vAlign w:val="bottom"/>
            <w:hideMark/>
          </w:tcPr>
          <w:p w14:paraId="679C9C83" w14:textId="77777777"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36 661</w:t>
            </w:r>
          </w:p>
        </w:tc>
      </w:tr>
      <w:tr w:rsidR="00343E58" w14:paraId="0E431DE6" w14:textId="77777777" w:rsidTr="00907108">
        <w:trPr>
          <w:trHeight w:val="315"/>
        </w:trPr>
        <w:tc>
          <w:tcPr>
            <w:tcW w:w="10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9AB80" w14:textId="77777777" w:rsidR="00BA6900" w:rsidRPr="009B320F" w:rsidRDefault="00BA6900" w:rsidP="00931DAC">
            <w:pPr>
              <w:spacing w:after="0"/>
              <w:rPr>
                <w:rFonts w:ascii="Calibri" w:hAnsi="Calibri" w:cs="Calibri"/>
                <w:b/>
                <w:sz w:val="20"/>
                <w:szCs w:val="20"/>
                <w:lang w:eastAsia="cs-CZ"/>
              </w:rPr>
            </w:pPr>
            <w:r w:rsidRPr="009B320F">
              <w:rPr>
                <w:rFonts w:ascii="Calibri" w:hAnsi="Calibri" w:cs="Calibri"/>
                <w:b/>
                <w:sz w:val="20"/>
                <w:szCs w:val="20"/>
                <w:lang w:eastAsia="cs-CZ"/>
              </w:rPr>
              <w:t>Přírůstek/úbytek peněžních prostředků oproti předchozímu roku</w:t>
            </w:r>
          </w:p>
        </w:tc>
        <w:tc>
          <w:tcPr>
            <w:tcW w:w="488" w:type="pct"/>
            <w:tcBorders>
              <w:top w:val="nil"/>
              <w:left w:val="single" w:sz="4" w:space="0" w:color="auto"/>
              <w:bottom w:val="single" w:sz="4" w:space="0" w:color="auto"/>
              <w:right w:val="single" w:sz="4" w:space="0" w:color="auto"/>
            </w:tcBorders>
            <w:shd w:val="clear" w:color="auto" w:fill="auto"/>
            <w:noWrap/>
            <w:vAlign w:val="bottom"/>
          </w:tcPr>
          <w:p w14:paraId="24751429" w14:textId="0A01B6A3" w:rsidR="00BA6900" w:rsidRPr="009B320F" w:rsidRDefault="00C3370B" w:rsidP="00931DAC">
            <w:pPr>
              <w:spacing w:after="0"/>
              <w:ind w:left="-71"/>
              <w:jc w:val="right"/>
              <w:rPr>
                <w:rFonts w:ascii="Calibri" w:hAnsi="Calibri" w:cs="Calibri"/>
                <w:b/>
                <w:sz w:val="20"/>
                <w:szCs w:val="20"/>
                <w:lang w:eastAsia="cs-CZ"/>
              </w:rPr>
            </w:pPr>
            <w:r>
              <w:rPr>
                <w:rFonts w:ascii="Calibri" w:hAnsi="Calibri" w:cs="Calibri"/>
                <w:b/>
                <w:sz w:val="20"/>
                <w:szCs w:val="20"/>
                <w:lang w:eastAsia="cs-CZ"/>
              </w:rPr>
              <w:t>−</w:t>
            </w:r>
            <w:r w:rsidR="00BA6900" w:rsidRPr="009B320F">
              <w:rPr>
                <w:rFonts w:ascii="Calibri" w:hAnsi="Calibri" w:cs="Calibri"/>
                <w:b/>
                <w:sz w:val="20"/>
                <w:szCs w:val="20"/>
                <w:lang w:eastAsia="cs-CZ"/>
              </w:rPr>
              <w:t>27 121</w:t>
            </w:r>
          </w:p>
        </w:tc>
        <w:tc>
          <w:tcPr>
            <w:tcW w:w="488" w:type="pct"/>
            <w:tcBorders>
              <w:top w:val="nil"/>
              <w:left w:val="nil"/>
              <w:bottom w:val="single" w:sz="4" w:space="0" w:color="auto"/>
              <w:right w:val="single" w:sz="4" w:space="0" w:color="auto"/>
            </w:tcBorders>
            <w:shd w:val="clear" w:color="auto" w:fill="auto"/>
            <w:noWrap/>
            <w:vAlign w:val="bottom"/>
          </w:tcPr>
          <w:p w14:paraId="3A932763" w14:textId="7EC8516B" w:rsidR="00BA6900" w:rsidRPr="009B320F" w:rsidRDefault="00C3370B" w:rsidP="00221850">
            <w:pPr>
              <w:spacing w:after="0"/>
              <w:jc w:val="right"/>
              <w:rPr>
                <w:rFonts w:ascii="Calibri" w:hAnsi="Calibri" w:cs="Calibri"/>
                <w:b/>
                <w:sz w:val="20"/>
                <w:szCs w:val="20"/>
                <w:lang w:eastAsia="cs-CZ"/>
              </w:rPr>
            </w:pPr>
            <w:r>
              <w:rPr>
                <w:rFonts w:ascii="Calibri" w:hAnsi="Calibri" w:cs="Calibri"/>
                <w:b/>
                <w:sz w:val="20"/>
                <w:szCs w:val="20"/>
                <w:lang w:eastAsia="cs-CZ"/>
              </w:rPr>
              <w:t>−</w:t>
            </w:r>
            <w:r w:rsidR="00BA6900" w:rsidRPr="009B320F">
              <w:rPr>
                <w:rFonts w:ascii="Calibri" w:hAnsi="Calibri" w:cs="Calibri"/>
                <w:b/>
                <w:sz w:val="20"/>
                <w:szCs w:val="20"/>
                <w:lang w:eastAsia="cs-CZ"/>
              </w:rPr>
              <w:t>16 551</w:t>
            </w:r>
          </w:p>
        </w:tc>
        <w:tc>
          <w:tcPr>
            <w:tcW w:w="488" w:type="pct"/>
            <w:tcBorders>
              <w:top w:val="nil"/>
              <w:left w:val="nil"/>
              <w:bottom w:val="single" w:sz="4" w:space="0" w:color="auto"/>
              <w:right w:val="single" w:sz="4" w:space="0" w:color="auto"/>
            </w:tcBorders>
            <w:shd w:val="clear" w:color="auto" w:fill="auto"/>
            <w:noWrap/>
            <w:vAlign w:val="bottom"/>
          </w:tcPr>
          <w:p w14:paraId="3A5AC72C" w14:textId="65E87DA4"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+11 582</w:t>
            </w:r>
          </w:p>
        </w:tc>
        <w:tc>
          <w:tcPr>
            <w:tcW w:w="488" w:type="pct"/>
            <w:tcBorders>
              <w:top w:val="nil"/>
              <w:left w:val="nil"/>
              <w:bottom w:val="single" w:sz="4" w:space="0" w:color="auto"/>
              <w:right w:val="single" w:sz="4" w:space="0" w:color="auto"/>
            </w:tcBorders>
            <w:shd w:val="clear" w:color="auto" w:fill="auto"/>
            <w:noWrap/>
            <w:vAlign w:val="bottom"/>
          </w:tcPr>
          <w:p w14:paraId="4797C464" w14:textId="2328DB84" w:rsidR="00BA6900" w:rsidRPr="009B320F" w:rsidRDefault="00C3370B" w:rsidP="00221850">
            <w:pPr>
              <w:spacing w:after="0"/>
              <w:jc w:val="right"/>
              <w:rPr>
                <w:rFonts w:ascii="Calibri" w:hAnsi="Calibri" w:cs="Calibri"/>
                <w:b/>
                <w:sz w:val="20"/>
                <w:szCs w:val="20"/>
                <w:lang w:eastAsia="cs-CZ"/>
              </w:rPr>
            </w:pPr>
            <w:r>
              <w:rPr>
                <w:rFonts w:ascii="Calibri" w:hAnsi="Calibri" w:cs="Calibri"/>
                <w:b/>
                <w:sz w:val="20"/>
                <w:szCs w:val="20"/>
                <w:lang w:eastAsia="cs-CZ"/>
              </w:rPr>
              <w:t>−</w:t>
            </w:r>
            <w:r w:rsidR="00BA6900" w:rsidRPr="009B320F">
              <w:rPr>
                <w:rFonts w:ascii="Calibri" w:hAnsi="Calibri" w:cs="Calibri"/>
                <w:b/>
                <w:sz w:val="20"/>
                <w:szCs w:val="20"/>
                <w:lang w:eastAsia="cs-CZ"/>
              </w:rPr>
              <w:t>8 336</w:t>
            </w:r>
          </w:p>
        </w:tc>
        <w:tc>
          <w:tcPr>
            <w:tcW w:w="488" w:type="pct"/>
            <w:tcBorders>
              <w:top w:val="nil"/>
              <w:left w:val="nil"/>
              <w:bottom w:val="single" w:sz="4" w:space="0" w:color="auto"/>
              <w:right w:val="single" w:sz="4" w:space="0" w:color="auto"/>
            </w:tcBorders>
            <w:shd w:val="clear" w:color="auto" w:fill="auto"/>
            <w:noWrap/>
            <w:vAlign w:val="bottom"/>
          </w:tcPr>
          <w:p w14:paraId="24560F44" w14:textId="717A0FBF" w:rsidR="00BA6900" w:rsidRPr="009B320F" w:rsidRDefault="00C3370B" w:rsidP="00221850">
            <w:pPr>
              <w:spacing w:after="0"/>
              <w:jc w:val="right"/>
              <w:rPr>
                <w:rFonts w:ascii="Calibri" w:hAnsi="Calibri" w:cs="Calibri"/>
                <w:b/>
                <w:sz w:val="20"/>
                <w:szCs w:val="20"/>
                <w:lang w:eastAsia="cs-CZ"/>
              </w:rPr>
            </w:pPr>
            <w:r>
              <w:rPr>
                <w:rFonts w:ascii="Calibri" w:hAnsi="Calibri" w:cs="Calibri"/>
                <w:b/>
                <w:sz w:val="20"/>
                <w:szCs w:val="20"/>
                <w:lang w:eastAsia="cs-CZ"/>
              </w:rPr>
              <w:t>−</w:t>
            </w:r>
            <w:r w:rsidR="00BA6900" w:rsidRPr="009B320F">
              <w:rPr>
                <w:rFonts w:ascii="Calibri" w:hAnsi="Calibri" w:cs="Calibri"/>
                <w:b/>
                <w:sz w:val="20"/>
                <w:szCs w:val="20"/>
                <w:lang w:eastAsia="cs-CZ"/>
              </w:rPr>
              <w:t>13 279</w:t>
            </w:r>
          </w:p>
        </w:tc>
        <w:tc>
          <w:tcPr>
            <w:tcW w:w="488" w:type="pct"/>
            <w:tcBorders>
              <w:top w:val="nil"/>
              <w:left w:val="nil"/>
              <w:bottom w:val="single" w:sz="4" w:space="0" w:color="auto"/>
              <w:right w:val="single" w:sz="4" w:space="0" w:color="auto"/>
            </w:tcBorders>
            <w:shd w:val="clear" w:color="auto" w:fill="auto"/>
            <w:noWrap/>
            <w:vAlign w:val="bottom"/>
          </w:tcPr>
          <w:p w14:paraId="14945C80" w14:textId="72BB0673" w:rsidR="00BA6900" w:rsidRPr="009B320F" w:rsidRDefault="00C3370B" w:rsidP="00221850">
            <w:pPr>
              <w:spacing w:after="0"/>
              <w:jc w:val="right"/>
              <w:rPr>
                <w:rFonts w:ascii="Calibri" w:hAnsi="Calibri" w:cs="Calibri"/>
                <w:b/>
                <w:sz w:val="20"/>
                <w:szCs w:val="20"/>
                <w:lang w:eastAsia="cs-CZ"/>
              </w:rPr>
            </w:pPr>
            <w:r>
              <w:rPr>
                <w:rFonts w:ascii="Calibri" w:hAnsi="Calibri" w:cs="Calibri"/>
                <w:b/>
                <w:sz w:val="20"/>
                <w:szCs w:val="20"/>
                <w:lang w:eastAsia="cs-CZ"/>
              </w:rPr>
              <w:t>−</w:t>
            </w:r>
            <w:r w:rsidR="00BA6900" w:rsidRPr="009B320F">
              <w:rPr>
                <w:rFonts w:ascii="Calibri" w:hAnsi="Calibri" w:cs="Calibri"/>
                <w:b/>
                <w:sz w:val="20"/>
                <w:szCs w:val="20"/>
                <w:lang w:eastAsia="cs-CZ"/>
              </w:rPr>
              <w:t>27 483</w:t>
            </w:r>
          </w:p>
        </w:tc>
        <w:tc>
          <w:tcPr>
            <w:tcW w:w="488" w:type="pct"/>
            <w:tcBorders>
              <w:top w:val="nil"/>
              <w:left w:val="nil"/>
              <w:bottom w:val="single" w:sz="4" w:space="0" w:color="auto"/>
              <w:right w:val="single" w:sz="4" w:space="0" w:color="auto"/>
            </w:tcBorders>
            <w:shd w:val="clear" w:color="auto" w:fill="auto"/>
            <w:noWrap/>
            <w:vAlign w:val="bottom"/>
          </w:tcPr>
          <w:p w14:paraId="1AAD6834" w14:textId="0BF3518E" w:rsidR="00BA6900" w:rsidRPr="009B320F" w:rsidRDefault="00C3370B" w:rsidP="00221850">
            <w:pPr>
              <w:spacing w:after="0"/>
              <w:jc w:val="right"/>
              <w:rPr>
                <w:rFonts w:ascii="Calibri" w:hAnsi="Calibri" w:cs="Calibri"/>
                <w:b/>
                <w:sz w:val="20"/>
                <w:szCs w:val="20"/>
                <w:lang w:eastAsia="cs-CZ"/>
              </w:rPr>
            </w:pPr>
            <w:r>
              <w:rPr>
                <w:rFonts w:ascii="Calibri" w:hAnsi="Calibri" w:cs="Calibri"/>
                <w:b/>
                <w:sz w:val="20"/>
                <w:szCs w:val="20"/>
                <w:lang w:eastAsia="cs-CZ"/>
              </w:rPr>
              <w:t>−</w:t>
            </w:r>
            <w:r w:rsidR="00BA6900" w:rsidRPr="009B320F">
              <w:rPr>
                <w:rFonts w:ascii="Calibri" w:hAnsi="Calibri" w:cs="Calibri"/>
                <w:b/>
                <w:sz w:val="20"/>
                <w:szCs w:val="20"/>
                <w:lang w:eastAsia="cs-CZ"/>
              </w:rPr>
              <w:t>1 762</w:t>
            </w:r>
          </w:p>
        </w:tc>
        <w:tc>
          <w:tcPr>
            <w:tcW w:w="488" w:type="pct"/>
            <w:tcBorders>
              <w:top w:val="nil"/>
              <w:left w:val="nil"/>
              <w:bottom w:val="single" w:sz="4" w:space="0" w:color="auto"/>
              <w:right w:val="single" w:sz="4" w:space="0" w:color="auto"/>
            </w:tcBorders>
            <w:shd w:val="clear" w:color="auto" w:fill="auto"/>
            <w:noWrap/>
            <w:vAlign w:val="bottom"/>
          </w:tcPr>
          <w:p w14:paraId="0983543B" w14:textId="108C7E18" w:rsidR="00BA6900" w:rsidRPr="009B320F" w:rsidRDefault="00BA6900" w:rsidP="00221850">
            <w:pPr>
              <w:spacing w:after="0"/>
              <w:jc w:val="right"/>
              <w:rPr>
                <w:rFonts w:ascii="Calibri" w:hAnsi="Calibri" w:cs="Calibri"/>
                <w:b/>
                <w:sz w:val="20"/>
                <w:szCs w:val="20"/>
                <w:lang w:eastAsia="cs-CZ"/>
              </w:rPr>
            </w:pPr>
            <w:r w:rsidRPr="009B320F">
              <w:rPr>
                <w:rFonts w:ascii="Calibri" w:hAnsi="Calibri" w:cs="Calibri"/>
                <w:b/>
                <w:sz w:val="20"/>
                <w:szCs w:val="20"/>
                <w:lang w:eastAsia="cs-CZ"/>
              </w:rPr>
              <w:t>+7 184</w:t>
            </w:r>
          </w:p>
        </w:tc>
      </w:tr>
      <w:tr w:rsidR="00343E58" w14:paraId="66C11CA1" w14:textId="77777777" w:rsidTr="00907108">
        <w:trPr>
          <w:trHeight w:val="315"/>
        </w:trPr>
        <w:tc>
          <w:tcPr>
            <w:tcW w:w="10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EB874" w14:textId="58B2A0B9" w:rsidR="00BA6900" w:rsidRPr="009B320F" w:rsidRDefault="00BA6900" w:rsidP="00931DAC">
            <w:pPr>
              <w:spacing w:after="0"/>
              <w:rPr>
                <w:rFonts w:ascii="Calibri" w:hAnsi="Calibri" w:cs="Calibri"/>
                <w:sz w:val="20"/>
                <w:szCs w:val="20"/>
                <w:lang w:eastAsia="cs-CZ"/>
              </w:rPr>
            </w:pPr>
            <w:r w:rsidRPr="009B320F">
              <w:rPr>
                <w:rFonts w:ascii="Calibri" w:hAnsi="Calibri" w:cs="Calibri"/>
                <w:sz w:val="20"/>
                <w:szCs w:val="20"/>
                <w:lang w:eastAsia="cs-CZ"/>
              </w:rPr>
              <w:t>Čistý peněžní tok z</w:t>
            </w:r>
            <w:r w:rsidR="00E62184">
              <w:rPr>
                <w:rFonts w:ascii="Calibri" w:hAnsi="Calibri" w:cs="Calibri"/>
                <w:sz w:val="20"/>
                <w:szCs w:val="20"/>
                <w:lang w:eastAsia="cs-CZ"/>
              </w:rPr>
              <w:t> </w:t>
            </w:r>
            <w:r w:rsidRPr="009B320F">
              <w:rPr>
                <w:rFonts w:ascii="Calibri" w:hAnsi="Calibri" w:cs="Calibri"/>
                <w:sz w:val="20"/>
                <w:szCs w:val="20"/>
                <w:lang w:eastAsia="cs-CZ"/>
              </w:rPr>
              <w:t>provozní činnosti</w:t>
            </w:r>
          </w:p>
        </w:tc>
        <w:tc>
          <w:tcPr>
            <w:tcW w:w="488" w:type="pct"/>
            <w:tcBorders>
              <w:top w:val="nil"/>
              <w:left w:val="single" w:sz="4" w:space="0" w:color="auto"/>
              <w:bottom w:val="single" w:sz="4" w:space="0" w:color="auto"/>
              <w:right w:val="single" w:sz="4" w:space="0" w:color="auto"/>
            </w:tcBorders>
            <w:shd w:val="clear" w:color="auto" w:fill="auto"/>
            <w:noWrap/>
            <w:vAlign w:val="bottom"/>
          </w:tcPr>
          <w:p w14:paraId="5E5700F2" w14:textId="78CE1976" w:rsidR="00BA6900" w:rsidRPr="009B320F" w:rsidRDefault="00C3370B" w:rsidP="00221850">
            <w:pPr>
              <w:spacing w:after="0"/>
              <w:jc w:val="right"/>
              <w:rPr>
                <w:rFonts w:ascii="Calibri" w:hAnsi="Calibri" w:cs="Calibri"/>
                <w:sz w:val="20"/>
                <w:szCs w:val="20"/>
                <w:lang w:eastAsia="cs-CZ"/>
              </w:rPr>
            </w:pPr>
            <w:r>
              <w:rPr>
                <w:rFonts w:ascii="Calibri" w:hAnsi="Calibri" w:cs="Calibri"/>
                <w:sz w:val="20"/>
                <w:szCs w:val="20"/>
                <w:lang w:eastAsia="cs-CZ"/>
              </w:rPr>
              <w:t>–</w:t>
            </w:r>
            <w:r w:rsidR="00BA6900" w:rsidRPr="009B320F">
              <w:rPr>
                <w:rFonts w:ascii="Calibri" w:hAnsi="Calibri" w:cs="Calibri"/>
                <w:sz w:val="20"/>
                <w:szCs w:val="20"/>
                <w:lang w:eastAsia="cs-CZ"/>
              </w:rPr>
              <w:t>*</w:t>
            </w:r>
          </w:p>
        </w:tc>
        <w:tc>
          <w:tcPr>
            <w:tcW w:w="488" w:type="pct"/>
            <w:tcBorders>
              <w:top w:val="nil"/>
              <w:left w:val="nil"/>
              <w:bottom w:val="single" w:sz="4" w:space="0" w:color="auto"/>
              <w:right w:val="single" w:sz="4" w:space="0" w:color="auto"/>
            </w:tcBorders>
            <w:shd w:val="clear" w:color="auto" w:fill="auto"/>
            <w:noWrap/>
            <w:vAlign w:val="bottom"/>
          </w:tcPr>
          <w:p w14:paraId="4ACC36B4" w14:textId="15B3AD4B" w:rsidR="00BA6900" w:rsidRPr="009B320F" w:rsidRDefault="00C3370B" w:rsidP="00221850">
            <w:pPr>
              <w:spacing w:after="0"/>
              <w:jc w:val="right"/>
              <w:rPr>
                <w:rFonts w:ascii="Calibri" w:hAnsi="Calibri" w:cs="Calibri"/>
                <w:sz w:val="20"/>
                <w:szCs w:val="20"/>
                <w:lang w:eastAsia="cs-CZ"/>
              </w:rPr>
            </w:pPr>
            <w:r>
              <w:rPr>
                <w:rFonts w:ascii="Calibri" w:hAnsi="Calibri" w:cs="Calibri"/>
                <w:sz w:val="20"/>
                <w:szCs w:val="20"/>
                <w:lang w:eastAsia="cs-CZ"/>
              </w:rPr>
              <w:t>–</w:t>
            </w:r>
            <w:r w:rsidR="00BA6900" w:rsidRPr="009B320F">
              <w:rPr>
                <w:rFonts w:ascii="Calibri" w:hAnsi="Calibri" w:cs="Calibri"/>
                <w:sz w:val="20"/>
                <w:szCs w:val="20"/>
                <w:lang w:eastAsia="cs-CZ"/>
              </w:rPr>
              <w:t>*</w:t>
            </w:r>
          </w:p>
        </w:tc>
        <w:tc>
          <w:tcPr>
            <w:tcW w:w="488" w:type="pct"/>
            <w:tcBorders>
              <w:top w:val="nil"/>
              <w:left w:val="nil"/>
              <w:bottom w:val="single" w:sz="4" w:space="0" w:color="auto"/>
              <w:right w:val="single" w:sz="4" w:space="0" w:color="auto"/>
            </w:tcBorders>
            <w:shd w:val="clear" w:color="auto" w:fill="auto"/>
            <w:noWrap/>
            <w:vAlign w:val="bottom"/>
          </w:tcPr>
          <w:p w14:paraId="175B7BB9"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15 698</w:t>
            </w:r>
          </w:p>
        </w:tc>
        <w:tc>
          <w:tcPr>
            <w:tcW w:w="488" w:type="pct"/>
            <w:tcBorders>
              <w:top w:val="nil"/>
              <w:left w:val="nil"/>
              <w:bottom w:val="single" w:sz="4" w:space="0" w:color="auto"/>
              <w:right w:val="single" w:sz="4" w:space="0" w:color="auto"/>
            </w:tcBorders>
            <w:shd w:val="clear" w:color="auto" w:fill="auto"/>
            <w:noWrap/>
            <w:vAlign w:val="bottom"/>
          </w:tcPr>
          <w:p w14:paraId="2BA62400"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6 314</w:t>
            </w:r>
          </w:p>
        </w:tc>
        <w:tc>
          <w:tcPr>
            <w:tcW w:w="488" w:type="pct"/>
            <w:tcBorders>
              <w:top w:val="nil"/>
              <w:left w:val="nil"/>
              <w:bottom w:val="single" w:sz="4" w:space="0" w:color="auto"/>
              <w:right w:val="single" w:sz="4" w:space="0" w:color="auto"/>
            </w:tcBorders>
            <w:shd w:val="clear" w:color="auto" w:fill="auto"/>
            <w:noWrap/>
            <w:vAlign w:val="bottom"/>
          </w:tcPr>
          <w:p w14:paraId="1FBFEBE5"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15 366</w:t>
            </w:r>
          </w:p>
        </w:tc>
        <w:tc>
          <w:tcPr>
            <w:tcW w:w="488" w:type="pct"/>
            <w:tcBorders>
              <w:top w:val="nil"/>
              <w:left w:val="nil"/>
              <w:bottom w:val="single" w:sz="4" w:space="0" w:color="auto"/>
              <w:right w:val="single" w:sz="4" w:space="0" w:color="auto"/>
            </w:tcBorders>
            <w:shd w:val="clear" w:color="auto" w:fill="auto"/>
            <w:noWrap/>
            <w:vAlign w:val="bottom"/>
          </w:tcPr>
          <w:p w14:paraId="20C96624"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18 518</w:t>
            </w:r>
          </w:p>
        </w:tc>
        <w:tc>
          <w:tcPr>
            <w:tcW w:w="488" w:type="pct"/>
            <w:tcBorders>
              <w:top w:val="nil"/>
              <w:left w:val="nil"/>
              <w:bottom w:val="single" w:sz="4" w:space="0" w:color="auto"/>
              <w:right w:val="single" w:sz="4" w:space="0" w:color="auto"/>
            </w:tcBorders>
            <w:shd w:val="clear" w:color="auto" w:fill="auto"/>
            <w:noWrap/>
            <w:vAlign w:val="bottom"/>
          </w:tcPr>
          <w:p w14:paraId="69604486"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15 885</w:t>
            </w:r>
          </w:p>
        </w:tc>
        <w:tc>
          <w:tcPr>
            <w:tcW w:w="488" w:type="pct"/>
            <w:tcBorders>
              <w:top w:val="nil"/>
              <w:left w:val="nil"/>
              <w:bottom w:val="single" w:sz="4" w:space="0" w:color="auto"/>
              <w:right w:val="single" w:sz="4" w:space="0" w:color="auto"/>
            </w:tcBorders>
            <w:shd w:val="clear" w:color="auto" w:fill="auto"/>
            <w:noWrap/>
            <w:vAlign w:val="bottom"/>
          </w:tcPr>
          <w:p w14:paraId="2D31B387"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14 159</w:t>
            </w:r>
          </w:p>
        </w:tc>
      </w:tr>
      <w:tr w:rsidR="00343E58" w14:paraId="6516548F" w14:textId="77777777" w:rsidTr="00907108">
        <w:trPr>
          <w:trHeight w:val="315"/>
        </w:trPr>
        <w:tc>
          <w:tcPr>
            <w:tcW w:w="10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43D7C" w14:textId="77777777" w:rsidR="00BA6900" w:rsidRPr="009B320F" w:rsidRDefault="00BA6900" w:rsidP="00931DAC">
            <w:pPr>
              <w:spacing w:after="0"/>
              <w:rPr>
                <w:rFonts w:ascii="Calibri" w:hAnsi="Calibri" w:cs="Calibri"/>
                <w:sz w:val="20"/>
                <w:szCs w:val="20"/>
                <w:lang w:eastAsia="cs-CZ"/>
              </w:rPr>
            </w:pPr>
            <w:r w:rsidRPr="009B320F">
              <w:rPr>
                <w:rFonts w:ascii="Calibri" w:hAnsi="Calibri" w:cs="Calibri"/>
                <w:sz w:val="20"/>
                <w:szCs w:val="20"/>
                <w:lang w:eastAsia="cs-CZ"/>
              </w:rPr>
              <w:t xml:space="preserve">Výsledek hospodaření po zdanění </w:t>
            </w:r>
          </w:p>
        </w:tc>
        <w:tc>
          <w:tcPr>
            <w:tcW w:w="488" w:type="pct"/>
            <w:tcBorders>
              <w:top w:val="nil"/>
              <w:left w:val="single" w:sz="4" w:space="0" w:color="auto"/>
              <w:bottom w:val="single" w:sz="4" w:space="0" w:color="auto"/>
              <w:right w:val="single" w:sz="4" w:space="0" w:color="auto"/>
            </w:tcBorders>
            <w:shd w:val="clear" w:color="auto" w:fill="auto"/>
            <w:noWrap/>
            <w:vAlign w:val="bottom"/>
          </w:tcPr>
          <w:p w14:paraId="1B676E3A"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1 683</w:t>
            </w:r>
          </w:p>
        </w:tc>
        <w:tc>
          <w:tcPr>
            <w:tcW w:w="488" w:type="pct"/>
            <w:tcBorders>
              <w:top w:val="nil"/>
              <w:left w:val="nil"/>
              <w:bottom w:val="single" w:sz="4" w:space="0" w:color="auto"/>
              <w:right w:val="single" w:sz="4" w:space="0" w:color="auto"/>
            </w:tcBorders>
            <w:shd w:val="clear" w:color="auto" w:fill="auto"/>
            <w:noWrap/>
            <w:vAlign w:val="bottom"/>
          </w:tcPr>
          <w:p w14:paraId="69FC790A"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3 822</w:t>
            </w:r>
          </w:p>
        </w:tc>
        <w:tc>
          <w:tcPr>
            <w:tcW w:w="488" w:type="pct"/>
            <w:tcBorders>
              <w:top w:val="nil"/>
              <w:left w:val="nil"/>
              <w:bottom w:val="single" w:sz="4" w:space="0" w:color="auto"/>
              <w:right w:val="single" w:sz="4" w:space="0" w:color="auto"/>
            </w:tcBorders>
            <w:shd w:val="clear" w:color="auto" w:fill="auto"/>
            <w:noWrap/>
            <w:vAlign w:val="bottom"/>
          </w:tcPr>
          <w:p w14:paraId="15BC69E6"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5 104</w:t>
            </w:r>
          </w:p>
        </w:tc>
        <w:tc>
          <w:tcPr>
            <w:tcW w:w="488" w:type="pct"/>
            <w:tcBorders>
              <w:top w:val="nil"/>
              <w:left w:val="nil"/>
              <w:bottom w:val="single" w:sz="4" w:space="0" w:color="auto"/>
              <w:right w:val="single" w:sz="4" w:space="0" w:color="auto"/>
            </w:tcBorders>
            <w:shd w:val="clear" w:color="auto" w:fill="auto"/>
            <w:noWrap/>
            <w:vAlign w:val="bottom"/>
          </w:tcPr>
          <w:p w14:paraId="78375A4B"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7 718</w:t>
            </w:r>
          </w:p>
        </w:tc>
        <w:tc>
          <w:tcPr>
            <w:tcW w:w="488" w:type="pct"/>
            <w:tcBorders>
              <w:top w:val="nil"/>
              <w:left w:val="nil"/>
              <w:bottom w:val="single" w:sz="4" w:space="0" w:color="auto"/>
              <w:right w:val="single" w:sz="4" w:space="0" w:color="auto"/>
            </w:tcBorders>
            <w:shd w:val="clear" w:color="auto" w:fill="auto"/>
            <w:noWrap/>
            <w:vAlign w:val="bottom"/>
          </w:tcPr>
          <w:p w14:paraId="7E8FE2DB"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6 684</w:t>
            </w:r>
          </w:p>
        </w:tc>
        <w:tc>
          <w:tcPr>
            <w:tcW w:w="488" w:type="pct"/>
            <w:tcBorders>
              <w:top w:val="nil"/>
              <w:left w:val="nil"/>
              <w:bottom w:val="single" w:sz="4" w:space="0" w:color="auto"/>
              <w:right w:val="single" w:sz="4" w:space="0" w:color="auto"/>
            </w:tcBorders>
            <w:shd w:val="clear" w:color="auto" w:fill="auto"/>
            <w:noWrap/>
            <w:vAlign w:val="bottom"/>
          </w:tcPr>
          <w:p w14:paraId="70FEF640"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1 011</w:t>
            </w:r>
          </w:p>
        </w:tc>
        <w:tc>
          <w:tcPr>
            <w:tcW w:w="488" w:type="pct"/>
            <w:tcBorders>
              <w:top w:val="nil"/>
              <w:left w:val="nil"/>
              <w:bottom w:val="single" w:sz="4" w:space="0" w:color="auto"/>
              <w:right w:val="single" w:sz="4" w:space="0" w:color="auto"/>
            </w:tcBorders>
            <w:shd w:val="clear" w:color="auto" w:fill="auto"/>
            <w:noWrap/>
            <w:vAlign w:val="bottom"/>
          </w:tcPr>
          <w:p w14:paraId="0039D77C"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2 849</w:t>
            </w:r>
          </w:p>
        </w:tc>
        <w:tc>
          <w:tcPr>
            <w:tcW w:w="488" w:type="pct"/>
            <w:tcBorders>
              <w:top w:val="nil"/>
              <w:left w:val="nil"/>
              <w:bottom w:val="single" w:sz="4" w:space="0" w:color="auto"/>
              <w:right w:val="single" w:sz="4" w:space="0" w:color="auto"/>
            </w:tcBorders>
            <w:shd w:val="clear" w:color="auto" w:fill="auto"/>
            <w:noWrap/>
            <w:vAlign w:val="bottom"/>
          </w:tcPr>
          <w:p w14:paraId="460C689E" w14:textId="77777777" w:rsidR="00BA6900" w:rsidRPr="009B320F" w:rsidRDefault="00BA6900" w:rsidP="00221850">
            <w:pPr>
              <w:spacing w:after="0"/>
              <w:jc w:val="right"/>
              <w:rPr>
                <w:rFonts w:ascii="Calibri" w:hAnsi="Calibri" w:cs="Calibri"/>
                <w:sz w:val="20"/>
                <w:szCs w:val="20"/>
                <w:lang w:eastAsia="cs-CZ"/>
              </w:rPr>
            </w:pPr>
            <w:r w:rsidRPr="009B320F">
              <w:rPr>
                <w:rFonts w:ascii="Calibri" w:hAnsi="Calibri" w:cs="Calibri"/>
                <w:sz w:val="20"/>
                <w:szCs w:val="20"/>
                <w:lang w:eastAsia="cs-CZ"/>
              </w:rPr>
              <w:t>2 999</w:t>
            </w:r>
          </w:p>
        </w:tc>
      </w:tr>
    </w:tbl>
    <w:p w14:paraId="709B6212" w14:textId="629673DF" w:rsidR="00C3370B" w:rsidRPr="009B320F" w:rsidRDefault="00C3370B" w:rsidP="00C3370B">
      <w:pPr>
        <w:autoSpaceDE w:val="0"/>
        <w:autoSpaceDN w:val="0"/>
        <w:adjustRightInd w:val="0"/>
        <w:spacing w:after="0"/>
        <w:rPr>
          <w:rFonts w:cstheme="minorHAnsi"/>
          <w:sz w:val="20"/>
          <w:szCs w:val="20"/>
        </w:rPr>
      </w:pPr>
      <w:r w:rsidRPr="00931DAC">
        <w:rPr>
          <w:rFonts w:cstheme="minorHAnsi"/>
          <w:b/>
          <w:bCs/>
          <w:sz w:val="20"/>
          <w:szCs w:val="20"/>
        </w:rPr>
        <w:t>Zdroj:</w:t>
      </w:r>
      <w:r w:rsidRPr="009B320F">
        <w:rPr>
          <w:rFonts w:cstheme="minorHAnsi"/>
          <w:sz w:val="20"/>
          <w:szCs w:val="20"/>
        </w:rPr>
        <w:t xml:space="preserve"> účetní závěrk</w:t>
      </w:r>
      <w:r>
        <w:rPr>
          <w:rFonts w:cstheme="minorHAnsi"/>
          <w:sz w:val="20"/>
          <w:szCs w:val="20"/>
        </w:rPr>
        <w:t>y</w:t>
      </w:r>
      <w:r w:rsidRPr="009B320F">
        <w:rPr>
          <w:rFonts w:cstheme="minorHAnsi"/>
          <w:sz w:val="20"/>
          <w:szCs w:val="20"/>
        </w:rPr>
        <w:t xml:space="preserve"> EZÚ za jednotlivé roky 2014 až 2021.</w:t>
      </w:r>
    </w:p>
    <w:p w14:paraId="1C3F2544" w14:textId="478DEA1E" w:rsidR="00A72E41" w:rsidRDefault="00BA6900" w:rsidP="00A72E41">
      <w:pPr>
        <w:autoSpaceDE w:val="0"/>
        <w:autoSpaceDN w:val="0"/>
        <w:adjustRightInd w:val="0"/>
        <w:spacing w:after="0"/>
        <w:rPr>
          <w:rFonts w:cstheme="minorHAnsi"/>
          <w:sz w:val="20"/>
          <w:szCs w:val="20"/>
        </w:rPr>
      </w:pPr>
      <w:r w:rsidRPr="009B320F">
        <w:rPr>
          <w:rFonts w:cstheme="minorHAnsi"/>
          <w:sz w:val="20"/>
          <w:szCs w:val="20"/>
        </w:rPr>
        <w:t>* Účetní závěrk</w:t>
      </w:r>
      <w:r w:rsidR="00C3370B">
        <w:rPr>
          <w:rFonts w:cstheme="minorHAnsi"/>
          <w:sz w:val="20"/>
          <w:szCs w:val="20"/>
        </w:rPr>
        <w:t>y</w:t>
      </w:r>
      <w:r w:rsidRPr="009B320F">
        <w:rPr>
          <w:rFonts w:cstheme="minorHAnsi"/>
          <w:sz w:val="20"/>
          <w:szCs w:val="20"/>
        </w:rPr>
        <w:t xml:space="preserve"> za roky 2014 a 2015 neobsahoval</w:t>
      </w:r>
      <w:r w:rsidR="00C3370B">
        <w:rPr>
          <w:rFonts w:cstheme="minorHAnsi"/>
          <w:sz w:val="20"/>
          <w:szCs w:val="20"/>
        </w:rPr>
        <w:t>y</w:t>
      </w:r>
      <w:r w:rsidRPr="009B320F">
        <w:rPr>
          <w:rFonts w:cstheme="minorHAnsi"/>
          <w:sz w:val="20"/>
          <w:szCs w:val="20"/>
        </w:rPr>
        <w:t xml:space="preserve"> výkaz cash </w:t>
      </w:r>
      <w:proofErr w:type="spellStart"/>
      <w:r w:rsidRPr="009B320F">
        <w:rPr>
          <w:rFonts w:cstheme="minorHAnsi"/>
          <w:sz w:val="20"/>
          <w:szCs w:val="20"/>
        </w:rPr>
        <w:t>flow</w:t>
      </w:r>
      <w:proofErr w:type="spellEnd"/>
      <w:r w:rsidRPr="009B320F">
        <w:rPr>
          <w:rFonts w:cstheme="minorHAnsi"/>
          <w:sz w:val="20"/>
          <w:szCs w:val="20"/>
        </w:rPr>
        <w:t>.</w:t>
      </w:r>
      <w:r w:rsidR="00A72E41" w:rsidRPr="00A72E41">
        <w:rPr>
          <w:rFonts w:cstheme="minorHAnsi"/>
          <w:sz w:val="20"/>
          <w:szCs w:val="20"/>
        </w:rPr>
        <w:t xml:space="preserve"> </w:t>
      </w:r>
    </w:p>
    <w:p w14:paraId="140B122E" w14:textId="77777777" w:rsidR="00BA6900" w:rsidRPr="00931DAC" w:rsidRDefault="00BA6900" w:rsidP="00BA6900">
      <w:pPr>
        <w:autoSpaceDE w:val="0"/>
        <w:autoSpaceDN w:val="0"/>
        <w:adjustRightInd w:val="0"/>
        <w:spacing w:after="0"/>
        <w:rPr>
          <w:rFonts w:cstheme="minorHAnsi"/>
          <w:sz w:val="24"/>
          <w:szCs w:val="24"/>
        </w:rPr>
      </w:pPr>
    </w:p>
    <w:p w14:paraId="2F646CA1" w14:textId="77777777" w:rsidR="00BA6900" w:rsidRPr="00C64B21" w:rsidRDefault="00BA6900" w:rsidP="00931DAC">
      <w:pPr>
        <w:spacing w:after="120"/>
        <w:jc w:val="both"/>
        <w:rPr>
          <w:b/>
          <w:sz w:val="24"/>
        </w:rPr>
      </w:pPr>
      <w:r w:rsidRPr="00C64B21">
        <w:rPr>
          <w:b/>
          <w:sz w:val="24"/>
        </w:rPr>
        <w:t>17,9 mil. Kč bylo nehospodárně a neúčelně vynaloženo na projekt výstavby nové budovy</w:t>
      </w:r>
    </w:p>
    <w:p w14:paraId="6186CE34" w14:textId="48B78B35" w:rsidR="00BA6900" w:rsidRPr="00F0386A" w:rsidRDefault="00BA6900" w:rsidP="00BA6900">
      <w:pPr>
        <w:spacing w:after="0"/>
        <w:jc w:val="both"/>
        <w:rPr>
          <w:sz w:val="24"/>
        </w:rPr>
      </w:pPr>
      <w:r>
        <w:rPr>
          <w:sz w:val="24"/>
        </w:rPr>
        <w:t>Od roku 2014 do poloviny roku 2019 se EZÚ ani dozorčí rada nezabývaly dopadem plánované výstavby na hospodaření státního podniku, zejména jejím dopadem na cash flow a schopnost podniku splácet své finanční závazky řádně a včas. V roce 2018 dokonce provedla dozorčí rada kontrolní akci pro účetní rok 2017, ve které se zabývala hospodárností a účelností peněžních prostředků vynaložených na přípravu výstavby nové budovy</w:t>
      </w:r>
      <w:r w:rsidR="00907108">
        <w:rPr>
          <w:sz w:val="24"/>
        </w:rPr>
        <w:t>,</w:t>
      </w:r>
      <w:r>
        <w:rPr>
          <w:sz w:val="24"/>
        </w:rPr>
        <w:t xml:space="preserve"> a konstatovala, že projekt zdárně běží, jeví se finančn</w:t>
      </w:r>
      <w:r w:rsidR="00907108">
        <w:rPr>
          <w:sz w:val="24"/>
        </w:rPr>
        <w:t>ě</w:t>
      </w:r>
      <w:r>
        <w:rPr>
          <w:sz w:val="24"/>
        </w:rPr>
        <w:t xml:space="preserve"> zajištěn a podnik je připraven na předem definovaná rizika, kterým bylo zejména nezískání dotace. Dne 11. května 2020 předložil EZÚ dozorčí radě návrh na pozastavení projektu výstavby nové budovy, která s ním souhlasila a projekt byl zastaven.</w:t>
      </w:r>
    </w:p>
    <w:p w14:paraId="0BA1939C" w14:textId="77777777" w:rsidR="00BA6900" w:rsidRDefault="00BA6900" w:rsidP="00BA6900">
      <w:pPr>
        <w:spacing w:after="0"/>
        <w:jc w:val="both"/>
        <w:rPr>
          <w:sz w:val="24"/>
        </w:rPr>
      </w:pPr>
    </w:p>
    <w:p w14:paraId="50A87EAB" w14:textId="1E600862" w:rsidR="00BA6900" w:rsidRDefault="00BA6900" w:rsidP="00BA6900">
      <w:pPr>
        <w:spacing w:after="0"/>
        <w:jc w:val="both"/>
        <w:rPr>
          <w:sz w:val="24"/>
        </w:rPr>
      </w:pPr>
      <w:r>
        <w:rPr>
          <w:sz w:val="24"/>
        </w:rPr>
        <w:t>Z</w:t>
      </w:r>
      <w:r w:rsidR="00DB50C1">
        <w:rPr>
          <w:sz w:val="24"/>
        </w:rPr>
        <w:t xml:space="preserve"> </w:t>
      </w:r>
      <w:r>
        <w:rPr>
          <w:sz w:val="24"/>
        </w:rPr>
        <w:t xml:space="preserve">celého plánu výstavby nové budovy byla realizována částečná demolice staré budovy za </w:t>
      </w:r>
      <w:r w:rsidR="00DB50C1">
        <w:rPr>
          <w:sz w:val="24"/>
        </w:rPr>
        <w:br/>
      </w:r>
      <w:r>
        <w:rPr>
          <w:sz w:val="24"/>
        </w:rPr>
        <w:t>8,8</w:t>
      </w:r>
      <w:r w:rsidR="00DB50C1">
        <w:rPr>
          <w:sz w:val="24"/>
        </w:rPr>
        <w:t xml:space="preserve"> </w:t>
      </w:r>
      <w:r>
        <w:rPr>
          <w:sz w:val="24"/>
        </w:rPr>
        <w:t>mil. Kč, předprojektová příprava nové budovy od roku 2014 do konce roku 2016 za 2,4</w:t>
      </w:r>
      <w:r w:rsidR="00DB50C1">
        <w:rPr>
          <w:sz w:val="24"/>
        </w:rPr>
        <w:t> </w:t>
      </w:r>
      <w:r>
        <w:rPr>
          <w:sz w:val="24"/>
        </w:rPr>
        <w:t>mil.</w:t>
      </w:r>
      <w:r w:rsidR="00DB50C1">
        <w:rPr>
          <w:sz w:val="24"/>
        </w:rPr>
        <w:t> </w:t>
      </w:r>
      <w:r>
        <w:rPr>
          <w:sz w:val="24"/>
        </w:rPr>
        <w:t xml:space="preserve">Kč a od roku 2018 do roku 2020 projektová příprava za 17,9 mil. Kč. Část konstrukcí staré budovy a suť z ní byly ponechány na místě z důvodu statického zajištění sousedního </w:t>
      </w:r>
      <w:r>
        <w:rPr>
          <w:sz w:val="24"/>
        </w:rPr>
        <w:lastRenderedPageBreak/>
        <w:t xml:space="preserve">svahu. Tento stav má být řešen novou opěrnou zdí (byla od začátku součástí projektu), jejíž náklady byly odhadnuty v roce 2019 na 31,2 mil. Kč. Do doby ukončení kontroly NKÚ tak EZÚ uhradil za tyto práce 29,2 mil. Kč a nejméně dalších 31,2 mil. Kč bude muset vynaložit, což představuje značnou zátěž pro jeho rozpočet. Cílem projektu bylo zajistit dostatečné prostory a další rozvoj státního podniku, avšak reálně bylo dosaženo zcela opačného efektu. </w:t>
      </w:r>
    </w:p>
    <w:p w14:paraId="6B104C65" w14:textId="77777777" w:rsidR="00BA6900" w:rsidRDefault="00BA6900" w:rsidP="00BA6900">
      <w:pPr>
        <w:spacing w:after="0"/>
        <w:jc w:val="both"/>
        <w:rPr>
          <w:b/>
          <w:sz w:val="24"/>
        </w:rPr>
      </w:pPr>
    </w:p>
    <w:p w14:paraId="6B4FBC92" w14:textId="41B5E233" w:rsidR="00BA6900" w:rsidRDefault="00BA6900" w:rsidP="00BA6900">
      <w:pPr>
        <w:spacing w:after="0"/>
        <w:jc w:val="both"/>
        <w:rPr>
          <w:sz w:val="24"/>
        </w:rPr>
      </w:pPr>
      <w:r>
        <w:rPr>
          <w:b/>
          <w:sz w:val="24"/>
        </w:rPr>
        <w:t>Rozhodnutí EZÚ realizovat záměr výstavby nové budovy s</w:t>
      </w:r>
      <w:r w:rsidR="00A77F61">
        <w:rPr>
          <w:b/>
          <w:sz w:val="24"/>
        </w:rPr>
        <w:t xml:space="preserve"> </w:t>
      </w:r>
      <w:r>
        <w:rPr>
          <w:b/>
          <w:sz w:val="24"/>
        </w:rPr>
        <w:t>ohledem na její finanční náročnost bylo od začátku spojeno s významným rizikem, že výstavbu nebude možné realizovat bez dotace a s rizikem vzniku neúčelně a nehospodárně vynaložených peněžních prostředků. Řediteli podniku i jeho dozorčí radě mělo být nejpozději koncem roku 2016 zřejmé, že kvůli finanční náročnosti, objemu peněžních prostředků EZÚ a nezískání zamýšlené dotace je stavba nerealizovatelná. Přesto se rozhodl</w:t>
      </w:r>
      <w:r w:rsidR="00C4566F">
        <w:rPr>
          <w:b/>
          <w:sz w:val="24"/>
        </w:rPr>
        <w:t>i</w:t>
      </w:r>
      <w:r>
        <w:rPr>
          <w:b/>
          <w:sz w:val="24"/>
        </w:rPr>
        <w:t xml:space="preserve"> v přípravě projektu pokračovat, přitom neanalyzoval</w:t>
      </w:r>
      <w:r w:rsidR="00C4566F">
        <w:rPr>
          <w:b/>
          <w:sz w:val="24"/>
        </w:rPr>
        <w:t>i</w:t>
      </w:r>
      <w:r>
        <w:rPr>
          <w:b/>
          <w:sz w:val="24"/>
        </w:rPr>
        <w:t xml:space="preserve"> dopady této investice do hospodaření EZÚ. Od 1. ledna 2017 nabyla účinnosti novela ZSP</w:t>
      </w:r>
      <w:r>
        <w:rPr>
          <w:rStyle w:val="Znakapoznpodarou"/>
          <w:b/>
        </w:rPr>
        <w:footnoteReference w:id="8"/>
      </w:r>
      <w:r>
        <w:rPr>
          <w:b/>
          <w:sz w:val="24"/>
        </w:rPr>
        <w:t>, která zakotvila povinnost orgánů státního podniku počínat si s</w:t>
      </w:r>
      <w:r w:rsidR="00A77F61">
        <w:rPr>
          <w:b/>
          <w:sz w:val="24"/>
        </w:rPr>
        <w:t xml:space="preserve"> </w:t>
      </w:r>
      <w:r>
        <w:rPr>
          <w:b/>
          <w:sz w:val="24"/>
        </w:rPr>
        <w:t>péčí řádného hospodáře</w:t>
      </w:r>
      <w:r>
        <w:rPr>
          <w:rStyle w:val="Znakapoznpodarou"/>
          <w:b/>
        </w:rPr>
        <w:footnoteReference w:id="9"/>
      </w:r>
      <w:r>
        <w:rPr>
          <w:b/>
          <w:sz w:val="24"/>
        </w:rPr>
        <w:t>. NKÚ vyhodnotil, že ředitel a dozorčí rada EZÚ nejednal</w:t>
      </w:r>
      <w:r w:rsidR="00C4566F">
        <w:rPr>
          <w:b/>
          <w:sz w:val="24"/>
        </w:rPr>
        <w:t>i</w:t>
      </w:r>
      <w:r>
        <w:rPr>
          <w:b/>
          <w:sz w:val="24"/>
        </w:rPr>
        <w:t xml:space="preserve"> s</w:t>
      </w:r>
      <w:r w:rsidR="00E344C6">
        <w:rPr>
          <w:b/>
          <w:sz w:val="24"/>
        </w:rPr>
        <w:t xml:space="preserve"> </w:t>
      </w:r>
      <w:r>
        <w:rPr>
          <w:b/>
          <w:sz w:val="24"/>
        </w:rPr>
        <w:t>péčí řádného hospodáře, když včas nezastavili přípravu investice, která měla významné finanční dopady a ohrožovala schopnost podniku splácet své finanční závazky řádně a včas. Peněžní prostředky, které EZÚ se souhlasem dozorčí rady uhradil na přípravu výstavby nové zkušební budovy od ledna 2018</w:t>
      </w:r>
      <w:r>
        <w:rPr>
          <w:rStyle w:val="Znakapoznpodarou"/>
          <w:b/>
          <w:sz w:val="24"/>
        </w:rPr>
        <w:footnoteReference w:id="10"/>
      </w:r>
      <w:r>
        <w:rPr>
          <w:b/>
          <w:sz w:val="24"/>
        </w:rPr>
        <w:t xml:space="preserve"> do června 2020 ve výši 17,9 mil.</w:t>
      </w:r>
      <w:r w:rsidR="00CB0EBF">
        <w:rPr>
          <w:b/>
          <w:sz w:val="24"/>
        </w:rPr>
        <w:t> </w:t>
      </w:r>
      <w:r>
        <w:rPr>
          <w:b/>
          <w:sz w:val="24"/>
        </w:rPr>
        <w:t>Kč, hodnotí NKÚ jako neúčelně a</w:t>
      </w:r>
      <w:r w:rsidR="00C4566F">
        <w:rPr>
          <w:b/>
          <w:sz w:val="24"/>
        </w:rPr>
        <w:t> </w:t>
      </w:r>
      <w:r>
        <w:rPr>
          <w:b/>
          <w:sz w:val="24"/>
        </w:rPr>
        <w:t xml:space="preserve">nehospodárně vynaložené. </w:t>
      </w:r>
    </w:p>
    <w:p w14:paraId="6D020CDF" w14:textId="77777777" w:rsidR="00BA6900" w:rsidRDefault="00BA6900" w:rsidP="00BA6900">
      <w:pPr>
        <w:spacing w:after="0"/>
        <w:jc w:val="both"/>
        <w:rPr>
          <w:sz w:val="24"/>
        </w:rPr>
      </w:pPr>
    </w:p>
    <w:p w14:paraId="02B4AD25" w14:textId="2594C004" w:rsidR="00BA6900" w:rsidRDefault="00BA6900" w:rsidP="00BA6900">
      <w:pPr>
        <w:spacing w:after="0"/>
        <w:jc w:val="both"/>
        <w:rPr>
          <w:sz w:val="24"/>
        </w:rPr>
      </w:pPr>
      <w:r>
        <w:rPr>
          <w:sz w:val="24"/>
        </w:rPr>
        <w:t xml:space="preserve">O celé investici bylo MPO od začátku informováno minimálně prostřednictvím svých zástupců </w:t>
      </w:r>
      <w:r w:rsidR="00A77F61">
        <w:rPr>
          <w:sz w:val="24"/>
        </w:rPr>
        <w:br/>
      </w:r>
      <w:r>
        <w:rPr>
          <w:sz w:val="24"/>
        </w:rPr>
        <w:t>v</w:t>
      </w:r>
      <w:r w:rsidR="00A77F61">
        <w:rPr>
          <w:sz w:val="24"/>
        </w:rPr>
        <w:t xml:space="preserve"> </w:t>
      </w:r>
      <w:r>
        <w:rPr>
          <w:sz w:val="24"/>
        </w:rPr>
        <w:t>dozorčí radě EZÚ, avšak k</w:t>
      </w:r>
      <w:r w:rsidR="00A77F61">
        <w:rPr>
          <w:sz w:val="24"/>
        </w:rPr>
        <w:t xml:space="preserve"> </w:t>
      </w:r>
      <w:r>
        <w:rPr>
          <w:sz w:val="24"/>
        </w:rPr>
        <w:t>celé záležitosti se žádným způsobem v</w:t>
      </w:r>
      <w:r w:rsidR="00A77F61">
        <w:rPr>
          <w:sz w:val="24"/>
        </w:rPr>
        <w:t xml:space="preserve"> </w:t>
      </w:r>
      <w:r>
        <w:rPr>
          <w:sz w:val="24"/>
        </w:rPr>
        <w:t>jejím průběhu nevyjadřovalo. Od konce roku 2019 do konce roku 2020 MPO postupně odvolalo členy dozorčí rady EZÚ jmenované zakladatelem (2/3 celé dozorčí rady) a následně jmenovalo nové. V roce 2020 MPO také odvolalo ředitele EZÚ a následně jmenovalo nového. V roce 2023 si EZÚ nechal vypracovat právní posouzení postupu předchozích statutárních orgánů EZÚ ve věci projektu nové výstavby včetně posouzení uplatnění škody v</w:t>
      </w:r>
      <w:r w:rsidR="00A77F61">
        <w:rPr>
          <w:sz w:val="24"/>
        </w:rPr>
        <w:t xml:space="preserve"> </w:t>
      </w:r>
      <w:r>
        <w:rPr>
          <w:sz w:val="24"/>
        </w:rPr>
        <w:t>důsledku porušení povinností řádného hospodáře. Výsledkem právního posouzení bylo konstatování, že případné vymáhání škody po zúčastněných osobách s ohledem na výši případné náhrady škody a promlčecí lhůtu se nejeví jako reálné a účelné.</w:t>
      </w:r>
    </w:p>
    <w:p w14:paraId="339BE241" w14:textId="1AA9FE04" w:rsidR="000F7842" w:rsidRDefault="000F7842" w:rsidP="00BA6900">
      <w:pPr>
        <w:spacing w:after="0"/>
        <w:jc w:val="both"/>
        <w:rPr>
          <w:sz w:val="24"/>
        </w:rPr>
      </w:pPr>
    </w:p>
    <w:p w14:paraId="45EADEEF" w14:textId="77777777" w:rsidR="00DE32B3" w:rsidRDefault="00DE32B3">
      <w:pPr>
        <w:rPr>
          <w:b/>
          <w:sz w:val="24"/>
        </w:rPr>
      </w:pPr>
      <w:r>
        <w:rPr>
          <w:b/>
          <w:sz w:val="24"/>
        </w:rPr>
        <w:br w:type="page"/>
      </w:r>
    </w:p>
    <w:p w14:paraId="0201EE99" w14:textId="35241FF6" w:rsidR="000F7842" w:rsidRPr="000F7842" w:rsidRDefault="000F7842" w:rsidP="00BA6900">
      <w:pPr>
        <w:spacing w:after="0"/>
        <w:jc w:val="both"/>
        <w:rPr>
          <w:b/>
          <w:sz w:val="24"/>
        </w:rPr>
      </w:pPr>
      <w:r w:rsidRPr="000F7842">
        <w:rPr>
          <w:b/>
          <w:sz w:val="24"/>
        </w:rPr>
        <w:lastRenderedPageBreak/>
        <w:t>2. Zákaz konkurence</w:t>
      </w:r>
    </w:p>
    <w:p w14:paraId="7D82F419" w14:textId="77777777" w:rsidR="00BA6900" w:rsidRDefault="00BA6900" w:rsidP="00247470">
      <w:pPr>
        <w:spacing w:after="0"/>
        <w:rPr>
          <w:b/>
          <w:sz w:val="24"/>
        </w:rPr>
      </w:pPr>
    </w:p>
    <w:tbl>
      <w:tblPr>
        <w:tblStyle w:val="Mkatabulky"/>
        <w:tblW w:w="0" w:type="auto"/>
        <w:shd w:val="clear" w:color="auto" w:fill="E6E6E6"/>
        <w:tblLook w:val="04A0" w:firstRow="1" w:lastRow="0" w:firstColumn="1" w:lastColumn="0" w:noHBand="0" w:noVBand="1"/>
      </w:tblPr>
      <w:tblGrid>
        <w:gridCol w:w="9062"/>
      </w:tblGrid>
      <w:tr w:rsidR="000F7842" w14:paraId="4D7078F5" w14:textId="77777777" w:rsidTr="00343E58">
        <w:tc>
          <w:tcPr>
            <w:tcW w:w="9062" w:type="dxa"/>
            <w:tcBorders>
              <w:top w:val="single" w:sz="4" w:space="0" w:color="auto"/>
              <w:left w:val="single" w:sz="4" w:space="0" w:color="auto"/>
              <w:bottom w:val="single" w:sz="4" w:space="0" w:color="auto"/>
              <w:right w:val="single" w:sz="4" w:space="0" w:color="auto"/>
            </w:tcBorders>
            <w:shd w:val="clear" w:color="auto" w:fill="E6E6E6"/>
            <w:hideMark/>
          </w:tcPr>
          <w:p w14:paraId="3BA55169" w14:textId="1E6EF091" w:rsidR="000F7842" w:rsidRPr="00AC6776" w:rsidRDefault="000F7842" w:rsidP="00221850">
            <w:pPr>
              <w:pStyle w:val="Odstavecseseznamem"/>
              <w:widowControl/>
              <w:numPr>
                <w:ilvl w:val="0"/>
                <w:numId w:val="6"/>
              </w:numPr>
              <w:rPr>
                <w:iCs/>
              </w:rPr>
            </w:pPr>
            <w:r>
              <w:rPr>
                <w:i/>
              </w:rPr>
              <w:t xml:space="preserve">Ředitel podniku, jeho zástupci a členové dozorčí rady nesmějí být členem statutárního nebo kontrolního orgánu právnické osoby se stejným nebo obdobným předmětem podnikání </w:t>
            </w:r>
            <w:r w:rsidRPr="00AC6776">
              <w:rPr>
                <w:iCs/>
              </w:rPr>
              <w:t>(ustanovení § 14 odst. 1 písm. b) ZSP</w:t>
            </w:r>
            <w:r w:rsidR="00DE32B3" w:rsidRPr="00AC6776">
              <w:rPr>
                <w:iCs/>
              </w:rPr>
              <w:t>;</w:t>
            </w:r>
            <w:r w:rsidRPr="00AC6776">
              <w:rPr>
                <w:iCs/>
              </w:rPr>
              <w:t xml:space="preserve"> tzv. zákaz konkurence). </w:t>
            </w:r>
          </w:p>
          <w:p w14:paraId="5030EB88" w14:textId="77777777" w:rsidR="000F7842" w:rsidRPr="00DE32B3" w:rsidRDefault="000F7842" w:rsidP="00221850">
            <w:pPr>
              <w:pStyle w:val="Odstavecseseznamem"/>
              <w:widowControl/>
              <w:numPr>
                <w:ilvl w:val="0"/>
                <w:numId w:val="6"/>
              </w:numPr>
              <w:rPr>
                <w:iCs/>
              </w:rPr>
            </w:pPr>
            <w:r>
              <w:rPr>
                <w:i/>
              </w:rPr>
              <w:t xml:space="preserve">Výše uvedené činnosti mohou vykonávat pouze se souhlasem zakladatele </w:t>
            </w:r>
            <w:r w:rsidRPr="00AC6776">
              <w:rPr>
                <w:iCs/>
              </w:rPr>
              <w:t>(ustanovení § 14 odst. 2 písm. a) ZSP).</w:t>
            </w:r>
          </w:p>
          <w:p w14:paraId="7FC897B2" w14:textId="4187EA47" w:rsidR="000F7842" w:rsidRPr="004132B9" w:rsidRDefault="000F7842" w:rsidP="00221850">
            <w:pPr>
              <w:pStyle w:val="Odstavecseseznamem"/>
              <w:widowControl/>
              <w:numPr>
                <w:ilvl w:val="0"/>
                <w:numId w:val="6"/>
              </w:numPr>
              <w:rPr>
                <w:i/>
              </w:rPr>
            </w:pPr>
            <w:r w:rsidRPr="004132B9">
              <w:rPr>
                <w:i/>
              </w:rPr>
              <w:t>Pokud se zakladatel dozví</w:t>
            </w:r>
            <w:r>
              <w:rPr>
                <w:i/>
              </w:rPr>
              <w:t>, že zákaz konkurence porušil zástupce ředitele</w:t>
            </w:r>
            <w:r w:rsidRPr="004132B9">
              <w:rPr>
                <w:i/>
              </w:rPr>
              <w:t>, uloží</w:t>
            </w:r>
            <w:r>
              <w:rPr>
                <w:i/>
              </w:rPr>
              <w:t xml:space="preserve"> </w:t>
            </w:r>
            <w:r w:rsidRPr="004132B9">
              <w:rPr>
                <w:i/>
              </w:rPr>
              <w:t>řediteli, aby svého zástupce odvolal z</w:t>
            </w:r>
            <w:r w:rsidR="00DE32B3">
              <w:rPr>
                <w:i/>
              </w:rPr>
              <w:t> </w:t>
            </w:r>
            <w:r w:rsidRPr="004132B9">
              <w:rPr>
                <w:i/>
              </w:rPr>
              <w:t>funkce</w:t>
            </w:r>
            <w:r w:rsidR="00DE32B3">
              <w:rPr>
                <w:i/>
              </w:rPr>
              <w:t xml:space="preserve"> </w:t>
            </w:r>
            <w:r w:rsidR="00DE32B3" w:rsidRPr="00AC6776">
              <w:rPr>
                <w:iCs/>
              </w:rPr>
              <w:t>(</w:t>
            </w:r>
            <w:r w:rsidR="00B96CD2">
              <w:rPr>
                <w:iCs/>
              </w:rPr>
              <w:t xml:space="preserve">ustanovení </w:t>
            </w:r>
            <w:r w:rsidR="00DE32B3" w:rsidRPr="00AC6776">
              <w:rPr>
                <w:iCs/>
              </w:rPr>
              <w:t>§ 14 odst. 3 ZSP</w:t>
            </w:r>
            <w:r w:rsidR="00DE32B3">
              <w:rPr>
                <w:iCs/>
              </w:rPr>
              <w:t>)</w:t>
            </w:r>
            <w:r w:rsidRPr="00AC6776">
              <w:rPr>
                <w:iCs/>
              </w:rPr>
              <w:t>.</w:t>
            </w:r>
          </w:p>
        </w:tc>
      </w:tr>
    </w:tbl>
    <w:p w14:paraId="6EDD1B0E" w14:textId="77777777" w:rsidR="000F7842" w:rsidRDefault="000F7842" w:rsidP="000F7842">
      <w:pPr>
        <w:spacing w:after="0"/>
        <w:jc w:val="both"/>
        <w:rPr>
          <w:sz w:val="24"/>
        </w:rPr>
      </w:pPr>
    </w:p>
    <w:p w14:paraId="2151D563" w14:textId="1729D9BE" w:rsidR="00F74EF0" w:rsidRDefault="000F7842" w:rsidP="000F7842">
      <w:pPr>
        <w:spacing w:after="0"/>
        <w:jc w:val="both"/>
        <w:rPr>
          <w:sz w:val="24"/>
        </w:rPr>
      </w:pPr>
      <w:r>
        <w:rPr>
          <w:sz w:val="24"/>
        </w:rPr>
        <w:t>První zástupce ředitele TZÚS byl od 16. května 2016 zároveň členem správní rady společnosti QUALIFORM</w:t>
      </w:r>
      <w:r w:rsidR="00DE32B3">
        <w:rPr>
          <w:sz w:val="24"/>
        </w:rPr>
        <w:t>,</w:t>
      </w:r>
      <w:r>
        <w:rPr>
          <w:sz w:val="24"/>
        </w:rPr>
        <w:t xml:space="preserve"> a.s., která je dceřinou společností TZÚS. Výše uvedené ustanovení</w:t>
      </w:r>
      <w:r w:rsidR="00F74EF0">
        <w:rPr>
          <w:sz w:val="24"/>
        </w:rPr>
        <w:t xml:space="preserve"> § 14 odst. 1 písm. b) ZSP upravující zákaz konkurence nabylo účinnosti</w:t>
      </w:r>
      <w:r>
        <w:rPr>
          <w:sz w:val="24"/>
        </w:rPr>
        <w:t xml:space="preserve"> dne 1. ledna 2017</w:t>
      </w:r>
      <w:r w:rsidR="00F74EF0">
        <w:rPr>
          <w:sz w:val="24"/>
        </w:rPr>
        <w:t xml:space="preserve">. </w:t>
      </w:r>
      <w:r>
        <w:rPr>
          <w:sz w:val="24"/>
        </w:rPr>
        <w:t>NKÚ v průběhu kontroly zjistil, že TZÚS</w:t>
      </w:r>
      <w:r w:rsidR="00F74EF0">
        <w:rPr>
          <w:sz w:val="24"/>
        </w:rPr>
        <w:t xml:space="preserve"> nedisponuje souhlasem zakladatele ve smyslu § 14 odst. 2 písm. a) ZSP, čímž došlo</w:t>
      </w:r>
      <w:r>
        <w:rPr>
          <w:sz w:val="24"/>
        </w:rPr>
        <w:t xml:space="preserve"> </w:t>
      </w:r>
      <w:r w:rsidR="00F74EF0">
        <w:rPr>
          <w:sz w:val="24"/>
        </w:rPr>
        <w:t xml:space="preserve">k porušení </w:t>
      </w:r>
      <w:r>
        <w:rPr>
          <w:sz w:val="24"/>
        </w:rPr>
        <w:t>zákaz</w:t>
      </w:r>
      <w:r w:rsidR="00F74EF0">
        <w:rPr>
          <w:sz w:val="24"/>
        </w:rPr>
        <w:t>u</w:t>
      </w:r>
      <w:r>
        <w:rPr>
          <w:sz w:val="24"/>
        </w:rPr>
        <w:t xml:space="preserve"> konkurence. NKÚ na tento nedostatek upozornil zakladatele i TZÚS. MPO podle § 14 odst. 3 ZSP uložilo řediteli TZÚS</w:t>
      </w:r>
      <w:r w:rsidR="00DE32B3">
        <w:rPr>
          <w:sz w:val="24"/>
        </w:rPr>
        <w:t>, aby</w:t>
      </w:r>
      <w:r>
        <w:rPr>
          <w:sz w:val="24"/>
        </w:rPr>
        <w:t xml:space="preserve"> svého zástupce odvola</w:t>
      </w:r>
      <w:r w:rsidR="00DE32B3">
        <w:rPr>
          <w:sz w:val="24"/>
        </w:rPr>
        <w:t>l</w:t>
      </w:r>
      <w:r w:rsidR="00F74EF0">
        <w:rPr>
          <w:sz w:val="24"/>
        </w:rPr>
        <w:t xml:space="preserve"> z</w:t>
      </w:r>
      <w:r w:rsidR="00E62184">
        <w:rPr>
          <w:sz w:val="24"/>
        </w:rPr>
        <w:t> </w:t>
      </w:r>
      <w:r w:rsidR="00F74EF0">
        <w:rPr>
          <w:sz w:val="24"/>
        </w:rPr>
        <w:t>funkce</w:t>
      </w:r>
      <w:r>
        <w:rPr>
          <w:sz w:val="24"/>
        </w:rPr>
        <w:t>.</w:t>
      </w:r>
      <w:r w:rsidR="00F74EF0">
        <w:rPr>
          <w:sz w:val="24"/>
        </w:rPr>
        <w:t xml:space="preserve"> </w:t>
      </w:r>
      <w:r w:rsidR="00543017">
        <w:rPr>
          <w:sz w:val="24"/>
        </w:rPr>
        <w:br/>
      </w:r>
      <w:r w:rsidR="00F74EF0">
        <w:rPr>
          <w:sz w:val="24"/>
        </w:rPr>
        <w:t>V</w:t>
      </w:r>
      <w:r w:rsidR="00543017">
        <w:rPr>
          <w:sz w:val="24"/>
        </w:rPr>
        <w:t xml:space="preserve"> </w:t>
      </w:r>
      <w:r w:rsidR="00F74EF0">
        <w:rPr>
          <w:sz w:val="24"/>
        </w:rPr>
        <w:t>návaznosti na následné jednání mezi TZÚS a zakladatelem vydal zakladatel souhlas s působením zástupce ředitele TZÚS ve správní radě dceřiné společnosti.</w:t>
      </w:r>
      <w:r>
        <w:rPr>
          <w:sz w:val="24"/>
        </w:rPr>
        <w:t xml:space="preserve"> </w:t>
      </w:r>
    </w:p>
    <w:p w14:paraId="3A6136DA" w14:textId="77777777" w:rsidR="000F7842" w:rsidRDefault="000F7842" w:rsidP="00247470">
      <w:pPr>
        <w:spacing w:after="0"/>
        <w:jc w:val="both"/>
        <w:rPr>
          <w:b/>
          <w:sz w:val="24"/>
        </w:rPr>
      </w:pPr>
    </w:p>
    <w:p w14:paraId="6FC92F27" w14:textId="6D2550CB" w:rsidR="00247470" w:rsidRDefault="000F7842" w:rsidP="00247470">
      <w:pPr>
        <w:spacing w:after="0"/>
        <w:jc w:val="both"/>
        <w:rPr>
          <w:b/>
          <w:sz w:val="24"/>
        </w:rPr>
      </w:pPr>
      <w:r>
        <w:rPr>
          <w:b/>
          <w:sz w:val="24"/>
        </w:rPr>
        <w:t>3</w:t>
      </w:r>
      <w:r w:rsidR="00247470">
        <w:rPr>
          <w:b/>
          <w:sz w:val="24"/>
        </w:rPr>
        <w:t xml:space="preserve">. </w:t>
      </w:r>
      <w:r w:rsidR="007F5AC9">
        <w:rPr>
          <w:b/>
          <w:sz w:val="24"/>
        </w:rPr>
        <w:t>Nedostatky v řádném plnění povinností zakladatele</w:t>
      </w:r>
    </w:p>
    <w:p w14:paraId="1422CC6E" w14:textId="77777777" w:rsidR="00247470" w:rsidRDefault="00247470" w:rsidP="00247470">
      <w:pPr>
        <w:spacing w:after="0"/>
        <w:jc w:val="both"/>
        <w:rPr>
          <w:sz w:val="24"/>
        </w:rPr>
      </w:pPr>
    </w:p>
    <w:tbl>
      <w:tblPr>
        <w:tblStyle w:val="Mkatabulky"/>
        <w:tblW w:w="0" w:type="auto"/>
        <w:shd w:val="clear" w:color="auto" w:fill="E6E6E6"/>
        <w:tblLook w:val="04A0" w:firstRow="1" w:lastRow="0" w:firstColumn="1" w:lastColumn="0" w:noHBand="0" w:noVBand="1"/>
      </w:tblPr>
      <w:tblGrid>
        <w:gridCol w:w="9062"/>
      </w:tblGrid>
      <w:tr w:rsidR="00247470" w14:paraId="7C52685C" w14:textId="77777777" w:rsidTr="00343E58">
        <w:tc>
          <w:tcPr>
            <w:tcW w:w="9062" w:type="dxa"/>
            <w:tcBorders>
              <w:top w:val="single" w:sz="4" w:space="0" w:color="auto"/>
              <w:left w:val="single" w:sz="4" w:space="0" w:color="auto"/>
              <w:bottom w:val="single" w:sz="4" w:space="0" w:color="auto"/>
              <w:right w:val="single" w:sz="4" w:space="0" w:color="auto"/>
            </w:tcBorders>
            <w:shd w:val="clear" w:color="auto" w:fill="E6E6E6"/>
            <w:hideMark/>
          </w:tcPr>
          <w:p w14:paraId="160942BF" w14:textId="57EBED16" w:rsidR="00247470" w:rsidRPr="00E44A6C" w:rsidRDefault="00247470">
            <w:pPr>
              <w:jc w:val="both"/>
              <w:rPr>
                <w:iCs/>
                <w:sz w:val="24"/>
              </w:rPr>
            </w:pPr>
            <w:r w:rsidRPr="00E44A6C">
              <w:rPr>
                <w:iCs/>
                <w:sz w:val="24"/>
              </w:rPr>
              <w:t xml:space="preserve">Oba státní podniky </w:t>
            </w:r>
            <w:r w:rsidR="00B96CD2">
              <w:rPr>
                <w:iCs/>
                <w:sz w:val="24"/>
              </w:rPr>
              <w:t>byly</w:t>
            </w:r>
            <w:r w:rsidRPr="00E44A6C">
              <w:rPr>
                <w:iCs/>
                <w:sz w:val="24"/>
              </w:rPr>
              <w:t xml:space="preserve"> založeny zakládací listinou, kterou vydalo MPO jako zakladatel podle § 4 ZSP, který v odst. 3 uvádí náležitosti zakládací listiny. Údaje z těchto listin se pak zapisují do obchodního rejstříku. </w:t>
            </w:r>
            <w:r w:rsidR="00163271" w:rsidRPr="00E44A6C">
              <w:rPr>
                <w:iCs/>
                <w:sz w:val="24"/>
              </w:rPr>
              <w:t xml:space="preserve">Vydávání zakládacích listin, jejich aktualizace nebo následné zveřejnění v obchodním rejstříku </w:t>
            </w:r>
            <w:r w:rsidR="00B96CD2">
              <w:rPr>
                <w:iCs/>
                <w:sz w:val="24"/>
              </w:rPr>
              <w:t>jsou</w:t>
            </w:r>
            <w:r w:rsidR="00163271" w:rsidRPr="00E44A6C">
              <w:rPr>
                <w:iCs/>
                <w:sz w:val="24"/>
              </w:rPr>
              <w:t xml:space="preserve"> povinnost</w:t>
            </w:r>
            <w:r w:rsidR="00B96CD2">
              <w:rPr>
                <w:iCs/>
                <w:sz w:val="24"/>
              </w:rPr>
              <w:t>i</w:t>
            </w:r>
            <w:r w:rsidR="00163271" w:rsidRPr="00E44A6C">
              <w:rPr>
                <w:iCs/>
                <w:sz w:val="24"/>
              </w:rPr>
              <w:t xml:space="preserve"> zakladatele, tedy MPO. </w:t>
            </w:r>
            <w:r w:rsidRPr="00E44A6C">
              <w:rPr>
                <w:iCs/>
                <w:sz w:val="24"/>
              </w:rPr>
              <w:t>Detailně jsou</w:t>
            </w:r>
            <w:r w:rsidR="00163271" w:rsidRPr="00E44A6C">
              <w:rPr>
                <w:iCs/>
                <w:sz w:val="24"/>
              </w:rPr>
              <w:t xml:space="preserve"> tyto</w:t>
            </w:r>
            <w:r w:rsidRPr="00E44A6C">
              <w:rPr>
                <w:iCs/>
                <w:sz w:val="24"/>
              </w:rPr>
              <w:t xml:space="preserve"> povinnosti upraveny ve vnitřním pokynu MPO, kterým se upravuje jeho postup </w:t>
            </w:r>
            <w:r w:rsidR="00B96CD2">
              <w:rPr>
                <w:iCs/>
                <w:sz w:val="24"/>
              </w:rPr>
              <w:t>při</w:t>
            </w:r>
            <w:r w:rsidRPr="00E44A6C">
              <w:rPr>
                <w:iCs/>
                <w:sz w:val="24"/>
              </w:rPr>
              <w:t xml:space="preserve"> výkon</w:t>
            </w:r>
            <w:r w:rsidR="00B96CD2">
              <w:rPr>
                <w:iCs/>
                <w:sz w:val="24"/>
              </w:rPr>
              <w:t>u</w:t>
            </w:r>
            <w:r w:rsidRPr="00E44A6C">
              <w:rPr>
                <w:iCs/>
                <w:sz w:val="24"/>
              </w:rPr>
              <w:t xml:space="preserve"> zakladatelské funkce</w:t>
            </w:r>
            <w:r w:rsidRPr="00E44A6C">
              <w:rPr>
                <w:rStyle w:val="Znakapoznpodarou"/>
                <w:iCs/>
              </w:rPr>
              <w:footnoteReference w:id="11"/>
            </w:r>
            <w:r w:rsidRPr="00E44A6C">
              <w:rPr>
                <w:iCs/>
                <w:sz w:val="24"/>
              </w:rPr>
              <w:t>. Údaje ze zakládacích listin obou státních podniků jsou uvedeny v příloze č. 1 tohoto kontrolního závěru.</w:t>
            </w:r>
          </w:p>
        </w:tc>
      </w:tr>
    </w:tbl>
    <w:p w14:paraId="007A7C80" w14:textId="77777777" w:rsidR="00247470" w:rsidRDefault="00247470" w:rsidP="00247470">
      <w:pPr>
        <w:spacing w:after="0"/>
        <w:jc w:val="both"/>
        <w:rPr>
          <w:sz w:val="24"/>
        </w:rPr>
      </w:pPr>
    </w:p>
    <w:p w14:paraId="7606DD57" w14:textId="7C689421" w:rsidR="00247470" w:rsidRDefault="00247470" w:rsidP="00247470">
      <w:pPr>
        <w:spacing w:after="0"/>
        <w:jc w:val="both"/>
        <w:rPr>
          <w:sz w:val="24"/>
        </w:rPr>
      </w:pPr>
      <w:r>
        <w:rPr>
          <w:sz w:val="24"/>
        </w:rPr>
        <w:t>MPO vydalo</w:t>
      </w:r>
      <w:r>
        <w:t xml:space="preserve"> </w:t>
      </w:r>
      <w:r>
        <w:rPr>
          <w:sz w:val="24"/>
        </w:rPr>
        <w:t>rozhodnutím ministryně průmyslu a obchodu č. 3/2018 dne 30. listopadu 2018 zakládací listinu EZÚ a rozhodnutím ministra průmyslu a obchodu č. 33/2023 dne 22. srpna 2023 vydalo její aktuální verzi. Obě listiny byly zveřejněny v obchodním rejstříku, u zakládací listiny ze dne 30. listopadu 2018 však nebyl</w:t>
      </w:r>
      <w:r w:rsidR="00E62184">
        <w:rPr>
          <w:sz w:val="24"/>
        </w:rPr>
        <w:t>a</w:t>
      </w:r>
      <w:r>
        <w:rPr>
          <w:sz w:val="24"/>
        </w:rPr>
        <w:t xml:space="preserve"> zveřejněn</w:t>
      </w:r>
      <w:r w:rsidR="00E62184">
        <w:rPr>
          <w:sz w:val="24"/>
        </w:rPr>
        <w:t>a</w:t>
      </w:r>
      <w:r>
        <w:rPr>
          <w:sz w:val="24"/>
        </w:rPr>
        <w:t xml:space="preserve"> příloha č. 1, která specifikuje hodnotu majetku státu, s nímž má podnik právo hospodařit, a</w:t>
      </w:r>
      <w:r w:rsidR="00B96CD2">
        <w:rPr>
          <w:sz w:val="24"/>
        </w:rPr>
        <w:t>ni</w:t>
      </w:r>
      <w:r>
        <w:rPr>
          <w:sz w:val="24"/>
        </w:rPr>
        <w:t xml:space="preserve"> příloha č. 2, která specifikuje určený majetek. Při vydání nové zakládací listiny rozhodnutím ministra průmyslu a obchodu č.</w:t>
      </w:r>
      <w:r w:rsidR="00E62184">
        <w:rPr>
          <w:sz w:val="24"/>
        </w:rPr>
        <w:t> </w:t>
      </w:r>
      <w:r>
        <w:rPr>
          <w:sz w:val="24"/>
        </w:rPr>
        <w:t xml:space="preserve">33/2023 </w:t>
      </w:r>
      <w:r w:rsidR="00B96CD2">
        <w:rPr>
          <w:sz w:val="24"/>
        </w:rPr>
        <w:t xml:space="preserve">ze </w:t>
      </w:r>
      <w:r>
        <w:rPr>
          <w:sz w:val="24"/>
        </w:rPr>
        <w:t>dne 22. srpna 2023 již byly zveřejněny v obchodním rejstříku i obě její přílohy.</w:t>
      </w:r>
    </w:p>
    <w:p w14:paraId="00663E35" w14:textId="77777777" w:rsidR="00247470" w:rsidRDefault="00247470" w:rsidP="00247470">
      <w:pPr>
        <w:spacing w:after="0"/>
        <w:jc w:val="both"/>
        <w:rPr>
          <w:sz w:val="24"/>
        </w:rPr>
      </w:pPr>
    </w:p>
    <w:p w14:paraId="6D6D2FF9" w14:textId="1777E179" w:rsidR="00247470" w:rsidRDefault="00247470" w:rsidP="00247470">
      <w:pPr>
        <w:spacing w:after="0"/>
        <w:jc w:val="both"/>
        <w:rPr>
          <w:sz w:val="24"/>
        </w:rPr>
      </w:pPr>
      <w:r>
        <w:rPr>
          <w:sz w:val="24"/>
        </w:rPr>
        <w:lastRenderedPageBreak/>
        <w:t>Rozhodnutím ministryně průmyslu a obchodu č. 25/2018 vydalo MPO zakládací listinu TZÚS, ve které snížilo jeho kmenové jmění z 276 119 536,80 Kč na 265 847 177,80 Kč</w:t>
      </w:r>
      <w:r w:rsidR="00B96CD2">
        <w:rPr>
          <w:sz w:val="24"/>
        </w:rPr>
        <w:t>.</w:t>
      </w:r>
      <w:r>
        <w:rPr>
          <w:rStyle w:val="Znakapoznpodarou"/>
        </w:rPr>
        <w:footnoteReference w:id="12"/>
      </w:r>
      <w:r>
        <w:rPr>
          <w:sz w:val="24"/>
        </w:rPr>
        <w:t xml:space="preserve"> K této změně nepodalo MPO návrh na její zápis do obchodního rejstříku, ve kterém zůstala zaps</w:t>
      </w:r>
      <w:r w:rsidR="00E62184">
        <w:rPr>
          <w:sz w:val="24"/>
        </w:rPr>
        <w:t>á</w:t>
      </w:r>
      <w:r>
        <w:rPr>
          <w:sz w:val="24"/>
        </w:rPr>
        <w:t>n</w:t>
      </w:r>
      <w:r w:rsidR="00E62184">
        <w:rPr>
          <w:sz w:val="24"/>
        </w:rPr>
        <w:t>a</w:t>
      </w:r>
      <w:r>
        <w:rPr>
          <w:sz w:val="24"/>
        </w:rPr>
        <w:t xml:space="preserve"> původní výše kmenového jmění. Na základě upozornění NKÚ tuto chybu MPO v průběhu kontroly opravilo, když dne 13. května 2024 podalo návrh na změnu zápisu v obchodním rejstříku u</w:t>
      </w:r>
      <w:r w:rsidR="00E62184">
        <w:rPr>
          <w:sz w:val="24"/>
        </w:rPr>
        <w:t> </w:t>
      </w:r>
      <w:r>
        <w:rPr>
          <w:sz w:val="24"/>
        </w:rPr>
        <w:t xml:space="preserve">položky kmenové jmění TZÚS. </w:t>
      </w:r>
    </w:p>
    <w:p w14:paraId="10D6508F" w14:textId="77777777" w:rsidR="00247470" w:rsidRDefault="00247470" w:rsidP="00247470">
      <w:pPr>
        <w:spacing w:after="0"/>
        <w:jc w:val="both"/>
        <w:rPr>
          <w:sz w:val="24"/>
        </w:rPr>
      </w:pPr>
    </w:p>
    <w:p w14:paraId="08DD2B6F" w14:textId="6D1190EF" w:rsidR="00247470" w:rsidRDefault="00247470" w:rsidP="00247470">
      <w:pPr>
        <w:spacing w:after="0"/>
        <w:jc w:val="both"/>
        <w:rPr>
          <w:sz w:val="24"/>
        </w:rPr>
      </w:pPr>
      <w:r>
        <w:rPr>
          <w:sz w:val="24"/>
        </w:rPr>
        <w:t>Zakládací listina obsahuje mimo jiné výši rezervního fondu státního podniku. Výše rezervního fondu TZÚS v částce 39 088 221,92 Kč uváděná v jeho zakládací listině vydané rozhodnutím ministryně průmyslu a obchodu č. 25/2018 a jejími aktualizacemi o rok později</w:t>
      </w:r>
      <w:r>
        <w:rPr>
          <w:rStyle w:val="Znakapoznpodarou"/>
        </w:rPr>
        <w:footnoteReference w:id="13"/>
      </w:r>
      <w:r>
        <w:rPr>
          <w:sz w:val="24"/>
        </w:rPr>
        <w:t xml:space="preserve"> je nesprávná. Při kontrole účetních závěrek TZÚS zjistil NKÚ, že správná výše rezervního fondu v období let 2018 až 2023 činí 41 417 931,52 Kč. MPO v tomto případě nepostupovalo správně, </w:t>
      </w:r>
      <w:r w:rsidR="00B96CD2">
        <w:rPr>
          <w:sz w:val="24"/>
        </w:rPr>
        <w:t>neboť</w:t>
      </w:r>
      <w:r>
        <w:rPr>
          <w:sz w:val="24"/>
        </w:rPr>
        <w:t xml:space="preserve"> v zakládací listině uvádělo nesprávnou výši rezervního fondu TZÚS.</w:t>
      </w:r>
    </w:p>
    <w:p w14:paraId="27D7FE9E" w14:textId="77777777" w:rsidR="00247470" w:rsidRDefault="00247470" w:rsidP="00247470">
      <w:pPr>
        <w:spacing w:after="0"/>
        <w:jc w:val="both"/>
        <w:rPr>
          <w:sz w:val="24"/>
        </w:rPr>
      </w:pPr>
    </w:p>
    <w:p w14:paraId="78F3370D" w14:textId="400D335D" w:rsidR="00247470" w:rsidRDefault="00247470" w:rsidP="00247470">
      <w:pPr>
        <w:spacing w:after="0"/>
        <w:jc w:val="both"/>
        <w:rPr>
          <w:sz w:val="24"/>
        </w:rPr>
      </w:pPr>
      <w:r>
        <w:rPr>
          <w:sz w:val="24"/>
        </w:rPr>
        <w:t xml:space="preserve">Pochybení u listin </w:t>
      </w:r>
      <w:r w:rsidR="00B96CD2">
        <w:rPr>
          <w:sz w:val="24"/>
        </w:rPr>
        <w:t xml:space="preserve">EZÚ bylo </w:t>
      </w:r>
      <w:r>
        <w:rPr>
          <w:sz w:val="24"/>
        </w:rPr>
        <w:t xml:space="preserve">v obchodním rejstříku odstraněno vydáním a zveřejněním nové zakládací listiny. Pochybení u zápisu výše kmenového jmění TZÚS v obchodním rejstříku odstranilo </w:t>
      </w:r>
      <w:r w:rsidR="00B96CD2">
        <w:rPr>
          <w:sz w:val="24"/>
        </w:rPr>
        <w:t xml:space="preserve">MPO </w:t>
      </w:r>
      <w:r>
        <w:rPr>
          <w:sz w:val="24"/>
        </w:rPr>
        <w:t>v průběhu kontroly na základě upozornění NKÚ a pochybení u výše rezervního fondu bude</w:t>
      </w:r>
      <w:r w:rsidR="00E62184">
        <w:rPr>
          <w:sz w:val="24"/>
        </w:rPr>
        <w:t>,</w:t>
      </w:r>
      <w:r>
        <w:rPr>
          <w:sz w:val="24"/>
        </w:rPr>
        <w:t xml:space="preserve"> dle sdělení MPO</w:t>
      </w:r>
      <w:r w:rsidR="00E62184">
        <w:rPr>
          <w:sz w:val="24"/>
        </w:rPr>
        <w:t>,</w:t>
      </w:r>
      <w:r>
        <w:rPr>
          <w:sz w:val="24"/>
        </w:rPr>
        <w:t xml:space="preserve"> odstraněno při nejbližší aktualizaci zakládací listiny. </w:t>
      </w:r>
    </w:p>
    <w:p w14:paraId="553842B4" w14:textId="77777777" w:rsidR="004132B9" w:rsidRDefault="004132B9" w:rsidP="00247470">
      <w:pPr>
        <w:spacing w:after="0"/>
        <w:jc w:val="both"/>
        <w:rPr>
          <w:b/>
          <w:sz w:val="24"/>
        </w:rPr>
      </w:pPr>
    </w:p>
    <w:p w14:paraId="2593D5BA" w14:textId="55528334" w:rsidR="00247470" w:rsidRDefault="000F7842" w:rsidP="00247470">
      <w:pPr>
        <w:spacing w:after="0"/>
        <w:jc w:val="both"/>
        <w:rPr>
          <w:b/>
          <w:sz w:val="24"/>
        </w:rPr>
      </w:pPr>
      <w:r>
        <w:rPr>
          <w:b/>
          <w:sz w:val="24"/>
        </w:rPr>
        <w:t>4</w:t>
      </w:r>
      <w:r w:rsidR="00247470">
        <w:rPr>
          <w:b/>
          <w:sz w:val="24"/>
        </w:rPr>
        <w:t>. Nákup přístrojů bez souhlasu zakladatele</w:t>
      </w:r>
    </w:p>
    <w:p w14:paraId="337AF88B" w14:textId="77777777" w:rsidR="00247470" w:rsidRDefault="00247470" w:rsidP="00247470">
      <w:pPr>
        <w:spacing w:after="0"/>
        <w:jc w:val="both"/>
        <w:rPr>
          <w:sz w:val="24"/>
        </w:rPr>
      </w:pPr>
    </w:p>
    <w:tbl>
      <w:tblPr>
        <w:tblStyle w:val="Mkatabulky"/>
        <w:tblW w:w="0" w:type="auto"/>
        <w:shd w:val="clear" w:color="auto" w:fill="E6E6E6"/>
        <w:tblLook w:val="04A0" w:firstRow="1" w:lastRow="0" w:firstColumn="1" w:lastColumn="0" w:noHBand="0" w:noVBand="1"/>
      </w:tblPr>
      <w:tblGrid>
        <w:gridCol w:w="9062"/>
      </w:tblGrid>
      <w:tr w:rsidR="00247470" w14:paraId="30FFD7BD" w14:textId="77777777" w:rsidTr="00343E58">
        <w:tc>
          <w:tcPr>
            <w:tcW w:w="9062" w:type="dxa"/>
            <w:tcBorders>
              <w:top w:val="single" w:sz="4" w:space="0" w:color="auto"/>
              <w:left w:val="single" w:sz="4" w:space="0" w:color="auto"/>
              <w:bottom w:val="single" w:sz="4" w:space="0" w:color="auto"/>
              <w:right w:val="single" w:sz="4" w:space="0" w:color="auto"/>
            </w:tcBorders>
            <w:shd w:val="clear" w:color="auto" w:fill="E6E6E6"/>
            <w:hideMark/>
          </w:tcPr>
          <w:p w14:paraId="0F9DBA46" w14:textId="4579EFD3" w:rsidR="00247470" w:rsidRPr="00E44A6C" w:rsidRDefault="00247470">
            <w:pPr>
              <w:jc w:val="both"/>
              <w:rPr>
                <w:iCs/>
                <w:sz w:val="24"/>
              </w:rPr>
            </w:pPr>
            <w:r w:rsidRPr="00E44A6C">
              <w:rPr>
                <w:iCs/>
                <w:sz w:val="24"/>
              </w:rPr>
              <w:t xml:space="preserve">Podle </w:t>
            </w:r>
            <w:r w:rsidR="00650E8D">
              <w:rPr>
                <w:iCs/>
                <w:sz w:val="24"/>
              </w:rPr>
              <w:t>s</w:t>
            </w:r>
            <w:r w:rsidRPr="00E44A6C">
              <w:rPr>
                <w:iCs/>
                <w:sz w:val="24"/>
              </w:rPr>
              <w:t xml:space="preserve">tatutu </w:t>
            </w:r>
            <w:r w:rsidRPr="00E44A6C">
              <w:rPr>
                <w:sz w:val="24"/>
              </w:rPr>
              <w:t>TZÚS a</w:t>
            </w:r>
            <w:r w:rsidRPr="00E44A6C">
              <w:rPr>
                <w:i/>
                <w:sz w:val="24"/>
              </w:rPr>
              <w:t xml:space="preserve"> </w:t>
            </w:r>
            <w:r w:rsidR="00650E8D" w:rsidRPr="00E44A6C">
              <w:rPr>
                <w:iCs/>
                <w:sz w:val="24"/>
              </w:rPr>
              <w:t>s</w:t>
            </w:r>
            <w:r w:rsidRPr="00E44A6C">
              <w:rPr>
                <w:iCs/>
                <w:sz w:val="24"/>
              </w:rPr>
              <w:t xml:space="preserve">tatutu </w:t>
            </w:r>
            <w:r w:rsidRPr="00E44A6C">
              <w:rPr>
                <w:sz w:val="24"/>
              </w:rPr>
              <w:t>EZU, článku VII. bodu 7</w:t>
            </w:r>
            <w:r w:rsidRPr="00E44A6C">
              <w:rPr>
                <w:i/>
                <w:sz w:val="24"/>
              </w:rPr>
              <w:t xml:space="preserve"> </w:t>
            </w:r>
            <w:r w:rsidRPr="00E44A6C">
              <w:rPr>
                <w:sz w:val="24"/>
              </w:rPr>
              <w:t xml:space="preserve">je povinen </w:t>
            </w:r>
            <w:r w:rsidRPr="00E44A6C">
              <w:rPr>
                <w:iCs/>
                <w:sz w:val="24"/>
              </w:rPr>
              <w:t xml:space="preserve">státní </w:t>
            </w:r>
            <w:r w:rsidRPr="00E44A6C">
              <w:rPr>
                <w:sz w:val="24"/>
              </w:rPr>
              <w:t xml:space="preserve">podnik </w:t>
            </w:r>
            <w:r w:rsidRPr="00E44A6C">
              <w:rPr>
                <w:iCs/>
                <w:sz w:val="24"/>
              </w:rPr>
              <w:t xml:space="preserve">pro nákup movitých věcí s kupní cenou nad 2 mil. Kč získat souhlas dozorčí rady státního podniku. Podle článku X. bodu 4 je povinen státní podnik získat předchozí souhlas zakladatele pro nákup movitých věcí s kupní cenou nad 2 mil. Kč. </w:t>
            </w:r>
          </w:p>
        </w:tc>
      </w:tr>
    </w:tbl>
    <w:p w14:paraId="62042C00" w14:textId="77777777" w:rsidR="00247470" w:rsidRDefault="00247470" w:rsidP="00247470">
      <w:pPr>
        <w:spacing w:after="0"/>
        <w:jc w:val="both"/>
        <w:rPr>
          <w:sz w:val="24"/>
        </w:rPr>
      </w:pPr>
    </w:p>
    <w:p w14:paraId="5518DAA2" w14:textId="18EC6872" w:rsidR="00247470" w:rsidRDefault="00247470" w:rsidP="00247470">
      <w:pPr>
        <w:spacing w:after="0"/>
        <w:jc w:val="both"/>
        <w:rPr>
          <w:sz w:val="24"/>
        </w:rPr>
      </w:pPr>
      <w:r>
        <w:rPr>
          <w:sz w:val="24"/>
        </w:rPr>
        <w:t>NKÚ se v</w:t>
      </w:r>
      <w:r w:rsidR="00543017">
        <w:rPr>
          <w:sz w:val="24"/>
        </w:rPr>
        <w:t xml:space="preserve"> </w:t>
      </w:r>
      <w:r>
        <w:rPr>
          <w:sz w:val="24"/>
        </w:rPr>
        <w:t xml:space="preserve">případě kontroly pořízení movitého majetku zaměřil u obou státních podniků na oblast specializovaných přístrojů, které využívají státní podniky pro svoji podnikatelskou činnost. NKÚ zjistil, že v kontrolovaném období EZÚ i TZÚS pořídil každý jeden přístroj s kupní cenou vyšší než dva miliony Kč. </w:t>
      </w:r>
    </w:p>
    <w:p w14:paraId="35886280" w14:textId="77777777" w:rsidR="00247470" w:rsidRDefault="00247470" w:rsidP="00247470">
      <w:pPr>
        <w:spacing w:after="0"/>
        <w:jc w:val="both"/>
        <w:rPr>
          <w:sz w:val="24"/>
        </w:rPr>
      </w:pPr>
    </w:p>
    <w:p w14:paraId="4C37A6AF" w14:textId="5D97E6B3" w:rsidR="00247470" w:rsidRDefault="00247470" w:rsidP="00247470">
      <w:pPr>
        <w:spacing w:after="0"/>
        <w:jc w:val="both"/>
        <w:rPr>
          <w:sz w:val="24"/>
        </w:rPr>
      </w:pPr>
      <w:r>
        <w:rPr>
          <w:sz w:val="24"/>
        </w:rPr>
        <w:t>EZÚ koupil v roce 2019 výkonový zesilovač 1</w:t>
      </w:r>
      <w:r w:rsidR="00CA0FCE">
        <w:rPr>
          <w:rFonts w:cstheme="minorHAnsi"/>
          <w:sz w:val="24"/>
        </w:rPr>
        <w:t>–</w:t>
      </w:r>
      <w:r>
        <w:rPr>
          <w:sz w:val="24"/>
        </w:rPr>
        <w:t>6 GHz v pořizovací ceně 2 523 485 Kč bez DPH. K tomuto nákupu měl potřebný souhlas dozorčí rady ze dne 16. září 2019, avšak zakladatele o</w:t>
      </w:r>
      <w:r w:rsidR="00E62184">
        <w:rPr>
          <w:sz w:val="24"/>
        </w:rPr>
        <w:t> </w:t>
      </w:r>
      <w:r>
        <w:rPr>
          <w:sz w:val="24"/>
        </w:rPr>
        <w:t>souhlas nepožádal. Dne 15. prosince 2021 pořídil TZÚS plynový chromatogra</w:t>
      </w:r>
      <w:r w:rsidR="00650E8D">
        <w:rPr>
          <w:sz w:val="24"/>
        </w:rPr>
        <w:t>f</w:t>
      </w:r>
      <w:r>
        <w:rPr>
          <w:sz w:val="24"/>
        </w:rPr>
        <w:t xml:space="preserve"> GC-MS v kupní ceně 2</w:t>
      </w:r>
      <w:r w:rsidR="00796801">
        <w:rPr>
          <w:sz w:val="24"/>
        </w:rPr>
        <w:t xml:space="preserve"> </w:t>
      </w:r>
      <w:r>
        <w:rPr>
          <w:sz w:val="24"/>
        </w:rPr>
        <w:t>282</w:t>
      </w:r>
      <w:r w:rsidR="00796801">
        <w:rPr>
          <w:sz w:val="24"/>
        </w:rPr>
        <w:t xml:space="preserve"> </w:t>
      </w:r>
      <w:r>
        <w:rPr>
          <w:sz w:val="24"/>
        </w:rPr>
        <w:t>300 Kč, aniž by předtím obdržel souhlas dozorčí rady a zakladatele s</w:t>
      </w:r>
      <w:r w:rsidR="00796801">
        <w:rPr>
          <w:sz w:val="24"/>
        </w:rPr>
        <w:t xml:space="preserve"> </w:t>
      </w:r>
      <w:r>
        <w:rPr>
          <w:sz w:val="24"/>
        </w:rPr>
        <w:t xml:space="preserve">tímto nákupem. </w:t>
      </w:r>
    </w:p>
    <w:p w14:paraId="0E026DC8" w14:textId="77777777" w:rsidR="00247470" w:rsidRDefault="00247470" w:rsidP="00247470">
      <w:pPr>
        <w:spacing w:after="0"/>
        <w:jc w:val="both"/>
        <w:rPr>
          <w:sz w:val="24"/>
        </w:rPr>
      </w:pPr>
    </w:p>
    <w:p w14:paraId="0E3A3BD8" w14:textId="5B48393C" w:rsidR="00247470" w:rsidRDefault="00247470" w:rsidP="00247470">
      <w:pPr>
        <w:spacing w:after="0"/>
        <w:jc w:val="both"/>
        <w:rPr>
          <w:sz w:val="24"/>
        </w:rPr>
      </w:pPr>
      <w:r>
        <w:rPr>
          <w:sz w:val="24"/>
        </w:rPr>
        <w:t>V</w:t>
      </w:r>
      <w:r w:rsidR="00650E8D">
        <w:rPr>
          <w:sz w:val="24"/>
        </w:rPr>
        <w:t xml:space="preserve"> </w:t>
      </w:r>
      <w:r>
        <w:rPr>
          <w:sz w:val="24"/>
        </w:rPr>
        <w:t xml:space="preserve">obou případech jsou přístroje pořízené bez potřebných souhlasů využívány pro podnikatelskou činnost státních podniků. </w:t>
      </w:r>
      <w:r w:rsidR="009C1D01">
        <w:rPr>
          <w:sz w:val="24"/>
        </w:rPr>
        <w:t>NKÚ</w:t>
      </w:r>
      <w:r>
        <w:rPr>
          <w:sz w:val="24"/>
        </w:rPr>
        <w:t xml:space="preserve"> hodnotí tyto dva ojedinělé případy jako méně významné porušení povinností vyplývajících ze statut</w:t>
      </w:r>
      <w:r w:rsidR="00650E8D">
        <w:rPr>
          <w:sz w:val="24"/>
        </w:rPr>
        <w:t>ů</w:t>
      </w:r>
      <w:r>
        <w:rPr>
          <w:sz w:val="24"/>
        </w:rPr>
        <w:t xml:space="preserve"> obou podniků.</w:t>
      </w:r>
    </w:p>
    <w:p w14:paraId="3D8C1FEC" w14:textId="43B16AEA" w:rsidR="00BA6900" w:rsidRDefault="00BA6900" w:rsidP="00247470">
      <w:pPr>
        <w:spacing w:after="0"/>
        <w:jc w:val="both"/>
        <w:rPr>
          <w:sz w:val="24"/>
        </w:rPr>
      </w:pPr>
    </w:p>
    <w:p w14:paraId="46584721" w14:textId="2B9F3725" w:rsidR="00BA6900" w:rsidRDefault="000F7842" w:rsidP="00716A73">
      <w:pPr>
        <w:keepNext/>
        <w:spacing w:after="0"/>
        <w:rPr>
          <w:b/>
          <w:sz w:val="24"/>
        </w:rPr>
      </w:pPr>
      <w:r>
        <w:rPr>
          <w:b/>
          <w:sz w:val="24"/>
        </w:rPr>
        <w:lastRenderedPageBreak/>
        <w:t>5</w:t>
      </w:r>
      <w:r w:rsidR="00BA6900">
        <w:rPr>
          <w:b/>
          <w:sz w:val="24"/>
        </w:rPr>
        <w:t>. Státní podniky EZÚ a TZÚS plní svůj účel</w:t>
      </w:r>
    </w:p>
    <w:p w14:paraId="43AD8718" w14:textId="77777777" w:rsidR="00BA6900" w:rsidRDefault="00BA6900" w:rsidP="00BA6900">
      <w:pPr>
        <w:spacing w:after="0"/>
        <w:rPr>
          <w:sz w:val="24"/>
        </w:rPr>
      </w:pPr>
    </w:p>
    <w:tbl>
      <w:tblPr>
        <w:tblStyle w:val="Mkatabulky"/>
        <w:tblW w:w="0" w:type="auto"/>
        <w:shd w:val="clear" w:color="auto" w:fill="E6E6E6"/>
        <w:tblLook w:val="04A0" w:firstRow="1" w:lastRow="0" w:firstColumn="1" w:lastColumn="0" w:noHBand="0" w:noVBand="1"/>
      </w:tblPr>
      <w:tblGrid>
        <w:gridCol w:w="9062"/>
      </w:tblGrid>
      <w:tr w:rsidR="00BA6900" w14:paraId="57E3A049" w14:textId="77777777" w:rsidTr="00343E58">
        <w:tc>
          <w:tcPr>
            <w:tcW w:w="9062" w:type="dxa"/>
            <w:tcBorders>
              <w:top w:val="single" w:sz="4" w:space="0" w:color="auto"/>
              <w:left w:val="single" w:sz="4" w:space="0" w:color="auto"/>
              <w:bottom w:val="single" w:sz="4" w:space="0" w:color="auto"/>
              <w:right w:val="single" w:sz="4" w:space="0" w:color="auto"/>
            </w:tcBorders>
            <w:shd w:val="clear" w:color="auto" w:fill="E6E6E6"/>
            <w:hideMark/>
          </w:tcPr>
          <w:p w14:paraId="73246FD8" w14:textId="77777777" w:rsidR="00BA6900" w:rsidRDefault="00BA6900" w:rsidP="00221850">
            <w:pPr>
              <w:jc w:val="both"/>
              <w:rPr>
                <w:i/>
                <w:sz w:val="24"/>
              </w:rPr>
            </w:pPr>
            <w:r>
              <w:rPr>
                <w:i/>
                <w:sz w:val="24"/>
              </w:rPr>
              <w:t xml:space="preserve">Státní podnik je státní organizací a právnickou osobou, jejímž prostřednictvím vykonává stát svá vlastnická práva. Podnik provozuje svým jménem a na vlastní odpovědnost podnikatelskou činnost za účelem plnění významných strategických, hospodářských, společenských, bezpečnostních nebo dalších zájmů státu </w:t>
            </w:r>
            <w:r w:rsidRPr="00716A73">
              <w:rPr>
                <w:iCs/>
                <w:sz w:val="24"/>
              </w:rPr>
              <w:t>(ustanovení § 2 odst. 1 ZSP).</w:t>
            </w:r>
          </w:p>
        </w:tc>
      </w:tr>
    </w:tbl>
    <w:p w14:paraId="5289033C" w14:textId="77777777" w:rsidR="00BA6900" w:rsidRDefault="00BA6900" w:rsidP="00BA6900">
      <w:pPr>
        <w:spacing w:after="0"/>
        <w:rPr>
          <w:sz w:val="24"/>
        </w:rPr>
      </w:pPr>
    </w:p>
    <w:p w14:paraId="6D4DF228" w14:textId="4E42D355" w:rsidR="00BA6900" w:rsidRDefault="00BA6900" w:rsidP="00BA6900">
      <w:pPr>
        <w:spacing w:after="0"/>
        <w:jc w:val="both"/>
        <w:rPr>
          <w:sz w:val="24"/>
        </w:rPr>
      </w:pPr>
      <w:r>
        <w:rPr>
          <w:sz w:val="24"/>
        </w:rPr>
        <w:t>EZÚ a TZÚS byly založeny za účelem poskytování služeb v</w:t>
      </w:r>
      <w:r w:rsidR="00796801">
        <w:rPr>
          <w:sz w:val="24"/>
        </w:rPr>
        <w:t xml:space="preserve"> </w:t>
      </w:r>
      <w:r>
        <w:rPr>
          <w:sz w:val="24"/>
        </w:rPr>
        <w:t>oblasti státního zkušebnictví, posuzování shody pro uvádění výrobků na trh, odborného dohledu</w:t>
      </w:r>
      <w:r w:rsidR="00CA0FCE">
        <w:rPr>
          <w:sz w:val="24"/>
        </w:rPr>
        <w:t>,</w:t>
      </w:r>
      <w:r>
        <w:rPr>
          <w:sz w:val="24"/>
        </w:rPr>
        <w:t xml:space="preserve"> certifikace apod. Nejvyšší kontrolní úřad analýzou výnosů obou státních podniků z let 2019 až 2023 ověřil, že naprostá většina jejich výnosů pochází z</w:t>
      </w:r>
      <w:r w:rsidR="00796801">
        <w:rPr>
          <w:sz w:val="24"/>
        </w:rPr>
        <w:t xml:space="preserve"> </w:t>
      </w:r>
      <w:r>
        <w:rPr>
          <w:sz w:val="24"/>
        </w:rPr>
        <w:t>podnikatelské činnosti, pro kterou byly zřízeny. Podíl tržeb z</w:t>
      </w:r>
      <w:r w:rsidR="00E62184">
        <w:rPr>
          <w:sz w:val="24"/>
        </w:rPr>
        <w:t> </w:t>
      </w:r>
      <w:r>
        <w:rPr>
          <w:sz w:val="24"/>
        </w:rPr>
        <w:t xml:space="preserve">prodeje služeb v oblasti vymezené účelem podnikání v zakládací listině EZÚ na celkových tržbách činil v letech 2019 až 2023 průměrně 98,5 %, u TZÚS byl ve stejném období průměrný podíl </w:t>
      </w:r>
      <w:r w:rsidR="00E62184">
        <w:rPr>
          <w:sz w:val="24"/>
        </w:rPr>
        <w:t xml:space="preserve">z tržeb </w:t>
      </w:r>
      <w:r>
        <w:rPr>
          <w:sz w:val="24"/>
        </w:rPr>
        <w:t>90,5</w:t>
      </w:r>
      <w:r w:rsidR="00C26770">
        <w:rPr>
          <w:sz w:val="24"/>
        </w:rPr>
        <w:t> </w:t>
      </w:r>
      <w:r>
        <w:rPr>
          <w:sz w:val="24"/>
        </w:rPr>
        <w:t>%. Zbylé tržby jsou z</w:t>
      </w:r>
      <w:r w:rsidR="00C26770">
        <w:rPr>
          <w:sz w:val="24"/>
        </w:rPr>
        <w:t xml:space="preserve"> </w:t>
      </w:r>
      <w:r>
        <w:rPr>
          <w:sz w:val="24"/>
        </w:rPr>
        <w:t>doplňkové činnosti státních podniků, jako je pronájem kancelářských prostor, laboratoří, pozemků, v</w:t>
      </w:r>
      <w:r w:rsidR="00C26770">
        <w:rPr>
          <w:sz w:val="24"/>
        </w:rPr>
        <w:t xml:space="preserve"> </w:t>
      </w:r>
      <w:r>
        <w:rPr>
          <w:sz w:val="24"/>
        </w:rPr>
        <w:t>případě TZÚS pak ještě krátkodobými pronájmy plochy letiště a vyplácenou dividendou z dceřiných společností. MPO každý rok ukládá ředitelům státních podniků konkrétní úkoly z ekonomické a odborné oblasti, jejichž plnění každoročně vyhodnocuje.</w:t>
      </w:r>
    </w:p>
    <w:p w14:paraId="624FCECE" w14:textId="77777777" w:rsidR="00BA6900" w:rsidRDefault="00BA6900" w:rsidP="00BA6900">
      <w:pPr>
        <w:spacing w:after="0"/>
        <w:jc w:val="both"/>
        <w:rPr>
          <w:sz w:val="24"/>
        </w:rPr>
      </w:pPr>
    </w:p>
    <w:p w14:paraId="2ABDB2CB" w14:textId="77777777" w:rsidR="00BA6900" w:rsidRPr="006250F4" w:rsidRDefault="00BA6900" w:rsidP="00C26770">
      <w:pPr>
        <w:spacing w:after="120"/>
        <w:jc w:val="both"/>
        <w:rPr>
          <w:b/>
          <w:sz w:val="24"/>
        </w:rPr>
      </w:pPr>
      <w:r w:rsidRPr="006250F4">
        <w:rPr>
          <w:b/>
          <w:sz w:val="24"/>
        </w:rPr>
        <w:t>EZÚ založil v roce 2014 dceřinou společnost, jejíž přínos nebyl prokázán</w:t>
      </w:r>
    </w:p>
    <w:p w14:paraId="4BA5AB01" w14:textId="7AF20751" w:rsidR="00BA6900" w:rsidRDefault="00BA6900" w:rsidP="00BA6900">
      <w:pPr>
        <w:spacing w:after="0"/>
        <w:jc w:val="both"/>
        <w:rPr>
          <w:sz w:val="24"/>
        </w:rPr>
      </w:pPr>
      <w:r>
        <w:rPr>
          <w:sz w:val="24"/>
        </w:rPr>
        <w:t>Oba státní podniky vlastní dceřiné společnosti. EZÚ založil dne 24.</w:t>
      </w:r>
      <w:r w:rsidR="00C26770">
        <w:rPr>
          <w:sz w:val="24"/>
        </w:rPr>
        <w:t> </w:t>
      </w:r>
      <w:r>
        <w:rPr>
          <w:sz w:val="24"/>
        </w:rPr>
        <w:t>února 2014 dceřinou společnost ELPP, s.r.o., ve které je jediným společníkem. V době založení nepotřeboval k</w:t>
      </w:r>
      <w:r w:rsidR="001A1B10">
        <w:rPr>
          <w:sz w:val="24"/>
        </w:rPr>
        <w:t> </w:t>
      </w:r>
      <w:r>
        <w:rPr>
          <w:sz w:val="24"/>
        </w:rPr>
        <w:t>jejímu založení dle účinné právní úpravy souhlas zakladatele</w:t>
      </w:r>
      <w:r w:rsidR="00796801">
        <w:rPr>
          <w:sz w:val="24"/>
        </w:rPr>
        <w:t>.</w:t>
      </w:r>
      <w:r>
        <w:rPr>
          <w:rStyle w:val="Znakapoznpodarou"/>
        </w:rPr>
        <w:footnoteReference w:id="14"/>
      </w:r>
      <w:r>
        <w:rPr>
          <w:sz w:val="24"/>
        </w:rPr>
        <w:t xml:space="preserve"> Dceřiná společnost měla dle původního záměru poskytovat servisní činnost EZÚ a poskytovat poradenství zákazníkům EZÚ. Tento záměr se nepodařilo naplnit a společnost od svého založení žádnou činnost neprovozovala. V době kontroly NKÚ hledal EZÚ nové využití pro dceřinou společnost. NKÚ vyhodnotil, že je tato společnost nepotřebná a neměla od svého vzniku pro EZÚ žádný přínos. Od roku 2014 </w:t>
      </w:r>
      <w:r w:rsidR="00A72E41">
        <w:rPr>
          <w:sz w:val="24"/>
        </w:rPr>
        <w:t xml:space="preserve">EZÚ </w:t>
      </w:r>
      <w:r>
        <w:rPr>
          <w:sz w:val="24"/>
        </w:rPr>
        <w:t xml:space="preserve">uhradil za nezbytné náklady spojené s její existencí celkem 179 350 Kč, </w:t>
      </w:r>
      <w:r w:rsidR="00543017">
        <w:rPr>
          <w:sz w:val="24"/>
        </w:rPr>
        <w:br/>
      </w:r>
      <w:r>
        <w:rPr>
          <w:sz w:val="24"/>
        </w:rPr>
        <w:t>z</w:t>
      </w:r>
      <w:r w:rsidR="00543017">
        <w:rPr>
          <w:sz w:val="24"/>
        </w:rPr>
        <w:t xml:space="preserve"> </w:t>
      </w:r>
      <w:r>
        <w:rPr>
          <w:sz w:val="24"/>
        </w:rPr>
        <w:t>toho 100</w:t>
      </w:r>
      <w:r w:rsidR="00543017">
        <w:rPr>
          <w:sz w:val="24"/>
        </w:rPr>
        <w:t xml:space="preserve"> </w:t>
      </w:r>
      <w:r>
        <w:rPr>
          <w:sz w:val="24"/>
        </w:rPr>
        <w:t>000 Kč vložil jako její kmenové jmění a zbylou částku uhradil za nutné administrativní úkony spojené s její existencí.</w:t>
      </w:r>
    </w:p>
    <w:p w14:paraId="2D9E2EB7" w14:textId="77777777" w:rsidR="00BA6900" w:rsidRDefault="00BA6900" w:rsidP="00BA6900">
      <w:pPr>
        <w:spacing w:after="0"/>
        <w:jc w:val="both"/>
        <w:rPr>
          <w:sz w:val="24"/>
        </w:rPr>
      </w:pPr>
    </w:p>
    <w:p w14:paraId="2872E4CB" w14:textId="3BEB49BF" w:rsidR="00BA6900" w:rsidRDefault="00BA6900" w:rsidP="00BA6900">
      <w:pPr>
        <w:spacing w:after="0"/>
        <w:jc w:val="both"/>
        <w:rPr>
          <w:rFonts w:ascii="Calibri" w:eastAsia="Calibri" w:hAnsi="Calibri" w:cs="Calibri"/>
          <w:sz w:val="24"/>
        </w:rPr>
      </w:pPr>
      <w:r>
        <w:rPr>
          <w:rFonts w:ascii="Calibri" w:eastAsia="Calibri" w:hAnsi="Calibri" w:cs="Calibri"/>
          <w:sz w:val="24"/>
        </w:rPr>
        <w:t>TZÚS vlastní akcie společností QUALIFORM, a.s.</w:t>
      </w:r>
      <w:r w:rsidR="00C26770">
        <w:rPr>
          <w:rFonts w:ascii="Calibri" w:eastAsia="Calibri" w:hAnsi="Calibri" w:cs="Calibri"/>
          <w:sz w:val="24"/>
        </w:rPr>
        <w:t>,</w:t>
      </w:r>
      <w:r>
        <w:rPr>
          <w:rFonts w:ascii="Calibri" w:eastAsia="Calibri" w:hAnsi="Calibri" w:cs="Calibri"/>
          <w:sz w:val="24"/>
        </w:rPr>
        <w:t xml:space="preserve"> (100</w:t>
      </w:r>
      <w:r w:rsidR="00C26770">
        <w:rPr>
          <w:rFonts w:ascii="Calibri" w:eastAsia="Calibri" w:hAnsi="Calibri" w:cs="Calibri"/>
          <w:sz w:val="24"/>
        </w:rPr>
        <w:t> </w:t>
      </w:r>
      <w:r>
        <w:rPr>
          <w:rFonts w:ascii="Calibri" w:eastAsia="Calibri" w:hAnsi="Calibri" w:cs="Calibri"/>
          <w:sz w:val="24"/>
        </w:rPr>
        <w:t>%) a PAVUS, a.s.</w:t>
      </w:r>
      <w:r w:rsidR="00C26770">
        <w:rPr>
          <w:rFonts w:ascii="Calibri" w:eastAsia="Calibri" w:hAnsi="Calibri" w:cs="Calibri"/>
          <w:sz w:val="24"/>
        </w:rPr>
        <w:t>,</w:t>
      </w:r>
      <w:r>
        <w:rPr>
          <w:rFonts w:ascii="Calibri" w:eastAsia="Calibri" w:hAnsi="Calibri" w:cs="Calibri"/>
          <w:sz w:val="24"/>
        </w:rPr>
        <w:t xml:space="preserve"> (76,4 %). Akcie obou společností pořídil v</w:t>
      </w:r>
      <w:r w:rsidR="00C26770">
        <w:rPr>
          <w:rFonts w:ascii="Calibri" w:eastAsia="Calibri" w:hAnsi="Calibri" w:cs="Calibri"/>
          <w:sz w:val="24"/>
        </w:rPr>
        <w:t xml:space="preserve"> </w:t>
      </w:r>
      <w:r>
        <w:rPr>
          <w:rFonts w:ascii="Calibri" w:eastAsia="Calibri" w:hAnsi="Calibri" w:cs="Calibri"/>
          <w:sz w:val="24"/>
        </w:rPr>
        <w:t>době, kdy k</w:t>
      </w:r>
      <w:r w:rsidR="00C26770">
        <w:rPr>
          <w:rFonts w:ascii="Calibri" w:eastAsia="Calibri" w:hAnsi="Calibri" w:cs="Calibri"/>
          <w:sz w:val="24"/>
        </w:rPr>
        <w:t xml:space="preserve"> </w:t>
      </w:r>
      <w:r>
        <w:rPr>
          <w:rFonts w:ascii="Calibri" w:eastAsia="Calibri" w:hAnsi="Calibri" w:cs="Calibri"/>
          <w:sz w:val="24"/>
        </w:rPr>
        <w:t xml:space="preserve">tomu dle účinné právní úpravy </w:t>
      </w:r>
      <w:r w:rsidR="00C26770">
        <w:rPr>
          <w:rFonts w:ascii="Calibri" w:eastAsia="Calibri" w:hAnsi="Calibri" w:cs="Calibri"/>
          <w:sz w:val="24"/>
        </w:rPr>
        <w:t xml:space="preserve">nepotřeboval </w:t>
      </w:r>
      <w:r>
        <w:rPr>
          <w:rFonts w:ascii="Calibri" w:eastAsia="Calibri" w:hAnsi="Calibri" w:cs="Calibri"/>
          <w:sz w:val="24"/>
        </w:rPr>
        <w:t>souhlas zakladatele</w:t>
      </w:r>
      <w:r w:rsidR="00C26770">
        <w:rPr>
          <w:rFonts w:ascii="Calibri" w:eastAsia="Calibri" w:hAnsi="Calibri" w:cs="Calibri"/>
          <w:sz w:val="24"/>
        </w:rPr>
        <w:t>.</w:t>
      </w:r>
      <w:r>
        <w:rPr>
          <w:rFonts w:ascii="Calibri" w:eastAsia="Calibri" w:hAnsi="Calibri" w:cs="Calibri"/>
          <w:sz w:val="24"/>
          <w:vertAlign w:val="superscript"/>
        </w:rPr>
        <w:t>1</w:t>
      </w:r>
      <w:r w:rsidR="00A72E41">
        <w:rPr>
          <w:rFonts w:ascii="Calibri" w:eastAsia="Calibri" w:hAnsi="Calibri" w:cs="Calibri"/>
          <w:sz w:val="24"/>
          <w:vertAlign w:val="superscript"/>
        </w:rPr>
        <w:t>4</w:t>
      </w:r>
      <w:r>
        <w:rPr>
          <w:rFonts w:ascii="Calibri" w:eastAsia="Calibri" w:hAnsi="Calibri" w:cs="Calibri"/>
          <w:sz w:val="24"/>
        </w:rPr>
        <w:t xml:space="preserve"> Všechny akcie společnosti QUALIFORM</w:t>
      </w:r>
      <w:r w:rsidR="00C26770">
        <w:rPr>
          <w:rFonts w:ascii="Calibri" w:eastAsia="Calibri" w:hAnsi="Calibri" w:cs="Calibri"/>
          <w:sz w:val="24"/>
        </w:rPr>
        <w:t>,</w:t>
      </w:r>
      <w:r>
        <w:rPr>
          <w:rFonts w:ascii="Calibri" w:eastAsia="Calibri" w:hAnsi="Calibri" w:cs="Calibri"/>
          <w:sz w:val="24"/>
        </w:rPr>
        <w:t xml:space="preserve"> a.s.</w:t>
      </w:r>
      <w:r w:rsidR="00C26770">
        <w:rPr>
          <w:rFonts w:ascii="Calibri" w:eastAsia="Calibri" w:hAnsi="Calibri" w:cs="Calibri"/>
          <w:sz w:val="24"/>
        </w:rPr>
        <w:t>,</w:t>
      </w:r>
      <w:r>
        <w:rPr>
          <w:rFonts w:ascii="Calibri" w:eastAsia="Calibri" w:hAnsi="Calibri" w:cs="Calibri"/>
          <w:sz w:val="24"/>
        </w:rPr>
        <w:t xml:space="preserve"> pořídil TZÚS v roce 2011, majoritní podíl ve společnosti PAVUS</w:t>
      </w:r>
      <w:r w:rsidR="00C26770">
        <w:rPr>
          <w:rFonts w:ascii="Calibri" w:eastAsia="Calibri" w:hAnsi="Calibri" w:cs="Calibri"/>
          <w:sz w:val="24"/>
        </w:rPr>
        <w:t>,</w:t>
      </w:r>
      <w:r>
        <w:rPr>
          <w:rFonts w:ascii="Calibri" w:eastAsia="Calibri" w:hAnsi="Calibri" w:cs="Calibri"/>
          <w:sz w:val="24"/>
        </w:rPr>
        <w:t xml:space="preserve"> a.s.</w:t>
      </w:r>
      <w:r w:rsidR="00C26770">
        <w:rPr>
          <w:rFonts w:ascii="Calibri" w:eastAsia="Calibri" w:hAnsi="Calibri" w:cs="Calibri"/>
          <w:sz w:val="24"/>
        </w:rPr>
        <w:t>,</w:t>
      </w:r>
      <w:r>
        <w:rPr>
          <w:rFonts w:ascii="Calibri" w:eastAsia="Calibri" w:hAnsi="Calibri" w:cs="Calibri"/>
          <w:sz w:val="24"/>
        </w:rPr>
        <w:t xml:space="preserve"> pořídil TZÚS v roce 2002. Důvodem pro jejich pořízení byl dle TZÚS záměr rozšířit svoji odbornost a posílit svoji pozici na trhu. Obě akciové společnosti se řídí výhradně zákonem č. 90/2012 Sb., kterému se obě společnosti podřídily postupem podle § 777 odst. 5, když tuto informaci zanesly do obchodního rejstříku. Výkon akcionářských práv je plně v rukou TZÚS. Informace o jejich činnosti a hospodaření získává MPO prostřednictvím dozorčí rady TZÚS. Hodnota tohoto finančního majetku činila 89 mil. Kč k 31. </w:t>
      </w:r>
      <w:r w:rsidRPr="00FB10DA">
        <w:rPr>
          <w:rFonts w:ascii="Calibri" w:eastAsia="Calibri" w:hAnsi="Calibri" w:cs="Calibri"/>
          <w:sz w:val="24"/>
        </w:rPr>
        <w:t>prosinci 2023,</w:t>
      </w:r>
      <w:r>
        <w:rPr>
          <w:rFonts w:ascii="Calibri" w:eastAsia="Calibri" w:hAnsi="Calibri" w:cs="Calibri"/>
          <w:sz w:val="24"/>
        </w:rPr>
        <w:t xml:space="preserve"> </w:t>
      </w:r>
      <w:r>
        <w:rPr>
          <w:rFonts w:ascii="Calibri" w:eastAsia="Calibri" w:hAnsi="Calibri" w:cs="Calibri"/>
          <w:sz w:val="24"/>
        </w:rPr>
        <w:lastRenderedPageBreak/>
        <w:t>přesto MPO tento majetek nevymezilo jako určený majetek a k nakládání s ním není nutný jeho předchozí souhlas.</w:t>
      </w:r>
    </w:p>
    <w:p w14:paraId="5AC01011" w14:textId="77777777" w:rsidR="00BA6900" w:rsidRDefault="00BA6900" w:rsidP="00BA6900">
      <w:pPr>
        <w:spacing w:after="0"/>
        <w:jc w:val="both"/>
        <w:rPr>
          <w:rFonts w:ascii="Calibri" w:eastAsia="Calibri" w:hAnsi="Calibri" w:cs="Calibri"/>
          <w:sz w:val="24"/>
        </w:rPr>
      </w:pPr>
    </w:p>
    <w:p w14:paraId="15355197" w14:textId="405BD39C" w:rsidR="00BA6900" w:rsidRDefault="00BA6900" w:rsidP="00BA6900">
      <w:pPr>
        <w:spacing w:after="0"/>
        <w:jc w:val="both"/>
        <w:rPr>
          <w:rFonts w:ascii="Calibri" w:eastAsia="Calibri" w:hAnsi="Calibri" w:cs="Calibri"/>
          <w:sz w:val="24"/>
        </w:rPr>
      </w:pPr>
      <w:r>
        <w:rPr>
          <w:rFonts w:ascii="Calibri" w:eastAsia="Calibri" w:hAnsi="Calibri" w:cs="Calibri"/>
          <w:sz w:val="24"/>
        </w:rPr>
        <w:t xml:space="preserve">Ve </w:t>
      </w:r>
      <w:r w:rsidRPr="00FB586F">
        <w:rPr>
          <w:rFonts w:ascii="Calibri" w:eastAsia="Calibri" w:hAnsi="Calibri" w:cs="Calibri"/>
          <w:i/>
          <w:iCs/>
          <w:sz w:val="24"/>
        </w:rPr>
        <w:t>Strategii vlastnické politiky státu</w:t>
      </w:r>
      <w:r>
        <w:rPr>
          <w:rStyle w:val="Znakapoznpodarou"/>
          <w:rFonts w:ascii="Calibri" w:eastAsia="Calibri" w:hAnsi="Calibri" w:cs="Calibri"/>
          <w:sz w:val="24"/>
        </w:rPr>
        <w:footnoteReference w:id="15"/>
      </w:r>
      <w:r>
        <w:rPr>
          <w:rFonts w:ascii="Calibri" w:eastAsia="Calibri" w:hAnsi="Calibri" w:cs="Calibri"/>
          <w:sz w:val="24"/>
        </w:rPr>
        <w:t xml:space="preserve"> je uvedeno, že jejím smyslem je zodpovědět jaká podnikatelská aktiva má stát vlastnit, jakým způsobem má tato aktiva spravovat, řídit a jaký by měl být optimální model institucionálního uspořádání. Majetkové účasti v obchodních společnostech vlastněných státními podniky nejsou ale ve </w:t>
      </w:r>
      <w:r w:rsidRPr="00FB586F">
        <w:rPr>
          <w:rFonts w:ascii="Calibri" w:eastAsia="Calibri" w:hAnsi="Calibri" w:cs="Calibri"/>
          <w:i/>
          <w:iCs/>
          <w:sz w:val="24"/>
        </w:rPr>
        <w:t>Strategii vlastnické politiky státu</w:t>
      </w:r>
      <w:r>
        <w:rPr>
          <w:rFonts w:ascii="Calibri" w:eastAsia="Calibri" w:hAnsi="Calibri" w:cs="Calibri"/>
          <w:sz w:val="24"/>
        </w:rPr>
        <w:t xml:space="preserve"> ani ve zprávě o jejím plnění</w:t>
      </w:r>
      <w:r>
        <w:rPr>
          <w:rStyle w:val="Znakapoznpodarou"/>
          <w:rFonts w:ascii="Calibri" w:eastAsia="Calibri" w:hAnsi="Calibri" w:cs="Calibri"/>
          <w:sz w:val="24"/>
        </w:rPr>
        <w:footnoteReference w:id="16"/>
      </w:r>
      <w:r>
        <w:rPr>
          <w:rFonts w:ascii="Calibri" w:eastAsia="Calibri" w:hAnsi="Calibri" w:cs="Calibri"/>
          <w:sz w:val="24"/>
        </w:rPr>
        <w:t xml:space="preserve"> vůbec zmíněny.</w:t>
      </w:r>
    </w:p>
    <w:p w14:paraId="1DD1D11B" w14:textId="77777777" w:rsidR="00A72E41" w:rsidRDefault="00A72E41" w:rsidP="00BA6900">
      <w:pPr>
        <w:spacing w:after="0"/>
        <w:jc w:val="both"/>
        <w:rPr>
          <w:rFonts w:ascii="Calibri" w:eastAsia="Calibri" w:hAnsi="Calibri" w:cs="Calibri"/>
          <w:sz w:val="24"/>
        </w:rPr>
      </w:pPr>
    </w:p>
    <w:p w14:paraId="5AE1A420" w14:textId="7DE078AA" w:rsidR="00247470" w:rsidRDefault="000F7842" w:rsidP="00247470">
      <w:pPr>
        <w:spacing w:after="0"/>
        <w:jc w:val="both"/>
        <w:rPr>
          <w:b/>
          <w:sz w:val="24"/>
        </w:rPr>
      </w:pPr>
      <w:r>
        <w:rPr>
          <w:b/>
          <w:sz w:val="24"/>
        </w:rPr>
        <w:t>6</w:t>
      </w:r>
      <w:r w:rsidR="00247470">
        <w:rPr>
          <w:b/>
          <w:sz w:val="24"/>
        </w:rPr>
        <w:t>. Výsled</w:t>
      </w:r>
      <w:r w:rsidR="00E6177A">
        <w:rPr>
          <w:b/>
          <w:sz w:val="24"/>
        </w:rPr>
        <w:t>ek</w:t>
      </w:r>
      <w:r w:rsidR="00247470">
        <w:rPr>
          <w:b/>
          <w:sz w:val="24"/>
        </w:rPr>
        <w:t xml:space="preserve"> hospodaření EZÚ </w:t>
      </w:r>
    </w:p>
    <w:p w14:paraId="1D624C33" w14:textId="77777777" w:rsidR="00247470" w:rsidRDefault="00247470" w:rsidP="00247470">
      <w:pPr>
        <w:spacing w:after="0"/>
        <w:jc w:val="both"/>
        <w:rPr>
          <w:sz w:val="24"/>
        </w:rPr>
      </w:pPr>
    </w:p>
    <w:p w14:paraId="5F11FB92" w14:textId="0BED94CA" w:rsidR="008B0169" w:rsidRDefault="00247470" w:rsidP="00247470">
      <w:pPr>
        <w:spacing w:after="0"/>
        <w:jc w:val="both"/>
        <w:rPr>
          <w:sz w:val="24"/>
        </w:rPr>
      </w:pPr>
      <w:r>
        <w:rPr>
          <w:sz w:val="24"/>
        </w:rPr>
        <w:t>V období let 2019 až 2023 byl EZÚ v</w:t>
      </w:r>
      <w:r w:rsidR="0058795B">
        <w:rPr>
          <w:sz w:val="24"/>
        </w:rPr>
        <w:t> </w:t>
      </w:r>
      <w:r>
        <w:rPr>
          <w:sz w:val="24"/>
        </w:rPr>
        <w:t>zisku</w:t>
      </w:r>
      <w:r w:rsidR="0058795B">
        <w:rPr>
          <w:sz w:val="24"/>
        </w:rPr>
        <w:t>, výjimku tvořil pouze</w:t>
      </w:r>
      <w:r>
        <w:rPr>
          <w:sz w:val="24"/>
        </w:rPr>
        <w:t xml:space="preserve"> rok 2022, kdy jeho hospodaření skončilo výraznou ztrátou. Byl to </w:t>
      </w:r>
      <w:r w:rsidR="00661815">
        <w:rPr>
          <w:sz w:val="24"/>
        </w:rPr>
        <w:t xml:space="preserve">zejména </w:t>
      </w:r>
      <w:r>
        <w:rPr>
          <w:sz w:val="24"/>
        </w:rPr>
        <w:t xml:space="preserve">důsledek zmařené investice </w:t>
      </w:r>
      <w:r w:rsidR="0058795B">
        <w:rPr>
          <w:sz w:val="24"/>
        </w:rPr>
        <w:t>(</w:t>
      </w:r>
      <w:r>
        <w:rPr>
          <w:sz w:val="24"/>
        </w:rPr>
        <w:t>popsané v části IV.</w:t>
      </w:r>
      <w:r w:rsidR="00D25D61">
        <w:rPr>
          <w:sz w:val="24"/>
        </w:rPr>
        <w:t>1.</w:t>
      </w:r>
      <w:r>
        <w:rPr>
          <w:sz w:val="24"/>
        </w:rPr>
        <w:t xml:space="preserve"> tohoto kontrolního závěru</w:t>
      </w:r>
      <w:r w:rsidR="0058795B">
        <w:rPr>
          <w:sz w:val="24"/>
        </w:rPr>
        <w:t>)</w:t>
      </w:r>
      <w:r>
        <w:rPr>
          <w:sz w:val="24"/>
        </w:rPr>
        <w:t xml:space="preserve">, která byla účetně </w:t>
      </w:r>
      <w:r w:rsidR="00661815">
        <w:rPr>
          <w:sz w:val="24"/>
        </w:rPr>
        <w:t>vypořádána v</w:t>
      </w:r>
      <w:r w:rsidR="00D25D61">
        <w:rPr>
          <w:sz w:val="24"/>
        </w:rPr>
        <w:t xml:space="preserve"> </w:t>
      </w:r>
      <w:r w:rsidR="00661815">
        <w:rPr>
          <w:sz w:val="24"/>
        </w:rPr>
        <w:t xml:space="preserve">hospodářském výsledku roku </w:t>
      </w:r>
      <w:r>
        <w:rPr>
          <w:sz w:val="24"/>
        </w:rPr>
        <w:t>2022.</w:t>
      </w:r>
      <w:r w:rsidR="00661815">
        <w:rPr>
          <w:sz w:val="24"/>
        </w:rPr>
        <w:t xml:space="preserve"> V</w:t>
      </w:r>
      <w:r w:rsidR="00D25D61">
        <w:rPr>
          <w:sz w:val="24"/>
        </w:rPr>
        <w:t xml:space="preserve"> </w:t>
      </w:r>
      <w:r w:rsidR="00661815">
        <w:rPr>
          <w:sz w:val="24"/>
        </w:rPr>
        <w:t>předchozím období byly náklady spojené s</w:t>
      </w:r>
      <w:r w:rsidR="00D25D61">
        <w:rPr>
          <w:sz w:val="24"/>
        </w:rPr>
        <w:t xml:space="preserve"> </w:t>
      </w:r>
      <w:r w:rsidR="00661815">
        <w:rPr>
          <w:sz w:val="24"/>
        </w:rPr>
        <w:t xml:space="preserve">demolicí </w:t>
      </w:r>
      <w:r w:rsidR="0058795B">
        <w:rPr>
          <w:sz w:val="24"/>
        </w:rPr>
        <w:t xml:space="preserve">budovy </w:t>
      </w:r>
      <w:r w:rsidR="00661815">
        <w:rPr>
          <w:sz w:val="24"/>
        </w:rPr>
        <w:t>a přípravou</w:t>
      </w:r>
      <w:r w:rsidR="0098544F">
        <w:rPr>
          <w:sz w:val="24"/>
        </w:rPr>
        <w:t xml:space="preserve"> projektu</w:t>
      </w:r>
      <w:r w:rsidR="00661815">
        <w:rPr>
          <w:sz w:val="24"/>
        </w:rPr>
        <w:t xml:space="preserve"> vedeny </w:t>
      </w:r>
      <w:r w:rsidR="0058795B">
        <w:rPr>
          <w:sz w:val="24"/>
        </w:rPr>
        <w:t xml:space="preserve">na </w:t>
      </w:r>
      <w:r w:rsidR="00661815">
        <w:rPr>
          <w:sz w:val="24"/>
        </w:rPr>
        <w:t>položce nedokončeného dlouhodobého majetku, neovlivňovaly tudíž hospodářský výsledek v předchozích letech.</w:t>
      </w:r>
      <w:r>
        <w:rPr>
          <w:sz w:val="24"/>
        </w:rPr>
        <w:t xml:space="preserve"> Druhým důvodem ztráty bylo navýšení cen energií.</w:t>
      </w:r>
    </w:p>
    <w:p w14:paraId="4FECEEF9" w14:textId="77777777" w:rsidR="0098544F" w:rsidRDefault="0098544F" w:rsidP="00247470">
      <w:pPr>
        <w:spacing w:after="0"/>
        <w:jc w:val="both"/>
        <w:rPr>
          <w:sz w:val="24"/>
        </w:rPr>
      </w:pPr>
    </w:p>
    <w:p w14:paraId="4F98A59E" w14:textId="774ABBE1" w:rsidR="00247470" w:rsidRPr="00343E58" w:rsidRDefault="00247470" w:rsidP="000B28F1">
      <w:pPr>
        <w:keepNext/>
        <w:tabs>
          <w:tab w:val="right" w:pos="9072"/>
        </w:tabs>
        <w:spacing w:after="0"/>
        <w:jc w:val="both"/>
        <w:rPr>
          <w:rFonts w:cstheme="minorHAnsi"/>
          <w:b/>
          <w:sz w:val="24"/>
        </w:rPr>
      </w:pPr>
      <w:r w:rsidRPr="00343E58">
        <w:rPr>
          <w:rFonts w:cstheme="minorHAnsi"/>
          <w:b/>
          <w:sz w:val="24"/>
        </w:rPr>
        <w:t xml:space="preserve">Tabulka č. </w:t>
      </w:r>
      <w:r w:rsidR="0098544F" w:rsidRPr="00343E58">
        <w:rPr>
          <w:rFonts w:cstheme="minorHAnsi"/>
          <w:b/>
          <w:sz w:val="24"/>
        </w:rPr>
        <w:t>4</w:t>
      </w:r>
      <w:r w:rsidRPr="00343E58">
        <w:rPr>
          <w:rFonts w:cstheme="minorHAnsi"/>
          <w:b/>
          <w:sz w:val="24"/>
        </w:rPr>
        <w:t xml:space="preserve">: Vybrané náklady a výnosy EZÚ </w:t>
      </w:r>
      <w:r w:rsidR="00343E58">
        <w:rPr>
          <w:rFonts w:cstheme="minorHAnsi"/>
          <w:b/>
          <w:sz w:val="24"/>
        </w:rPr>
        <w:tab/>
      </w:r>
      <w:r w:rsidRPr="00343E58">
        <w:rPr>
          <w:rFonts w:cstheme="minorHAnsi"/>
          <w:b/>
          <w:sz w:val="24"/>
        </w:rPr>
        <w:t>(v tis. Kč)</w:t>
      </w:r>
    </w:p>
    <w:tbl>
      <w:tblPr>
        <w:tblStyle w:val="Mkatabulky"/>
        <w:tblW w:w="5000" w:type="pct"/>
        <w:tblLook w:val="04A0" w:firstRow="1" w:lastRow="0" w:firstColumn="1" w:lastColumn="0" w:noHBand="0" w:noVBand="1"/>
      </w:tblPr>
      <w:tblGrid>
        <w:gridCol w:w="3419"/>
        <w:gridCol w:w="1128"/>
        <w:gridCol w:w="1130"/>
        <w:gridCol w:w="1127"/>
        <w:gridCol w:w="1129"/>
        <w:gridCol w:w="1129"/>
      </w:tblGrid>
      <w:tr w:rsidR="00247470" w14:paraId="1E45BD2F" w14:textId="77777777" w:rsidTr="00343E58">
        <w:tc>
          <w:tcPr>
            <w:tcW w:w="1886" w:type="pct"/>
            <w:tcBorders>
              <w:top w:val="single" w:sz="4" w:space="0" w:color="auto"/>
              <w:left w:val="single" w:sz="4" w:space="0" w:color="auto"/>
              <w:bottom w:val="single" w:sz="4" w:space="0" w:color="auto"/>
              <w:right w:val="single" w:sz="4" w:space="0" w:color="auto"/>
            </w:tcBorders>
            <w:shd w:val="clear" w:color="auto" w:fill="E6E6E6"/>
          </w:tcPr>
          <w:p w14:paraId="2E166C1A" w14:textId="77777777" w:rsidR="00247470" w:rsidRDefault="00247470" w:rsidP="00343E58">
            <w:pPr>
              <w:keepNext/>
              <w:contextualSpacing/>
              <w:jc w:val="center"/>
              <w:rPr>
                <w:rFonts w:cstheme="minorHAnsi"/>
                <w:b/>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D3DE2C9" w14:textId="77777777" w:rsidR="00247470" w:rsidRDefault="00247470" w:rsidP="00343E58">
            <w:pPr>
              <w:keepNext/>
              <w:contextualSpacing/>
              <w:jc w:val="center"/>
              <w:rPr>
                <w:rFonts w:cstheme="minorHAnsi"/>
                <w:b/>
                <w:sz w:val="20"/>
                <w:szCs w:val="20"/>
              </w:rPr>
            </w:pPr>
            <w:r>
              <w:rPr>
                <w:rFonts w:cstheme="minorHAnsi"/>
                <w:b/>
                <w:sz w:val="20"/>
                <w:szCs w:val="20"/>
              </w:rPr>
              <w:t>2019</w:t>
            </w:r>
          </w:p>
        </w:tc>
        <w:tc>
          <w:tcPr>
            <w:tcW w:w="62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A31FB7B" w14:textId="77777777" w:rsidR="00247470" w:rsidRDefault="00247470" w:rsidP="00343E58">
            <w:pPr>
              <w:keepNext/>
              <w:contextualSpacing/>
              <w:jc w:val="center"/>
              <w:rPr>
                <w:rFonts w:cstheme="minorHAnsi"/>
                <w:b/>
                <w:sz w:val="20"/>
                <w:szCs w:val="20"/>
              </w:rPr>
            </w:pPr>
            <w:r>
              <w:rPr>
                <w:rFonts w:cstheme="minorHAnsi"/>
                <w:b/>
                <w:sz w:val="20"/>
                <w:szCs w:val="20"/>
              </w:rPr>
              <w:t>2020</w:t>
            </w:r>
          </w:p>
        </w:tc>
        <w:tc>
          <w:tcPr>
            <w:tcW w:w="62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A897BF2" w14:textId="77777777" w:rsidR="00247470" w:rsidRDefault="00247470" w:rsidP="00343E58">
            <w:pPr>
              <w:keepNext/>
              <w:contextualSpacing/>
              <w:jc w:val="center"/>
              <w:rPr>
                <w:rFonts w:cstheme="minorHAnsi"/>
                <w:b/>
                <w:sz w:val="20"/>
                <w:szCs w:val="20"/>
              </w:rPr>
            </w:pPr>
            <w:r>
              <w:rPr>
                <w:rFonts w:cstheme="minorHAnsi"/>
                <w:b/>
                <w:sz w:val="20"/>
                <w:szCs w:val="20"/>
              </w:rPr>
              <w:t>2021</w:t>
            </w:r>
          </w:p>
        </w:tc>
        <w:tc>
          <w:tcPr>
            <w:tcW w:w="62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764B9B8" w14:textId="77777777" w:rsidR="00247470" w:rsidRDefault="00247470" w:rsidP="00343E58">
            <w:pPr>
              <w:keepNext/>
              <w:contextualSpacing/>
              <w:jc w:val="center"/>
              <w:rPr>
                <w:rFonts w:cstheme="minorHAnsi"/>
                <w:b/>
                <w:sz w:val="20"/>
                <w:szCs w:val="20"/>
              </w:rPr>
            </w:pPr>
            <w:r>
              <w:rPr>
                <w:rFonts w:cstheme="minorHAnsi"/>
                <w:b/>
                <w:sz w:val="20"/>
                <w:szCs w:val="20"/>
              </w:rPr>
              <w:t>2022</w:t>
            </w:r>
          </w:p>
        </w:tc>
        <w:tc>
          <w:tcPr>
            <w:tcW w:w="62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E35BAA2" w14:textId="77777777" w:rsidR="00247470" w:rsidRDefault="00247470" w:rsidP="00343E58">
            <w:pPr>
              <w:keepNext/>
              <w:contextualSpacing/>
              <w:jc w:val="center"/>
              <w:rPr>
                <w:rFonts w:cstheme="minorHAnsi"/>
                <w:b/>
                <w:sz w:val="20"/>
                <w:szCs w:val="20"/>
              </w:rPr>
            </w:pPr>
            <w:r>
              <w:rPr>
                <w:rFonts w:cstheme="minorHAnsi"/>
                <w:b/>
                <w:sz w:val="20"/>
                <w:szCs w:val="20"/>
              </w:rPr>
              <w:t>2023</w:t>
            </w:r>
          </w:p>
        </w:tc>
      </w:tr>
      <w:tr w:rsidR="00247470" w14:paraId="1E35750E"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74776FF0" w14:textId="77777777" w:rsidR="00247470" w:rsidRDefault="00247470" w:rsidP="00FB586F">
            <w:pPr>
              <w:keepNext/>
              <w:contextualSpacing/>
              <w:rPr>
                <w:rFonts w:cstheme="minorHAnsi"/>
                <w:b/>
                <w:sz w:val="20"/>
                <w:szCs w:val="20"/>
              </w:rPr>
            </w:pPr>
            <w:r>
              <w:rPr>
                <w:rFonts w:cstheme="minorHAnsi"/>
                <w:b/>
                <w:sz w:val="20"/>
                <w:szCs w:val="20"/>
              </w:rPr>
              <w:t>Náklady celkem</w:t>
            </w:r>
          </w:p>
        </w:tc>
        <w:tc>
          <w:tcPr>
            <w:tcW w:w="622" w:type="pct"/>
            <w:tcBorders>
              <w:top w:val="single" w:sz="4" w:space="0" w:color="auto"/>
              <w:left w:val="single" w:sz="4" w:space="0" w:color="auto"/>
              <w:bottom w:val="single" w:sz="4" w:space="0" w:color="auto"/>
              <w:right w:val="single" w:sz="4" w:space="0" w:color="auto"/>
            </w:tcBorders>
            <w:vAlign w:val="center"/>
            <w:hideMark/>
          </w:tcPr>
          <w:p w14:paraId="250E4F69" w14:textId="77777777" w:rsidR="00247470" w:rsidRDefault="00247470" w:rsidP="00343E58">
            <w:pPr>
              <w:keepNext/>
              <w:contextualSpacing/>
              <w:jc w:val="right"/>
              <w:rPr>
                <w:rFonts w:cstheme="minorHAnsi"/>
                <w:b/>
                <w:sz w:val="20"/>
                <w:szCs w:val="20"/>
              </w:rPr>
            </w:pPr>
            <w:r>
              <w:rPr>
                <w:rFonts w:cstheme="minorHAnsi"/>
                <w:b/>
                <w:sz w:val="20"/>
                <w:szCs w:val="20"/>
              </w:rPr>
              <w:t>152 556</w:t>
            </w:r>
          </w:p>
        </w:tc>
        <w:tc>
          <w:tcPr>
            <w:tcW w:w="623" w:type="pct"/>
            <w:tcBorders>
              <w:top w:val="single" w:sz="4" w:space="0" w:color="auto"/>
              <w:left w:val="single" w:sz="4" w:space="0" w:color="auto"/>
              <w:bottom w:val="single" w:sz="4" w:space="0" w:color="auto"/>
              <w:right w:val="single" w:sz="4" w:space="0" w:color="auto"/>
            </w:tcBorders>
            <w:vAlign w:val="center"/>
            <w:hideMark/>
          </w:tcPr>
          <w:p w14:paraId="3109477C" w14:textId="77777777" w:rsidR="00247470" w:rsidRDefault="00247470" w:rsidP="00343E58">
            <w:pPr>
              <w:keepNext/>
              <w:contextualSpacing/>
              <w:jc w:val="right"/>
              <w:rPr>
                <w:rFonts w:cstheme="minorHAnsi"/>
                <w:b/>
                <w:sz w:val="20"/>
                <w:szCs w:val="20"/>
              </w:rPr>
            </w:pPr>
            <w:r>
              <w:rPr>
                <w:rFonts w:cstheme="minorHAnsi"/>
                <w:b/>
                <w:sz w:val="20"/>
                <w:szCs w:val="20"/>
              </w:rPr>
              <w:t>141 819</w:t>
            </w:r>
          </w:p>
        </w:tc>
        <w:tc>
          <w:tcPr>
            <w:tcW w:w="622" w:type="pct"/>
            <w:tcBorders>
              <w:top w:val="single" w:sz="4" w:space="0" w:color="auto"/>
              <w:left w:val="single" w:sz="4" w:space="0" w:color="auto"/>
              <w:bottom w:val="single" w:sz="4" w:space="0" w:color="auto"/>
              <w:right w:val="single" w:sz="4" w:space="0" w:color="auto"/>
            </w:tcBorders>
            <w:vAlign w:val="center"/>
            <w:hideMark/>
          </w:tcPr>
          <w:p w14:paraId="4C083FCE" w14:textId="77777777" w:rsidR="00247470" w:rsidRDefault="00247470" w:rsidP="00343E58">
            <w:pPr>
              <w:keepNext/>
              <w:contextualSpacing/>
              <w:jc w:val="right"/>
              <w:rPr>
                <w:rFonts w:cstheme="minorHAnsi"/>
                <w:b/>
                <w:sz w:val="20"/>
                <w:szCs w:val="20"/>
              </w:rPr>
            </w:pPr>
            <w:r>
              <w:rPr>
                <w:rFonts w:cstheme="minorHAnsi"/>
                <w:b/>
                <w:sz w:val="20"/>
                <w:szCs w:val="20"/>
              </w:rPr>
              <w:t>133 503</w:t>
            </w:r>
          </w:p>
        </w:tc>
        <w:tc>
          <w:tcPr>
            <w:tcW w:w="623" w:type="pct"/>
            <w:tcBorders>
              <w:top w:val="single" w:sz="4" w:space="0" w:color="auto"/>
              <w:left w:val="single" w:sz="4" w:space="0" w:color="auto"/>
              <w:bottom w:val="single" w:sz="4" w:space="0" w:color="auto"/>
              <w:right w:val="single" w:sz="4" w:space="0" w:color="auto"/>
            </w:tcBorders>
            <w:vAlign w:val="center"/>
            <w:hideMark/>
          </w:tcPr>
          <w:p w14:paraId="7384A0EB" w14:textId="77777777" w:rsidR="00247470" w:rsidRDefault="00247470" w:rsidP="00343E58">
            <w:pPr>
              <w:keepNext/>
              <w:contextualSpacing/>
              <w:jc w:val="right"/>
              <w:rPr>
                <w:rFonts w:cstheme="minorHAnsi"/>
                <w:b/>
                <w:sz w:val="20"/>
                <w:szCs w:val="20"/>
              </w:rPr>
            </w:pPr>
            <w:r>
              <w:rPr>
                <w:rFonts w:cstheme="minorHAnsi"/>
                <w:b/>
                <w:sz w:val="20"/>
                <w:szCs w:val="20"/>
              </w:rPr>
              <w:t>163 191</w:t>
            </w:r>
          </w:p>
        </w:tc>
        <w:tc>
          <w:tcPr>
            <w:tcW w:w="623" w:type="pct"/>
            <w:tcBorders>
              <w:top w:val="single" w:sz="4" w:space="0" w:color="auto"/>
              <w:left w:val="single" w:sz="4" w:space="0" w:color="auto"/>
              <w:bottom w:val="single" w:sz="4" w:space="0" w:color="auto"/>
              <w:right w:val="single" w:sz="4" w:space="0" w:color="auto"/>
            </w:tcBorders>
            <w:vAlign w:val="center"/>
            <w:hideMark/>
          </w:tcPr>
          <w:p w14:paraId="421E4478" w14:textId="77777777" w:rsidR="00247470" w:rsidRDefault="00247470" w:rsidP="00343E58">
            <w:pPr>
              <w:keepNext/>
              <w:contextualSpacing/>
              <w:jc w:val="right"/>
              <w:rPr>
                <w:rFonts w:cstheme="minorHAnsi"/>
                <w:b/>
                <w:sz w:val="20"/>
                <w:szCs w:val="20"/>
              </w:rPr>
            </w:pPr>
            <w:r>
              <w:rPr>
                <w:rFonts w:cstheme="minorHAnsi"/>
                <w:b/>
                <w:sz w:val="20"/>
                <w:szCs w:val="20"/>
              </w:rPr>
              <w:t>140 460</w:t>
            </w:r>
          </w:p>
        </w:tc>
      </w:tr>
      <w:tr w:rsidR="00247470" w14:paraId="1795F96E"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03D85C2D" w14:textId="73B66AD8" w:rsidR="00247470" w:rsidRDefault="00247470" w:rsidP="00FB586F">
            <w:pPr>
              <w:keepNext/>
              <w:ind w:left="624" w:hanging="624"/>
              <w:contextualSpacing/>
              <w:rPr>
                <w:rFonts w:cstheme="minorHAnsi"/>
                <w:sz w:val="20"/>
                <w:szCs w:val="20"/>
              </w:rPr>
            </w:pPr>
            <w:r>
              <w:rPr>
                <w:rFonts w:cstheme="minorHAnsi"/>
                <w:sz w:val="20"/>
                <w:szCs w:val="20"/>
              </w:rPr>
              <w:t xml:space="preserve">z toho: </w:t>
            </w:r>
            <w:r w:rsidR="0010777A">
              <w:rPr>
                <w:rFonts w:cstheme="minorHAnsi"/>
                <w:sz w:val="20"/>
                <w:szCs w:val="20"/>
              </w:rPr>
              <w:tab/>
            </w:r>
            <w:r>
              <w:rPr>
                <w:rFonts w:cstheme="minorHAnsi"/>
                <w:sz w:val="20"/>
                <w:szCs w:val="20"/>
              </w:rPr>
              <w:t>osobní náklady</w:t>
            </w:r>
          </w:p>
        </w:tc>
        <w:tc>
          <w:tcPr>
            <w:tcW w:w="622" w:type="pct"/>
            <w:tcBorders>
              <w:top w:val="single" w:sz="4" w:space="0" w:color="auto"/>
              <w:left w:val="nil"/>
              <w:bottom w:val="single" w:sz="4" w:space="0" w:color="auto"/>
              <w:right w:val="single" w:sz="4" w:space="0" w:color="auto"/>
            </w:tcBorders>
            <w:vAlign w:val="center"/>
            <w:hideMark/>
          </w:tcPr>
          <w:p w14:paraId="1E54E5C5"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83 765</w:t>
            </w:r>
          </w:p>
        </w:tc>
        <w:tc>
          <w:tcPr>
            <w:tcW w:w="623" w:type="pct"/>
            <w:tcBorders>
              <w:top w:val="single" w:sz="4" w:space="0" w:color="auto"/>
              <w:left w:val="nil"/>
              <w:bottom w:val="single" w:sz="4" w:space="0" w:color="auto"/>
              <w:right w:val="single" w:sz="4" w:space="0" w:color="auto"/>
            </w:tcBorders>
            <w:vAlign w:val="center"/>
            <w:hideMark/>
          </w:tcPr>
          <w:p w14:paraId="39FF6B9E"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87 108</w:t>
            </w:r>
          </w:p>
        </w:tc>
        <w:tc>
          <w:tcPr>
            <w:tcW w:w="622" w:type="pct"/>
            <w:tcBorders>
              <w:top w:val="single" w:sz="4" w:space="0" w:color="auto"/>
              <w:left w:val="nil"/>
              <w:bottom w:val="single" w:sz="4" w:space="0" w:color="auto"/>
              <w:right w:val="single" w:sz="4" w:space="0" w:color="auto"/>
            </w:tcBorders>
            <w:vAlign w:val="center"/>
            <w:hideMark/>
          </w:tcPr>
          <w:p w14:paraId="16D056F4"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77 248</w:t>
            </w:r>
          </w:p>
        </w:tc>
        <w:tc>
          <w:tcPr>
            <w:tcW w:w="623" w:type="pct"/>
            <w:tcBorders>
              <w:top w:val="single" w:sz="4" w:space="0" w:color="auto"/>
              <w:left w:val="nil"/>
              <w:bottom w:val="single" w:sz="4" w:space="0" w:color="auto"/>
              <w:right w:val="single" w:sz="4" w:space="0" w:color="auto"/>
            </w:tcBorders>
            <w:vAlign w:val="center"/>
            <w:hideMark/>
          </w:tcPr>
          <w:p w14:paraId="51A49E37"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75 997</w:t>
            </w:r>
          </w:p>
        </w:tc>
        <w:tc>
          <w:tcPr>
            <w:tcW w:w="623" w:type="pct"/>
            <w:tcBorders>
              <w:top w:val="single" w:sz="4" w:space="0" w:color="auto"/>
              <w:left w:val="nil"/>
              <w:bottom w:val="single" w:sz="4" w:space="0" w:color="auto"/>
              <w:right w:val="single" w:sz="4" w:space="0" w:color="auto"/>
            </w:tcBorders>
            <w:vAlign w:val="center"/>
            <w:hideMark/>
          </w:tcPr>
          <w:p w14:paraId="33567A13"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79 968</w:t>
            </w:r>
          </w:p>
        </w:tc>
      </w:tr>
      <w:tr w:rsidR="00247470" w14:paraId="28B7E258"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6F8EB239" w14:textId="095EA17F" w:rsidR="00247470" w:rsidRDefault="0010777A" w:rsidP="00FB586F">
            <w:pPr>
              <w:keepNext/>
              <w:ind w:left="624" w:hanging="624"/>
              <w:contextualSpacing/>
              <w:rPr>
                <w:rFonts w:cstheme="minorHAnsi"/>
                <w:sz w:val="20"/>
                <w:szCs w:val="20"/>
              </w:rPr>
            </w:pPr>
            <w:r>
              <w:rPr>
                <w:rFonts w:cstheme="minorHAnsi"/>
                <w:sz w:val="20"/>
                <w:szCs w:val="20"/>
              </w:rPr>
              <w:tab/>
            </w:r>
            <w:r w:rsidR="00247470">
              <w:rPr>
                <w:rFonts w:cstheme="minorHAnsi"/>
                <w:sz w:val="20"/>
                <w:szCs w:val="20"/>
              </w:rPr>
              <w:t>spotřeba materiálu a energie</w:t>
            </w:r>
          </w:p>
        </w:tc>
        <w:tc>
          <w:tcPr>
            <w:tcW w:w="622" w:type="pct"/>
            <w:tcBorders>
              <w:top w:val="single" w:sz="4" w:space="0" w:color="auto"/>
              <w:left w:val="nil"/>
              <w:bottom w:val="single" w:sz="4" w:space="0" w:color="auto"/>
              <w:right w:val="single" w:sz="4" w:space="0" w:color="auto"/>
            </w:tcBorders>
            <w:vAlign w:val="center"/>
            <w:hideMark/>
          </w:tcPr>
          <w:p w14:paraId="50581690"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5 099</w:t>
            </w:r>
          </w:p>
        </w:tc>
        <w:tc>
          <w:tcPr>
            <w:tcW w:w="623" w:type="pct"/>
            <w:tcBorders>
              <w:top w:val="single" w:sz="4" w:space="0" w:color="auto"/>
              <w:left w:val="nil"/>
              <w:bottom w:val="single" w:sz="4" w:space="0" w:color="auto"/>
              <w:right w:val="single" w:sz="4" w:space="0" w:color="auto"/>
            </w:tcBorders>
            <w:vAlign w:val="center"/>
            <w:hideMark/>
          </w:tcPr>
          <w:p w14:paraId="5E6674D7"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5 145</w:t>
            </w:r>
          </w:p>
        </w:tc>
        <w:tc>
          <w:tcPr>
            <w:tcW w:w="622" w:type="pct"/>
            <w:tcBorders>
              <w:top w:val="single" w:sz="4" w:space="0" w:color="auto"/>
              <w:left w:val="nil"/>
              <w:bottom w:val="single" w:sz="4" w:space="0" w:color="auto"/>
              <w:right w:val="single" w:sz="4" w:space="0" w:color="auto"/>
            </w:tcBorders>
            <w:vAlign w:val="center"/>
            <w:hideMark/>
          </w:tcPr>
          <w:p w14:paraId="1B9D56D7"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5 463</w:t>
            </w:r>
          </w:p>
        </w:tc>
        <w:tc>
          <w:tcPr>
            <w:tcW w:w="623" w:type="pct"/>
            <w:tcBorders>
              <w:top w:val="single" w:sz="4" w:space="0" w:color="auto"/>
              <w:left w:val="nil"/>
              <w:bottom w:val="single" w:sz="4" w:space="0" w:color="auto"/>
              <w:right w:val="single" w:sz="4" w:space="0" w:color="auto"/>
            </w:tcBorders>
            <w:vAlign w:val="center"/>
            <w:hideMark/>
          </w:tcPr>
          <w:p w14:paraId="7E193DCF" w14:textId="77777777" w:rsidR="00247470" w:rsidRDefault="00247470" w:rsidP="00343E58">
            <w:pPr>
              <w:keepNext/>
              <w:contextualSpacing/>
              <w:jc w:val="right"/>
              <w:rPr>
                <w:rFonts w:cstheme="minorHAnsi"/>
                <w:sz w:val="20"/>
                <w:szCs w:val="20"/>
              </w:rPr>
            </w:pPr>
            <w:r>
              <w:rPr>
                <w:rFonts w:ascii="Calibri" w:hAnsi="Calibri" w:cs="Calibri"/>
                <w:bCs/>
                <w:sz w:val="20"/>
                <w:szCs w:val="20"/>
                <w:lang w:eastAsia="cs-CZ"/>
              </w:rPr>
              <w:t>7 589</w:t>
            </w:r>
          </w:p>
        </w:tc>
        <w:tc>
          <w:tcPr>
            <w:tcW w:w="623" w:type="pct"/>
            <w:tcBorders>
              <w:top w:val="single" w:sz="4" w:space="0" w:color="auto"/>
              <w:left w:val="nil"/>
              <w:bottom w:val="single" w:sz="4" w:space="0" w:color="auto"/>
              <w:right w:val="single" w:sz="4" w:space="0" w:color="auto"/>
            </w:tcBorders>
            <w:vAlign w:val="center"/>
            <w:hideMark/>
          </w:tcPr>
          <w:p w14:paraId="296527E2"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6 570</w:t>
            </w:r>
          </w:p>
        </w:tc>
      </w:tr>
      <w:tr w:rsidR="00247470" w14:paraId="2910C2CB"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31730A42" w14:textId="0E6633AC" w:rsidR="00247470" w:rsidRDefault="0010777A" w:rsidP="00FB586F">
            <w:pPr>
              <w:keepNext/>
              <w:ind w:left="624" w:hanging="624"/>
              <w:contextualSpacing/>
              <w:rPr>
                <w:rFonts w:cstheme="minorHAnsi"/>
                <w:sz w:val="20"/>
                <w:szCs w:val="20"/>
              </w:rPr>
            </w:pPr>
            <w:r>
              <w:rPr>
                <w:rFonts w:cstheme="minorHAnsi"/>
                <w:sz w:val="20"/>
                <w:szCs w:val="20"/>
              </w:rPr>
              <w:tab/>
            </w:r>
            <w:r w:rsidR="00247470">
              <w:rPr>
                <w:rFonts w:cstheme="minorHAnsi"/>
                <w:sz w:val="20"/>
                <w:szCs w:val="20"/>
              </w:rPr>
              <w:t>služby</w:t>
            </w:r>
          </w:p>
        </w:tc>
        <w:tc>
          <w:tcPr>
            <w:tcW w:w="622" w:type="pct"/>
            <w:tcBorders>
              <w:top w:val="single" w:sz="4" w:space="0" w:color="auto"/>
              <w:left w:val="nil"/>
              <w:bottom w:val="single" w:sz="4" w:space="0" w:color="auto"/>
              <w:right w:val="single" w:sz="4" w:space="0" w:color="auto"/>
            </w:tcBorders>
            <w:vAlign w:val="center"/>
            <w:hideMark/>
          </w:tcPr>
          <w:p w14:paraId="255D59F9"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39 304</w:t>
            </w:r>
          </w:p>
        </w:tc>
        <w:tc>
          <w:tcPr>
            <w:tcW w:w="623" w:type="pct"/>
            <w:tcBorders>
              <w:top w:val="single" w:sz="4" w:space="0" w:color="auto"/>
              <w:left w:val="nil"/>
              <w:bottom w:val="single" w:sz="4" w:space="0" w:color="auto"/>
              <w:right w:val="single" w:sz="4" w:space="0" w:color="auto"/>
            </w:tcBorders>
            <w:vAlign w:val="center"/>
            <w:hideMark/>
          </w:tcPr>
          <w:p w14:paraId="095170B0"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34 319</w:t>
            </w:r>
          </w:p>
        </w:tc>
        <w:tc>
          <w:tcPr>
            <w:tcW w:w="622" w:type="pct"/>
            <w:tcBorders>
              <w:top w:val="single" w:sz="4" w:space="0" w:color="auto"/>
              <w:left w:val="nil"/>
              <w:bottom w:val="single" w:sz="4" w:space="0" w:color="auto"/>
              <w:right w:val="single" w:sz="4" w:space="0" w:color="auto"/>
            </w:tcBorders>
            <w:vAlign w:val="center"/>
            <w:hideMark/>
          </w:tcPr>
          <w:p w14:paraId="145CD181"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31 381</w:t>
            </w:r>
          </w:p>
        </w:tc>
        <w:tc>
          <w:tcPr>
            <w:tcW w:w="623" w:type="pct"/>
            <w:tcBorders>
              <w:top w:val="single" w:sz="4" w:space="0" w:color="auto"/>
              <w:left w:val="nil"/>
              <w:bottom w:val="single" w:sz="4" w:space="0" w:color="auto"/>
              <w:right w:val="single" w:sz="4" w:space="0" w:color="auto"/>
            </w:tcBorders>
            <w:vAlign w:val="center"/>
            <w:hideMark/>
          </w:tcPr>
          <w:p w14:paraId="47DDF2DE"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33 032</w:t>
            </w:r>
          </w:p>
        </w:tc>
        <w:tc>
          <w:tcPr>
            <w:tcW w:w="623" w:type="pct"/>
            <w:tcBorders>
              <w:top w:val="single" w:sz="4" w:space="0" w:color="auto"/>
              <w:left w:val="nil"/>
              <w:bottom w:val="single" w:sz="4" w:space="0" w:color="auto"/>
              <w:right w:val="single" w:sz="4" w:space="0" w:color="auto"/>
            </w:tcBorders>
            <w:vAlign w:val="center"/>
            <w:hideMark/>
          </w:tcPr>
          <w:p w14:paraId="28BB008C" w14:textId="77777777" w:rsidR="00247470" w:rsidRDefault="00247470" w:rsidP="00343E58">
            <w:pPr>
              <w:keepNext/>
              <w:contextualSpacing/>
              <w:jc w:val="right"/>
              <w:rPr>
                <w:rFonts w:cstheme="minorHAnsi"/>
                <w:sz w:val="20"/>
                <w:szCs w:val="20"/>
              </w:rPr>
            </w:pPr>
            <w:r>
              <w:rPr>
                <w:rFonts w:ascii="Calibri" w:hAnsi="Calibri" w:cs="Calibri"/>
                <w:sz w:val="20"/>
                <w:szCs w:val="20"/>
                <w:lang w:eastAsia="cs-CZ"/>
              </w:rPr>
              <w:t>36 268</w:t>
            </w:r>
          </w:p>
        </w:tc>
      </w:tr>
      <w:tr w:rsidR="00247470" w14:paraId="4F5C5A75"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030DA79D" w14:textId="7BDE9C5B" w:rsidR="00247470" w:rsidRDefault="0010777A" w:rsidP="00FB586F">
            <w:pPr>
              <w:keepNext/>
              <w:ind w:left="624" w:hanging="624"/>
              <w:contextualSpacing/>
              <w:rPr>
                <w:rFonts w:cstheme="minorHAnsi"/>
                <w:sz w:val="20"/>
                <w:szCs w:val="20"/>
              </w:rPr>
            </w:pPr>
            <w:r>
              <w:rPr>
                <w:rFonts w:cstheme="minorHAnsi"/>
                <w:sz w:val="20"/>
                <w:szCs w:val="20"/>
              </w:rPr>
              <w:tab/>
            </w:r>
            <w:r w:rsidR="00247470">
              <w:rPr>
                <w:rFonts w:cstheme="minorHAnsi"/>
                <w:sz w:val="20"/>
                <w:szCs w:val="20"/>
              </w:rPr>
              <w:t>jiné provozní náklady*</w:t>
            </w:r>
          </w:p>
        </w:tc>
        <w:tc>
          <w:tcPr>
            <w:tcW w:w="622" w:type="pct"/>
            <w:tcBorders>
              <w:top w:val="single" w:sz="4" w:space="0" w:color="auto"/>
              <w:left w:val="nil"/>
              <w:bottom w:val="single" w:sz="4" w:space="0" w:color="auto"/>
              <w:right w:val="single" w:sz="4" w:space="0" w:color="auto"/>
            </w:tcBorders>
            <w:vAlign w:val="center"/>
            <w:hideMark/>
          </w:tcPr>
          <w:p w14:paraId="3DE3D88C" w14:textId="79804275" w:rsidR="00247470" w:rsidRDefault="00247470" w:rsidP="00343E58">
            <w:pPr>
              <w:keepNext/>
              <w:contextualSpacing/>
              <w:jc w:val="right"/>
              <w:rPr>
                <w:rFonts w:cstheme="minorHAnsi"/>
                <w:sz w:val="20"/>
                <w:szCs w:val="20"/>
              </w:rPr>
            </w:pPr>
            <w:r>
              <w:rPr>
                <w:rFonts w:ascii="Calibri" w:hAnsi="Calibri" w:cs="Calibri"/>
                <w:sz w:val="20"/>
                <w:szCs w:val="20"/>
                <w:lang w:eastAsia="cs-CZ"/>
              </w:rPr>
              <w:t>2 354</w:t>
            </w:r>
          </w:p>
        </w:tc>
        <w:tc>
          <w:tcPr>
            <w:tcW w:w="623" w:type="pct"/>
            <w:tcBorders>
              <w:top w:val="single" w:sz="4" w:space="0" w:color="auto"/>
              <w:left w:val="nil"/>
              <w:bottom w:val="single" w:sz="4" w:space="0" w:color="auto"/>
              <w:right w:val="single" w:sz="4" w:space="0" w:color="auto"/>
            </w:tcBorders>
            <w:vAlign w:val="center"/>
            <w:hideMark/>
          </w:tcPr>
          <w:p w14:paraId="68F75AA3" w14:textId="4FA9C4D9" w:rsidR="00247470" w:rsidRDefault="00247470" w:rsidP="00343E58">
            <w:pPr>
              <w:keepNext/>
              <w:contextualSpacing/>
              <w:jc w:val="right"/>
              <w:rPr>
                <w:rFonts w:cstheme="minorHAnsi"/>
                <w:sz w:val="20"/>
                <w:szCs w:val="20"/>
              </w:rPr>
            </w:pPr>
            <w:r>
              <w:rPr>
                <w:rFonts w:ascii="Calibri" w:hAnsi="Calibri" w:cs="Calibri"/>
                <w:sz w:val="20"/>
                <w:szCs w:val="20"/>
                <w:lang w:eastAsia="cs-CZ"/>
              </w:rPr>
              <w:t>2 399</w:t>
            </w:r>
          </w:p>
        </w:tc>
        <w:tc>
          <w:tcPr>
            <w:tcW w:w="622" w:type="pct"/>
            <w:tcBorders>
              <w:top w:val="single" w:sz="4" w:space="0" w:color="auto"/>
              <w:left w:val="nil"/>
              <w:bottom w:val="single" w:sz="4" w:space="0" w:color="auto"/>
              <w:right w:val="single" w:sz="4" w:space="0" w:color="auto"/>
            </w:tcBorders>
            <w:vAlign w:val="center"/>
            <w:hideMark/>
          </w:tcPr>
          <w:p w14:paraId="745CFFA5" w14:textId="55DF3348" w:rsidR="00247470" w:rsidRDefault="00247470" w:rsidP="00343E58">
            <w:pPr>
              <w:keepNext/>
              <w:contextualSpacing/>
              <w:jc w:val="right"/>
              <w:rPr>
                <w:rFonts w:cstheme="minorHAnsi"/>
                <w:sz w:val="20"/>
                <w:szCs w:val="20"/>
              </w:rPr>
            </w:pPr>
            <w:r>
              <w:rPr>
                <w:rFonts w:ascii="Calibri" w:hAnsi="Calibri" w:cs="Calibri"/>
                <w:sz w:val="20"/>
                <w:szCs w:val="20"/>
                <w:lang w:eastAsia="cs-CZ"/>
              </w:rPr>
              <w:t>10 402</w:t>
            </w:r>
          </w:p>
        </w:tc>
        <w:tc>
          <w:tcPr>
            <w:tcW w:w="623" w:type="pct"/>
            <w:tcBorders>
              <w:top w:val="single" w:sz="4" w:space="0" w:color="auto"/>
              <w:left w:val="nil"/>
              <w:bottom w:val="single" w:sz="4" w:space="0" w:color="auto"/>
              <w:right w:val="single" w:sz="4" w:space="0" w:color="auto"/>
            </w:tcBorders>
            <w:vAlign w:val="center"/>
            <w:hideMark/>
          </w:tcPr>
          <w:p w14:paraId="2EC85461" w14:textId="3A878047" w:rsidR="00247470" w:rsidRDefault="00247470" w:rsidP="00343E58">
            <w:pPr>
              <w:keepNext/>
              <w:contextualSpacing/>
              <w:jc w:val="right"/>
              <w:rPr>
                <w:rFonts w:cstheme="minorHAnsi"/>
                <w:sz w:val="20"/>
                <w:szCs w:val="20"/>
              </w:rPr>
            </w:pPr>
            <w:r>
              <w:rPr>
                <w:rFonts w:ascii="Calibri" w:hAnsi="Calibri" w:cs="Calibri"/>
                <w:sz w:val="20"/>
                <w:szCs w:val="20"/>
                <w:lang w:eastAsia="cs-CZ"/>
              </w:rPr>
              <w:t>31 720</w:t>
            </w:r>
          </w:p>
        </w:tc>
        <w:tc>
          <w:tcPr>
            <w:tcW w:w="623" w:type="pct"/>
            <w:tcBorders>
              <w:top w:val="single" w:sz="4" w:space="0" w:color="auto"/>
              <w:left w:val="nil"/>
              <w:bottom w:val="single" w:sz="4" w:space="0" w:color="auto"/>
              <w:right w:val="single" w:sz="4" w:space="0" w:color="auto"/>
            </w:tcBorders>
            <w:vAlign w:val="center"/>
            <w:hideMark/>
          </w:tcPr>
          <w:p w14:paraId="5659D565" w14:textId="6D91FC59" w:rsidR="00247470" w:rsidRDefault="00247470" w:rsidP="00343E58">
            <w:pPr>
              <w:keepNext/>
              <w:contextualSpacing/>
              <w:jc w:val="right"/>
              <w:rPr>
                <w:rFonts w:cstheme="minorHAnsi"/>
                <w:sz w:val="20"/>
                <w:szCs w:val="20"/>
              </w:rPr>
            </w:pPr>
            <w:r>
              <w:rPr>
                <w:rFonts w:ascii="Calibri" w:hAnsi="Calibri" w:cs="Calibri"/>
                <w:sz w:val="20"/>
                <w:szCs w:val="20"/>
                <w:lang w:eastAsia="cs-CZ"/>
              </w:rPr>
              <w:t>2 494</w:t>
            </w:r>
          </w:p>
        </w:tc>
      </w:tr>
      <w:tr w:rsidR="00247470" w14:paraId="406AF37F"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25072162" w14:textId="77777777" w:rsidR="00247470" w:rsidRDefault="00247470" w:rsidP="00FB586F">
            <w:pPr>
              <w:keepNext/>
              <w:contextualSpacing/>
              <w:rPr>
                <w:rFonts w:cstheme="minorHAnsi"/>
                <w:b/>
                <w:sz w:val="20"/>
                <w:szCs w:val="20"/>
              </w:rPr>
            </w:pPr>
            <w:r>
              <w:rPr>
                <w:rFonts w:cstheme="minorHAnsi"/>
                <w:b/>
                <w:sz w:val="20"/>
                <w:szCs w:val="20"/>
              </w:rPr>
              <w:t>Výnosy celkem</w:t>
            </w:r>
          </w:p>
        </w:tc>
        <w:tc>
          <w:tcPr>
            <w:tcW w:w="622" w:type="pct"/>
            <w:tcBorders>
              <w:top w:val="single" w:sz="4" w:space="0" w:color="auto"/>
              <w:left w:val="single" w:sz="4" w:space="0" w:color="auto"/>
              <w:bottom w:val="single" w:sz="4" w:space="0" w:color="auto"/>
              <w:right w:val="single" w:sz="4" w:space="0" w:color="auto"/>
            </w:tcBorders>
            <w:vAlign w:val="center"/>
            <w:hideMark/>
          </w:tcPr>
          <w:p w14:paraId="1D986F24" w14:textId="77777777" w:rsidR="00247470" w:rsidRDefault="00247470" w:rsidP="00343E58">
            <w:pPr>
              <w:keepNext/>
              <w:contextualSpacing/>
              <w:jc w:val="right"/>
              <w:rPr>
                <w:rFonts w:cstheme="minorHAnsi"/>
                <w:b/>
                <w:sz w:val="20"/>
                <w:szCs w:val="20"/>
              </w:rPr>
            </w:pPr>
            <w:r>
              <w:rPr>
                <w:rFonts w:cstheme="minorHAnsi"/>
                <w:b/>
                <w:sz w:val="20"/>
                <w:szCs w:val="20"/>
              </w:rPr>
              <w:t>153 567</w:t>
            </w:r>
          </w:p>
        </w:tc>
        <w:tc>
          <w:tcPr>
            <w:tcW w:w="623" w:type="pct"/>
            <w:tcBorders>
              <w:top w:val="single" w:sz="4" w:space="0" w:color="auto"/>
              <w:left w:val="single" w:sz="4" w:space="0" w:color="auto"/>
              <w:bottom w:val="single" w:sz="4" w:space="0" w:color="auto"/>
              <w:right w:val="single" w:sz="4" w:space="0" w:color="auto"/>
            </w:tcBorders>
            <w:vAlign w:val="center"/>
            <w:hideMark/>
          </w:tcPr>
          <w:p w14:paraId="7BEC76F1" w14:textId="77777777" w:rsidR="00247470" w:rsidRDefault="00247470" w:rsidP="00343E58">
            <w:pPr>
              <w:keepNext/>
              <w:contextualSpacing/>
              <w:jc w:val="right"/>
              <w:rPr>
                <w:rFonts w:cstheme="minorHAnsi"/>
                <w:b/>
                <w:sz w:val="20"/>
                <w:szCs w:val="20"/>
              </w:rPr>
            </w:pPr>
            <w:r>
              <w:rPr>
                <w:rFonts w:cstheme="minorHAnsi"/>
                <w:b/>
                <w:sz w:val="20"/>
                <w:szCs w:val="20"/>
              </w:rPr>
              <w:t>144 668</w:t>
            </w:r>
          </w:p>
        </w:tc>
        <w:tc>
          <w:tcPr>
            <w:tcW w:w="622" w:type="pct"/>
            <w:tcBorders>
              <w:top w:val="single" w:sz="4" w:space="0" w:color="auto"/>
              <w:left w:val="single" w:sz="4" w:space="0" w:color="auto"/>
              <w:bottom w:val="single" w:sz="4" w:space="0" w:color="auto"/>
              <w:right w:val="single" w:sz="4" w:space="0" w:color="auto"/>
            </w:tcBorders>
            <w:vAlign w:val="center"/>
            <w:hideMark/>
          </w:tcPr>
          <w:p w14:paraId="399BE49A" w14:textId="77777777" w:rsidR="00247470" w:rsidRDefault="00247470" w:rsidP="00343E58">
            <w:pPr>
              <w:keepNext/>
              <w:contextualSpacing/>
              <w:jc w:val="right"/>
              <w:rPr>
                <w:rFonts w:cstheme="minorHAnsi"/>
                <w:b/>
                <w:sz w:val="20"/>
                <w:szCs w:val="20"/>
              </w:rPr>
            </w:pPr>
            <w:r>
              <w:rPr>
                <w:rFonts w:cstheme="minorHAnsi"/>
                <w:b/>
                <w:sz w:val="20"/>
                <w:szCs w:val="20"/>
              </w:rPr>
              <w:t>136 503</w:t>
            </w:r>
          </w:p>
        </w:tc>
        <w:tc>
          <w:tcPr>
            <w:tcW w:w="623" w:type="pct"/>
            <w:tcBorders>
              <w:top w:val="single" w:sz="4" w:space="0" w:color="auto"/>
              <w:left w:val="single" w:sz="4" w:space="0" w:color="auto"/>
              <w:bottom w:val="single" w:sz="4" w:space="0" w:color="auto"/>
              <w:right w:val="single" w:sz="4" w:space="0" w:color="auto"/>
            </w:tcBorders>
            <w:vAlign w:val="center"/>
            <w:hideMark/>
          </w:tcPr>
          <w:p w14:paraId="2C9DB4E6" w14:textId="77777777" w:rsidR="00247470" w:rsidRDefault="00247470" w:rsidP="00343E58">
            <w:pPr>
              <w:keepNext/>
              <w:contextualSpacing/>
              <w:jc w:val="right"/>
              <w:rPr>
                <w:rFonts w:cstheme="minorHAnsi"/>
                <w:b/>
                <w:sz w:val="20"/>
                <w:szCs w:val="20"/>
              </w:rPr>
            </w:pPr>
            <w:r>
              <w:rPr>
                <w:rFonts w:cstheme="minorHAnsi"/>
                <w:b/>
                <w:sz w:val="20"/>
                <w:szCs w:val="20"/>
              </w:rPr>
              <w:t>131 623</w:t>
            </w:r>
          </w:p>
        </w:tc>
        <w:tc>
          <w:tcPr>
            <w:tcW w:w="623" w:type="pct"/>
            <w:tcBorders>
              <w:top w:val="single" w:sz="4" w:space="0" w:color="auto"/>
              <w:left w:val="single" w:sz="4" w:space="0" w:color="auto"/>
              <w:bottom w:val="single" w:sz="4" w:space="0" w:color="auto"/>
              <w:right w:val="single" w:sz="4" w:space="0" w:color="auto"/>
            </w:tcBorders>
            <w:vAlign w:val="center"/>
            <w:hideMark/>
          </w:tcPr>
          <w:p w14:paraId="3931A3F0" w14:textId="77777777" w:rsidR="00247470" w:rsidRDefault="00247470" w:rsidP="00343E58">
            <w:pPr>
              <w:keepNext/>
              <w:contextualSpacing/>
              <w:jc w:val="right"/>
              <w:rPr>
                <w:rFonts w:cstheme="minorHAnsi"/>
                <w:b/>
                <w:sz w:val="20"/>
                <w:szCs w:val="20"/>
              </w:rPr>
            </w:pPr>
            <w:r>
              <w:rPr>
                <w:rFonts w:cstheme="minorHAnsi"/>
                <w:b/>
                <w:sz w:val="20"/>
                <w:szCs w:val="20"/>
              </w:rPr>
              <w:t>146 311</w:t>
            </w:r>
          </w:p>
        </w:tc>
      </w:tr>
      <w:tr w:rsidR="00247470" w14:paraId="75EAEA0C"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620C29A6" w14:textId="7586AD3A" w:rsidR="00247470" w:rsidRDefault="00247470" w:rsidP="00FB586F">
            <w:pPr>
              <w:keepNext/>
              <w:ind w:left="624" w:hanging="624"/>
              <w:contextualSpacing/>
              <w:rPr>
                <w:rFonts w:cstheme="minorHAnsi"/>
                <w:sz w:val="20"/>
                <w:szCs w:val="20"/>
              </w:rPr>
            </w:pPr>
            <w:r>
              <w:rPr>
                <w:rFonts w:cstheme="minorHAnsi"/>
                <w:sz w:val="20"/>
                <w:szCs w:val="20"/>
              </w:rPr>
              <w:t xml:space="preserve">z toho: </w:t>
            </w:r>
            <w:r w:rsidR="0010777A">
              <w:rPr>
                <w:rFonts w:cstheme="minorHAnsi"/>
                <w:sz w:val="20"/>
                <w:szCs w:val="20"/>
              </w:rPr>
              <w:tab/>
            </w:r>
            <w:r>
              <w:rPr>
                <w:rFonts w:cstheme="minorHAnsi"/>
                <w:sz w:val="20"/>
                <w:szCs w:val="20"/>
              </w:rPr>
              <w:t>tržby z prodeje výrobků a</w:t>
            </w:r>
            <w:r w:rsidR="00A72E41">
              <w:rPr>
                <w:rFonts w:cstheme="minorHAnsi"/>
                <w:sz w:val="20"/>
                <w:szCs w:val="20"/>
              </w:rPr>
              <w:t> </w:t>
            </w:r>
            <w:r>
              <w:rPr>
                <w:rFonts w:cstheme="minorHAnsi"/>
                <w:sz w:val="20"/>
                <w:szCs w:val="20"/>
              </w:rPr>
              <w:t>služeb</w:t>
            </w:r>
          </w:p>
        </w:tc>
        <w:tc>
          <w:tcPr>
            <w:tcW w:w="622" w:type="pct"/>
            <w:tcBorders>
              <w:top w:val="single" w:sz="4" w:space="0" w:color="auto"/>
              <w:left w:val="single" w:sz="4" w:space="0" w:color="auto"/>
              <w:bottom w:val="single" w:sz="4" w:space="0" w:color="auto"/>
              <w:right w:val="single" w:sz="4" w:space="0" w:color="auto"/>
            </w:tcBorders>
            <w:vAlign w:val="center"/>
            <w:hideMark/>
          </w:tcPr>
          <w:p w14:paraId="07A6AF55" w14:textId="77777777" w:rsidR="00247470" w:rsidRDefault="00247470" w:rsidP="00343E58">
            <w:pPr>
              <w:keepNext/>
              <w:contextualSpacing/>
              <w:jc w:val="right"/>
              <w:rPr>
                <w:rFonts w:cstheme="minorHAnsi"/>
                <w:sz w:val="20"/>
                <w:szCs w:val="20"/>
              </w:rPr>
            </w:pPr>
            <w:r>
              <w:rPr>
                <w:rFonts w:ascii="Calibri" w:hAnsi="Calibri" w:cs="Calibri"/>
                <w:color w:val="000000"/>
                <w:sz w:val="20"/>
              </w:rPr>
              <w:t>151 412</w:t>
            </w:r>
          </w:p>
        </w:tc>
        <w:tc>
          <w:tcPr>
            <w:tcW w:w="623" w:type="pct"/>
            <w:tcBorders>
              <w:top w:val="single" w:sz="4" w:space="0" w:color="auto"/>
              <w:left w:val="nil"/>
              <w:bottom w:val="single" w:sz="4" w:space="0" w:color="auto"/>
              <w:right w:val="single" w:sz="4" w:space="0" w:color="auto"/>
            </w:tcBorders>
            <w:vAlign w:val="center"/>
            <w:hideMark/>
          </w:tcPr>
          <w:p w14:paraId="20A1042E" w14:textId="77777777" w:rsidR="00247470" w:rsidRDefault="00247470" w:rsidP="00343E58">
            <w:pPr>
              <w:keepNext/>
              <w:contextualSpacing/>
              <w:jc w:val="right"/>
              <w:rPr>
                <w:rFonts w:cstheme="minorHAnsi"/>
                <w:sz w:val="20"/>
                <w:szCs w:val="20"/>
              </w:rPr>
            </w:pPr>
            <w:r>
              <w:rPr>
                <w:rFonts w:ascii="Calibri" w:hAnsi="Calibri" w:cs="Calibri"/>
                <w:color w:val="000000"/>
                <w:sz w:val="20"/>
              </w:rPr>
              <w:t>143 086</w:t>
            </w:r>
          </w:p>
        </w:tc>
        <w:tc>
          <w:tcPr>
            <w:tcW w:w="622" w:type="pct"/>
            <w:tcBorders>
              <w:top w:val="single" w:sz="4" w:space="0" w:color="auto"/>
              <w:left w:val="nil"/>
              <w:bottom w:val="single" w:sz="4" w:space="0" w:color="auto"/>
              <w:right w:val="single" w:sz="4" w:space="0" w:color="auto"/>
            </w:tcBorders>
            <w:vAlign w:val="center"/>
            <w:hideMark/>
          </w:tcPr>
          <w:p w14:paraId="5C2A2A4E" w14:textId="77777777" w:rsidR="00247470" w:rsidRDefault="00247470" w:rsidP="00343E58">
            <w:pPr>
              <w:keepNext/>
              <w:contextualSpacing/>
              <w:jc w:val="right"/>
              <w:rPr>
                <w:rFonts w:cstheme="minorHAnsi"/>
                <w:sz w:val="20"/>
                <w:szCs w:val="20"/>
              </w:rPr>
            </w:pPr>
            <w:r>
              <w:rPr>
                <w:rFonts w:ascii="Calibri" w:hAnsi="Calibri" w:cs="Calibri"/>
                <w:color w:val="000000"/>
                <w:sz w:val="20"/>
              </w:rPr>
              <w:t>133 623</w:t>
            </w:r>
          </w:p>
        </w:tc>
        <w:tc>
          <w:tcPr>
            <w:tcW w:w="623" w:type="pct"/>
            <w:tcBorders>
              <w:top w:val="single" w:sz="4" w:space="0" w:color="auto"/>
              <w:left w:val="nil"/>
              <w:bottom w:val="single" w:sz="4" w:space="0" w:color="auto"/>
              <w:right w:val="single" w:sz="4" w:space="0" w:color="auto"/>
            </w:tcBorders>
            <w:vAlign w:val="center"/>
            <w:hideMark/>
          </w:tcPr>
          <w:p w14:paraId="58A5EB1F" w14:textId="77777777" w:rsidR="00247470" w:rsidRDefault="00247470" w:rsidP="00343E58">
            <w:pPr>
              <w:keepNext/>
              <w:contextualSpacing/>
              <w:jc w:val="right"/>
              <w:rPr>
                <w:rFonts w:cstheme="minorHAnsi"/>
                <w:sz w:val="20"/>
                <w:szCs w:val="20"/>
              </w:rPr>
            </w:pPr>
            <w:r>
              <w:rPr>
                <w:rFonts w:ascii="Calibri" w:hAnsi="Calibri" w:cs="Calibri"/>
                <w:color w:val="000000"/>
                <w:sz w:val="20"/>
              </w:rPr>
              <w:t>130 822</w:t>
            </w:r>
          </w:p>
        </w:tc>
        <w:tc>
          <w:tcPr>
            <w:tcW w:w="623" w:type="pct"/>
            <w:tcBorders>
              <w:top w:val="single" w:sz="4" w:space="0" w:color="auto"/>
              <w:left w:val="single" w:sz="4" w:space="0" w:color="auto"/>
              <w:bottom w:val="single" w:sz="4" w:space="0" w:color="auto"/>
              <w:right w:val="single" w:sz="4" w:space="0" w:color="auto"/>
            </w:tcBorders>
            <w:vAlign w:val="center"/>
          </w:tcPr>
          <w:p w14:paraId="7039D69B" w14:textId="77777777" w:rsidR="00247470" w:rsidRDefault="008416A0" w:rsidP="00343E58">
            <w:pPr>
              <w:keepNext/>
              <w:contextualSpacing/>
              <w:jc w:val="right"/>
              <w:rPr>
                <w:rFonts w:cstheme="minorHAnsi"/>
                <w:sz w:val="20"/>
                <w:szCs w:val="20"/>
              </w:rPr>
            </w:pPr>
            <w:r>
              <w:rPr>
                <w:rFonts w:cstheme="minorHAnsi"/>
                <w:sz w:val="20"/>
                <w:szCs w:val="20"/>
              </w:rPr>
              <w:t>144 476</w:t>
            </w:r>
          </w:p>
        </w:tc>
      </w:tr>
      <w:tr w:rsidR="00247470" w14:paraId="6D256235"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5021C45F" w14:textId="2621514A" w:rsidR="00247470" w:rsidRDefault="0010777A" w:rsidP="00FB586F">
            <w:pPr>
              <w:keepNext/>
              <w:ind w:left="624" w:hanging="624"/>
              <w:contextualSpacing/>
              <w:rPr>
                <w:rFonts w:cstheme="minorHAnsi"/>
                <w:sz w:val="20"/>
                <w:szCs w:val="20"/>
              </w:rPr>
            </w:pPr>
            <w:r>
              <w:rPr>
                <w:rFonts w:cstheme="minorHAnsi"/>
                <w:sz w:val="20"/>
                <w:szCs w:val="20"/>
              </w:rPr>
              <w:tab/>
            </w:r>
            <w:r w:rsidR="00247470">
              <w:rPr>
                <w:rFonts w:cstheme="minorHAnsi"/>
                <w:sz w:val="20"/>
                <w:szCs w:val="20"/>
              </w:rPr>
              <w:t>ostatní provozní výnosy</w:t>
            </w:r>
          </w:p>
        </w:tc>
        <w:tc>
          <w:tcPr>
            <w:tcW w:w="622" w:type="pct"/>
            <w:tcBorders>
              <w:top w:val="single" w:sz="4" w:space="0" w:color="auto"/>
              <w:left w:val="single" w:sz="4" w:space="0" w:color="auto"/>
              <w:bottom w:val="single" w:sz="4" w:space="0" w:color="auto"/>
              <w:right w:val="single" w:sz="4" w:space="0" w:color="auto"/>
            </w:tcBorders>
            <w:vAlign w:val="center"/>
            <w:hideMark/>
          </w:tcPr>
          <w:p w14:paraId="3A774DA6" w14:textId="77777777" w:rsidR="00247470" w:rsidRDefault="00247470" w:rsidP="00343E58">
            <w:pPr>
              <w:keepNext/>
              <w:contextualSpacing/>
              <w:jc w:val="right"/>
              <w:rPr>
                <w:rFonts w:cstheme="minorHAnsi"/>
                <w:sz w:val="20"/>
                <w:szCs w:val="20"/>
              </w:rPr>
            </w:pPr>
            <w:r>
              <w:rPr>
                <w:rFonts w:ascii="Calibri" w:hAnsi="Calibri" w:cs="Calibri"/>
                <w:color w:val="000000"/>
                <w:sz w:val="20"/>
              </w:rPr>
              <w:t>2 048</w:t>
            </w:r>
          </w:p>
        </w:tc>
        <w:tc>
          <w:tcPr>
            <w:tcW w:w="623" w:type="pct"/>
            <w:tcBorders>
              <w:top w:val="single" w:sz="4" w:space="0" w:color="auto"/>
              <w:left w:val="nil"/>
              <w:bottom w:val="single" w:sz="4" w:space="0" w:color="auto"/>
              <w:right w:val="single" w:sz="4" w:space="0" w:color="auto"/>
            </w:tcBorders>
            <w:vAlign w:val="center"/>
            <w:hideMark/>
          </w:tcPr>
          <w:p w14:paraId="0DEAAAAE" w14:textId="77777777" w:rsidR="00247470" w:rsidRDefault="00247470" w:rsidP="00343E58">
            <w:pPr>
              <w:keepNext/>
              <w:contextualSpacing/>
              <w:jc w:val="right"/>
              <w:rPr>
                <w:rFonts w:cstheme="minorHAnsi"/>
                <w:sz w:val="20"/>
                <w:szCs w:val="20"/>
              </w:rPr>
            </w:pPr>
            <w:r>
              <w:rPr>
                <w:rFonts w:ascii="Calibri" w:hAnsi="Calibri" w:cs="Calibri"/>
                <w:color w:val="000000"/>
                <w:sz w:val="20"/>
              </w:rPr>
              <w:t>1 291</w:t>
            </w:r>
          </w:p>
        </w:tc>
        <w:tc>
          <w:tcPr>
            <w:tcW w:w="622" w:type="pct"/>
            <w:tcBorders>
              <w:top w:val="single" w:sz="4" w:space="0" w:color="auto"/>
              <w:left w:val="nil"/>
              <w:bottom w:val="single" w:sz="4" w:space="0" w:color="auto"/>
              <w:right w:val="single" w:sz="4" w:space="0" w:color="auto"/>
            </w:tcBorders>
            <w:vAlign w:val="center"/>
            <w:hideMark/>
          </w:tcPr>
          <w:p w14:paraId="7EA292B9" w14:textId="77777777" w:rsidR="00247470" w:rsidRDefault="00247470" w:rsidP="00343E58">
            <w:pPr>
              <w:keepNext/>
              <w:contextualSpacing/>
              <w:jc w:val="right"/>
              <w:rPr>
                <w:rFonts w:cstheme="minorHAnsi"/>
                <w:sz w:val="20"/>
                <w:szCs w:val="20"/>
              </w:rPr>
            </w:pPr>
            <w:r>
              <w:rPr>
                <w:rFonts w:ascii="Calibri" w:hAnsi="Calibri" w:cs="Calibri"/>
                <w:color w:val="000000"/>
                <w:sz w:val="20"/>
              </w:rPr>
              <w:t>2 611</w:t>
            </w:r>
          </w:p>
        </w:tc>
        <w:tc>
          <w:tcPr>
            <w:tcW w:w="623" w:type="pct"/>
            <w:tcBorders>
              <w:top w:val="single" w:sz="4" w:space="0" w:color="auto"/>
              <w:left w:val="nil"/>
              <w:bottom w:val="single" w:sz="4" w:space="0" w:color="auto"/>
              <w:right w:val="single" w:sz="4" w:space="0" w:color="auto"/>
            </w:tcBorders>
            <w:vAlign w:val="center"/>
            <w:hideMark/>
          </w:tcPr>
          <w:p w14:paraId="3DE3C848" w14:textId="77777777" w:rsidR="00247470" w:rsidRDefault="00247470" w:rsidP="00343E58">
            <w:pPr>
              <w:keepNext/>
              <w:contextualSpacing/>
              <w:jc w:val="right"/>
              <w:rPr>
                <w:rFonts w:cstheme="minorHAnsi"/>
                <w:sz w:val="20"/>
                <w:szCs w:val="20"/>
              </w:rPr>
            </w:pPr>
            <w:r>
              <w:rPr>
                <w:rFonts w:ascii="Calibri" w:hAnsi="Calibri" w:cs="Calibri"/>
                <w:color w:val="000000"/>
                <w:sz w:val="20"/>
              </w:rPr>
              <w:t>103</w:t>
            </w:r>
          </w:p>
        </w:tc>
        <w:tc>
          <w:tcPr>
            <w:tcW w:w="623" w:type="pct"/>
            <w:tcBorders>
              <w:top w:val="single" w:sz="4" w:space="0" w:color="auto"/>
              <w:left w:val="single" w:sz="4" w:space="0" w:color="auto"/>
              <w:bottom w:val="single" w:sz="4" w:space="0" w:color="auto"/>
              <w:right w:val="single" w:sz="4" w:space="0" w:color="auto"/>
            </w:tcBorders>
            <w:vAlign w:val="center"/>
          </w:tcPr>
          <w:p w14:paraId="66873C68" w14:textId="77777777" w:rsidR="00247470" w:rsidRDefault="008416A0" w:rsidP="00343E58">
            <w:pPr>
              <w:keepNext/>
              <w:contextualSpacing/>
              <w:jc w:val="right"/>
              <w:rPr>
                <w:rFonts w:cstheme="minorHAnsi"/>
                <w:sz w:val="20"/>
                <w:szCs w:val="20"/>
              </w:rPr>
            </w:pPr>
            <w:r>
              <w:rPr>
                <w:rFonts w:cstheme="minorHAnsi"/>
                <w:sz w:val="20"/>
                <w:szCs w:val="20"/>
              </w:rPr>
              <w:t>585</w:t>
            </w:r>
          </w:p>
        </w:tc>
      </w:tr>
      <w:tr w:rsidR="00247470" w14:paraId="5AD344C1" w14:textId="77777777" w:rsidTr="00343E58">
        <w:tc>
          <w:tcPr>
            <w:tcW w:w="1886" w:type="pct"/>
            <w:tcBorders>
              <w:top w:val="single" w:sz="4" w:space="0" w:color="auto"/>
              <w:left w:val="single" w:sz="4" w:space="0" w:color="auto"/>
              <w:bottom w:val="single" w:sz="4" w:space="0" w:color="auto"/>
              <w:right w:val="single" w:sz="4" w:space="0" w:color="auto"/>
            </w:tcBorders>
            <w:hideMark/>
          </w:tcPr>
          <w:p w14:paraId="4E3571D5" w14:textId="77777777" w:rsidR="00247470" w:rsidRDefault="00247470" w:rsidP="00FB586F">
            <w:pPr>
              <w:keepNext/>
              <w:contextualSpacing/>
              <w:rPr>
                <w:rFonts w:cstheme="minorHAnsi"/>
                <w:b/>
                <w:sz w:val="20"/>
                <w:szCs w:val="20"/>
              </w:rPr>
            </w:pPr>
            <w:r>
              <w:rPr>
                <w:rFonts w:ascii="Calibri" w:hAnsi="Calibri" w:cs="Calibri"/>
                <w:b/>
                <w:sz w:val="20"/>
                <w:szCs w:val="20"/>
                <w:lang w:eastAsia="cs-CZ"/>
              </w:rPr>
              <w:t>Výsledek hospodaření za účetní období</w:t>
            </w:r>
          </w:p>
        </w:tc>
        <w:tc>
          <w:tcPr>
            <w:tcW w:w="622" w:type="pct"/>
            <w:tcBorders>
              <w:top w:val="single" w:sz="4" w:space="0" w:color="auto"/>
              <w:left w:val="single" w:sz="4" w:space="0" w:color="auto"/>
              <w:bottom w:val="single" w:sz="4" w:space="0" w:color="auto"/>
              <w:right w:val="single" w:sz="4" w:space="0" w:color="auto"/>
            </w:tcBorders>
            <w:vAlign w:val="center"/>
            <w:hideMark/>
          </w:tcPr>
          <w:p w14:paraId="735CC57A" w14:textId="77777777" w:rsidR="00247470" w:rsidRDefault="00247470" w:rsidP="00343E58">
            <w:pPr>
              <w:keepNext/>
              <w:contextualSpacing/>
              <w:jc w:val="right"/>
              <w:rPr>
                <w:rFonts w:cstheme="minorHAnsi"/>
                <w:b/>
                <w:sz w:val="20"/>
                <w:szCs w:val="20"/>
              </w:rPr>
            </w:pPr>
            <w:r>
              <w:rPr>
                <w:rFonts w:cstheme="minorHAnsi"/>
                <w:b/>
                <w:sz w:val="20"/>
                <w:szCs w:val="20"/>
              </w:rPr>
              <w:t>1 011</w:t>
            </w:r>
          </w:p>
        </w:tc>
        <w:tc>
          <w:tcPr>
            <w:tcW w:w="623" w:type="pct"/>
            <w:tcBorders>
              <w:top w:val="single" w:sz="4" w:space="0" w:color="auto"/>
              <w:left w:val="nil"/>
              <w:bottom w:val="single" w:sz="4" w:space="0" w:color="auto"/>
              <w:right w:val="single" w:sz="4" w:space="0" w:color="auto"/>
            </w:tcBorders>
            <w:vAlign w:val="center"/>
            <w:hideMark/>
          </w:tcPr>
          <w:p w14:paraId="4910D600" w14:textId="77777777" w:rsidR="00247470" w:rsidRDefault="00247470" w:rsidP="00343E58">
            <w:pPr>
              <w:keepNext/>
              <w:contextualSpacing/>
              <w:jc w:val="right"/>
              <w:rPr>
                <w:rFonts w:cstheme="minorHAnsi"/>
                <w:b/>
                <w:sz w:val="20"/>
                <w:szCs w:val="20"/>
              </w:rPr>
            </w:pPr>
            <w:r>
              <w:rPr>
                <w:rFonts w:cstheme="minorHAnsi"/>
                <w:b/>
                <w:sz w:val="20"/>
                <w:szCs w:val="20"/>
              </w:rPr>
              <w:t>2 849</w:t>
            </w:r>
          </w:p>
        </w:tc>
        <w:tc>
          <w:tcPr>
            <w:tcW w:w="622" w:type="pct"/>
            <w:tcBorders>
              <w:top w:val="single" w:sz="4" w:space="0" w:color="auto"/>
              <w:left w:val="nil"/>
              <w:bottom w:val="single" w:sz="4" w:space="0" w:color="auto"/>
              <w:right w:val="single" w:sz="4" w:space="0" w:color="auto"/>
            </w:tcBorders>
            <w:vAlign w:val="center"/>
            <w:hideMark/>
          </w:tcPr>
          <w:p w14:paraId="25EEA16F" w14:textId="77777777" w:rsidR="00247470" w:rsidRDefault="00247470" w:rsidP="00343E58">
            <w:pPr>
              <w:keepNext/>
              <w:contextualSpacing/>
              <w:jc w:val="right"/>
              <w:rPr>
                <w:rFonts w:cstheme="minorHAnsi"/>
                <w:b/>
                <w:sz w:val="20"/>
                <w:szCs w:val="20"/>
              </w:rPr>
            </w:pPr>
            <w:r>
              <w:rPr>
                <w:rFonts w:cstheme="minorHAnsi"/>
                <w:b/>
                <w:sz w:val="20"/>
                <w:szCs w:val="20"/>
              </w:rPr>
              <w:t>2 999</w:t>
            </w:r>
          </w:p>
        </w:tc>
        <w:tc>
          <w:tcPr>
            <w:tcW w:w="623" w:type="pct"/>
            <w:tcBorders>
              <w:top w:val="single" w:sz="4" w:space="0" w:color="auto"/>
              <w:left w:val="nil"/>
              <w:bottom w:val="single" w:sz="4" w:space="0" w:color="auto"/>
              <w:right w:val="single" w:sz="4" w:space="0" w:color="auto"/>
            </w:tcBorders>
            <w:vAlign w:val="center"/>
            <w:hideMark/>
          </w:tcPr>
          <w:p w14:paraId="4EB3D439" w14:textId="67384299" w:rsidR="00247470" w:rsidRDefault="0058795B" w:rsidP="00343E58">
            <w:pPr>
              <w:keepNext/>
              <w:contextualSpacing/>
              <w:jc w:val="right"/>
              <w:rPr>
                <w:rFonts w:cstheme="minorHAnsi"/>
                <w:b/>
                <w:sz w:val="20"/>
                <w:szCs w:val="20"/>
              </w:rPr>
            </w:pPr>
            <w:r>
              <w:rPr>
                <w:rFonts w:cstheme="minorHAnsi"/>
                <w:b/>
                <w:sz w:val="20"/>
                <w:szCs w:val="20"/>
              </w:rPr>
              <w:t>−</w:t>
            </w:r>
            <w:r w:rsidR="00247470">
              <w:rPr>
                <w:rFonts w:cstheme="minorHAnsi"/>
                <w:b/>
                <w:sz w:val="20"/>
                <w:szCs w:val="20"/>
              </w:rPr>
              <w:t>31 568</w:t>
            </w:r>
          </w:p>
        </w:tc>
        <w:tc>
          <w:tcPr>
            <w:tcW w:w="623" w:type="pct"/>
            <w:tcBorders>
              <w:top w:val="single" w:sz="4" w:space="0" w:color="auto"/>
              <w:left w:val="single" w:sz="4" w:space="0" w:color="auto"/>
              <w:bottom w:val="single" w:sz="4" w:space="0" w:color="auto"/>
              <w:right w:val="single" w:sz="4" w:space="0" w:color="auto"/>
            </w:tcBorders>
            <w:vAlign w:val="center"/>
            <w:hideMark/>
          </w:tcPr>
          <w:p w14:paraId="63E171AF" w14:textId="77777777" w:rsidR="00247470" w:rsidRDefault="00247470" w:rsidP="00343E58">
            <w:pPr>
              <w:keepNext/>
              <w:contextualSpacing/>
              <w:jc w:val="right"/>
              <w:rPr>
                <w:rFonts w:cstheme="minorHAnsi"/>
                <w:b/>
                <w:sz w:val="20"/>
                <w:szCs w:val="20"/>
              </w:rPr>
            </w:pPr>
            <w:r>
              <w:rPr>
                <w:rFonts w:cstheme="minorHAnsi"/>
                <w:b/>
                <w:sz w:val="20"/>
                <w:szCs w:val="20"/>
              </w:rPr>
              <w:t>5 851</w:t>
            </w:r>
          </w:p>
        </w:tc>
      </w:tr>
    </w:tbl>
    <w:p w14:paraId="6A69C20A" w14:textId="2718588A" w:rsidR="0010777A" w:rsidRDefault="0010777A" w:rsidP="0010777A">
      <w:pPr>
        <w:keepNext/>
        <w:spacing w:after="0"/>
        <w:jc w:val="both"/>
        <w:rPr>
          <w:rFonts w:cstheme="minorHAnsi"/>
          <w:sz w:val="20"/>
        </w:rPr>
      </w:pPr>
      <w:r w:rsidRPr="00FB586F">
        <w:rPr>
          <w:rFonts w:cstheme="minorHAnsi"/>
          <w:b/>
          <w:bCs/>
          <w:sz w:val="20"/>
        </w:rPr>
        <w:t>Zdroj:</w:t>
      </w:r>
      <w:r>
        <w:rPr>
          <w:rFonts w:cstheme="minorHAnsi"/>
          <w:sz w:val="20"/>
        </w:rPr>
        <w:t xml:space="preserve"> výroční zprávy EZÚ za roky 2019 až 2023.</w:t>
      </w:r>
    </w:p>
    <w:p w14:paraId="76017574" w14:textId="18BCFBB6" w:rsidR="0098544F" w:rsidRDefault="00247470" w:rsidP="00FB586F">
      <w:pPr>
        <w:keepNext/>
        <w:spacing w:after="0"/>
        <w:ind w:left="227" w:hanging="227"/>
        <w:jc w:val="both"/>
        <w:rPr>
          <w:rFonts w:cstheme="minorHAnsi"/>
          <w:sz w:val="20"/>
        </w:rPr>
      </w:pPr>
      <w:r>
        <w:rPr>
          <w:rFonts w:cstheme="minorHAnsi"/>
          <w:sz w:val="20"/>
        </w:rPr>
        <w:t xml:space="preserve">* </w:t>
      </w:r>
      <w:r w:rsidR="00D25D61">
        <w:rPr>
          <w:rFonts w:cstheme="minorHAnsi"/>
          <w:sz w:val="20"/>
        </w:rPr>
        <w:tab/>
      </w:r>
      <w:r w:rsidR="00A72E41">
        <w:rPr>
          <w:rFonts w:cstheme="minorHAnsi"/>
          <w:sz w:val="20"/>
        </w:rPr>
        <w:t>P</w:t>
      </w:r>
      <w:r>
        <w:rPr>
          <w:rFonts w:cstheme="minorHAnsi"/>
          <w:sz w:val="20"/>
        </w:rPr>
        <w:t xml:space="preserve">oložka </w:t>
      </w:r>
      <w:r w:rsidR="0010777A">
        <w:rPr>
          <w:rFonts w:cstheme="minorHAnsi"/>
          <w:sz w:val="20"/>
        </w:rPr>
        <w:t>„</w:t>
      </w:r>
      <w:r>
        <w:rPr>
          <w:rFonts w:cstheme="minorHAnsi"/>
          <w:sz w:val="20"/>
        </w:rPr>
        <w:t>jiné provozní náklady</w:t>
      </w:r>
      <w:r w:rsidR="0010777A">
        <w:rPr>
          <w:rFonts w:cstheme="minorHAnsi"/>
          <w:sz w:val="20"/>
        </w:rPr>
        <w:t>“</w:t>
      </w:r>
      <w:r>
        <w:rPr>
          <w:rFonts w:cstheme="minorHAnsi"/>
          <w:sz w:val="20"/>
        </w:rPr>
        <w:t xml:space="preserve"> obsahuje mimo jiné účetně vypořádanou zmařenou investici popsanou v části IV.</w:t>
      </w:r>
      <w:r w:rsidR="00D25D61">
        <w:rPr>
          <w:rFonts w:cstheme="minorHAnsi"/>
          <w:sz w:val="20"/>
        </w:rPr>
        <w:t>1</w:t>
      </w:r>
      <w:r w:rsidR="0010777A">
        <w:rPr>
          <w:rFonts w:cstheme="minorHAnsi"/>
          <w:sz w:val="20"/>
        </w:rPr>
        <w:t>.</w:t>
      </w:r>
      <w:r>
        <w:rPr>
          <w:rFonts w:cstheme="minorHAnsi"/>
          <w:sz w:val="20"/>
        </w:rPr>
        <w:t xml:space="preserve"> tohoto kontrolního závěru</w:t>
      </w:r>
      <w:r w:rsidR="0010777A">
        <w:rPr>
          <w:rFonts w:cstheme="minorHAnsi"/>
          <w:sz w:val="20"/>
        </w:rPr>
        <w:t>.</w:t>
      </w:r>
    </w:p>
    <w:p w14:paraId="7C91A029" w14:textId="77777777" w:rsidR="0098544F" w:rsidRDefault="0098544F" w:rsidP="00247470">
      <w:pPr>
        <w:spacing w:after="0"/>
        <w:jc w:val="both"/>
        <w:rPr>
          <w:sz w:val="24"/>
        </w:rPr>
      </w:pPr>
    </w:p>
    <w:p w14:paraId="79BA30F0" w14:textId="0156123B" w:rsidR="00247470" w:rsidRDefault="00247470" w:rsidP="00247470">
      <w:pPr>
        <w:spacing w:after="0"/>
        <w:jc w:val="both"/>
        <w:rPr>
          <w:sz w:val="24"/>
        </w:rPr>
      </w:pPr>
      <w:r>
        <w:rPr>
          <w:sz w:val="24"/>
        </w:rPr>
        <w:t>Celkové výnosy v</w:t>
      </w:r>
      <w:r w:rsidR="00D25D61">
        <w:rPr>
          <w:sz w:val="24"/>
        </w:rPr>
        <w:t xml:space="preserve"> </w:t>
      </w:r>
      <w:r>
        <w:rPr>
          <w:sz w:val="24"/>
        </w:rPr>
        <w:t xml:space="preserve">kontrolovaném období let 2019 až 2023 mírně klesly. </w:t>
      </w:r>
      <w:r w:rsidR="009C1D01">
        <w:rPr>
          <w:sz w:val="24"/>
        </w:rPr>
        <w:t>P</w:t>
      </w:r>
      <w:r>
        <w:rPr>
          <w:sz w:val="24"/>
        </w:rPr>
        <w:t>oskytování služeb v</w:t>
      </w:r>
      <w:r w:rsidR="00417A75">
        <w:rPr>
          <w:sz w:val="24"/>
        </w:rPr>
        <w:t> </w:t>
      </w:r>
      <w:r>
        <w:rPr>
          <w:sz w:val="24"/>
        </w:rPr>
        <w:t>oblasti zkušebnictví a souvisejících oborech</w:t>
      </w:r>
      <w:r w:rsidR="009C1D01" w:rsidRPr="009C1D01">
        <w:rPr>
          <w:sz w:val="24"/>
        </w:rPr>
        <w:t xml:space="preserve"> </w:t>
      </w:r>
      <w:r w:rsidR="009C1D01">
        <w:rPr>
          <w:sz w:val="24"/>
        </w:rPr>
        <w:t>tvořilo 98,5 % výnosů</w:t>
      </w:r>
      <w:r>
        <w:rPr>
          <w:sz w:val="24"/>
        </w:rPr>
        <w:t>. Zbylé výnosy byly tvořeny pronájmem nebytových prostor a laboratoří.</w:t>
      </w:r>
    </w:p>
    <w:p w14:paraId="76F464B0" w14:textId="77777777" w:rsidR="00247470" w:rsidRDefault="00247470" w:rsidP="00247470">
      <w:pPr>
        <w:spacing w:after="0"/>
        <w:jc w:val="both"/>
        <w:rPr>
          <w:sz w:val="24"/>
        </w:rPr>
      </w:pPr>
    </w:p>
    <w:p w14:paraId="18C7BDBC" w14:textId="3B68F309" w:rsidR="00247470" w:rsidRDefault="00247470" w:rsidP="00247470">
      <w:pPr>
        <w:spacing w:after="0"/>
        <w:jc w:val="both"/>
        <w:rPr>
          <w:sz w:val="24"/>
        </w:rPr>
      </w:pPr>
      <w:r>
        <w:rPr>
          <w:sz w:val="24"/>
        </w:rPr>
        <w:t xml:space="preserve">Celkové náklady v kontrolovaném období </w:t>
      </w:r>
      <w:r w:rsidR="0010777A">
        <w:rPr>
          <w:sz w:val="24"/>
        </w:rPr>
        <w:t>2019</w:t>
      </w:r>
      <w:r w:rsidR="0010777A">
        <w:rPr>
          <w:rFonts w:cstheme="minorHAnsi"/>
          <w:sz w:val="24"/>
        </w:rPr>
        <w:t>–</w:t>
      </w:r>
      <w:r w:rsidR="0010777A">
        <w:rPr>
          <w:sz w:val="24"/>
        </w:rPr>
        <w:t xml:space="preserve">2023 </w:t>
      </w:r>
      <w:r>
        <w:rPr>
          <w:sz w:val="24"/>
        </w:rPr>
        <w:t>kolísaly. Nejvýznamnější položkou byly osobní náklady a</w:t>
      </w:r>
      <w:r w:rsidR="00D25D61">
        <w:rPr>
          <w:sz w:val="24"/>
        </w:rPr>
        <w:t> </w:t>
      </w:r>
      <w:r>
        <w:rPr>
          <w:sz w:val="24"/>
        </w:rPr>
        <w:t>náklady na služby. Součástí nákladů na služby jsou náklady na poddodávky, které přímo souvis</w:t>
      </w:r>
      <w:r w:rsidR="00D25D61">
        <w:rPr>
          <w:sz w:val="24"/>
        </w:rPr>
        <w:t>ej</w:t>
      </w:r>
      <w:r>
        <w:rPr>
          <w:sz w:val="24"/>
        </w:rPr>
        <w:t xml:space="preserve">í s výkonem podnikatelské činnosti EZÚ. Kontrolou nebyly zjištěny služby, </w:t>
      </w:r>
      <w:r>
        <w:rPr>
          <w:sz w:val="24"/>
        </w:rPr>
        <w:lastRenderedPageBreak/>
        <w:t>které by nesouvisely s předmětem podnikání EZÚ nebo s péčí o majetek státu, se kterým má EZÚ právo hospodařit.</w:t>
      </w:r>
    </w:p>
    <w:p w14:paraId="41C68A45" w14:textId="102E35E9" w:rsidR="00247470" w:rsidRDefault="00247470" w:rsidP="00247470">
      <w:pPr>
        <w:spacing w:after="0"/>
        <w:jc w:val="both"/>
        <w:rPr>
          <w:sz w:val="24"/>
        </w:rPr>
      </w:pPr>
    </w:p>
    <w:p w14:paraId="0048D97C" w14:textId="31A9D878" w:rsidR="00247470" w:rsidRDefault="000F7842" w:rsidP="00247470">
      <w:pPr>
        <w:spacing w:after="0"/>
        <w:jc w:val="both"/>
        <w:rPr>
          <w:b/>
          <w:sz w:val="24"/>
        </w:rPr>
      </w:pPr>
      <w:r>
        <w:rPr>
          <w:b/>
          <w:sz w:val="24"/>
        </w:rPr>
        <w:t>7</w:t>
      </w:r>
      <w:r w:rsidR="00247470">
        <w:rPr>
          <w:b/>
          <w:sz w:val="24"/>
        </w:rPr>
        <w:t>. Výsledek hospodaření TZÚS</w:t>
      </w:r>
    </w:p>
    <w:p w14:paraId="05CC0FD1" w14:textId="77777777" w:rsidR="00247470" w:rsidRDefault="00247470" w:rsidP="00247470">
      <w:pPr>
        <w:spacing w:after="0"/>
        <w:jc w:val="both"/>
        <w:rPr>
          <w:sz w:val="24"/>
        </w:rPr>
      </w:pPr>
    </w:p>
    <w:p w14:paraId="00876706" w14:textId="6BF9C0A4" w:rsidR="00247470" w:rsidRDefault="00247470" w:rsidP="00247470">
      <w:pPr>
        <w:spacing w:after="0"/>
        <w:jc w:val="both"/>
        <w:rPr>
          <w:sz w:val="24"/>
        </w:rPr>
      </w:pPr>
      <w:r>
        <w:rPr>
          <w:sz w:val="24"/>
        </w:rPr>
        <w:t>V kontrolovaném období let 2019 až 2023 byl TZÚS v zisku.</w:t>
      </w:r>
    </w:p>
    <w:p w14:paraId="65880577" w14:textId="77777777" w:rsidR="00247470" w:rsidRDefault="00247470" w:rsidP="008B0169">
      <w:pPr>
        <w:keepNext/>
        <w:spacing w:after="0"/>
        <w:jc w:val="both"/>
        <w:rPr>
          <w:rFonts w:cstheme="minorHAnsi"/>
          <w:b/>
          <w:sz w:val="20"/>
        </w:rPr>
      </w:pPr>
    </w:p>
    <w:p w14:paraId="2E46874F" w14:textId="0E072342" w:rsidR="00247470" w:rsidRPr="00343E58" w:rsidRDefault="00247470" w:rsidP="000B28F1">
      <w:pPr>
        <w:keepNext/>
        <w:tabs>
          <w:tab w:val="right" w:pos="9072"/>
        </w:tabs>
        <w:spacing w:after="0"/>
        <w:jc w:val="both"/>
        <w:rPr>
          <w:rFonts w:cstheme="minorHAnsi"/>
          <w:b/>
          <w:sz w:val="24"/>
        </w:rPr>
      </w:pPr>
      <w:r w:rsidRPr="00343E58">
        <w:rPr>
          <w:rFonts w:cstheme="minorHAnsi"/>
          <w:b/>
          <w:sz w:val="24"/>
        </w:rPr>
        <w:t xml:space="preserve">Tabulka č. </w:t>
      </w:r>
      <w:r w:rsidR="009C1D01" w:rsidRPr="00343E58">
        <w:rPr>
          <w:rFonts w:cstheme="minorHAnsi"/>
          <w:b/>
          <w:sz w:val="24"/>
        </w:rPr>
        <w:t>5</w:t>
      </w:r>
      <w:r w:rsidRPr="00343E58">
        <w:rPr>
          <w:rFonts w:cstheme="minorHAnsi"/>
          <w:b/>
          <w:sz w:val="24"/>
        </w:rPr>
        <w:t xml:space="preserve">: Vybrané náklady a výnosy TZÚS </w:t>
      </w:r>
      <w:r w:rsidR="00343E58">
        <w:rPr>
          <w:rFonts w:cstheme="minorHAnsi"/>
          <w:b/>
          <w:sz w:val="24"/>
        </w:rPr>
        <w:tab/>
      </w:r>
      <w:r w:rsidRPr="00343E58">
        <w:rPr>
          <w:rFonts w:cstheme="minorHAnsi"/>
          <w:b/>
          <w:sz w:val="24"/>
        </w:rPr>
        <w:t>(v tis. Kč)</w:t>
      </w:r>
    </w:p>
    <w:tbl>
      <w:tblPr>
        <w:tblStyle w:val="Mkatabulky"/>
        <w:tblW w:w="5000" w:type="pct"/>
        <w:tblLook w:val="04A0" w:firstRow="1" w:lastRow="0" w:firstColumn="1" w:lastColumn="0" w:noHBand="0" w:noVBand="1"/>
      </w:tblPr>
      <w:tblGrid>
        <w:gridCol w:w="3196"/>
        <w:gridCol w:w="1173"/>
        <w:gridCol w:w="1173"/>
        <w:gridCol w:w="1173"/>
        <w:gridCol w:w="1173"/>
        <w:gridCol w:w="1174"/>
      </w:tblGrid>
      <w:tr w:rsidR="00247470" w14:paraId="5E5D0282" w14:textId="77777777" w:rsidTr="00343E58">
        <w:tc>
          <w:tcPr>
            <w:tcW w:w="1753" w:type="pct"/>
            <w:tcBorders>
              <w:top w:val="single" w:sz="4" w:space="0" w:color="auto"/>
              <w:left w:val="single" w:sz="4" w:space="0" w:color="auto"/>
              <w:bottom w:val="single" w:sz="4" w:space="0" w:color="auto"/>
              <w:right w:val="single" w:sz="4" w:space="0" w:color="auto"/>
            </w:tcBorders>
            <w:shd w:val="clear" w:color="auto" w:fill="E6E6E6"/>
          </w:tcPr>
          <w:p w14:paraId="62C1A13D" w14:textId="77777777" w:rsidR="00247470" w:rsidRDefault="00247470" w:rsidP="00343E58">
            <w:pPr>
              <w:keepNext/>
              <w:contextualSpacing/>
              <w:jc w:val="center"/>
              <w:rPr>
                <w:rFonts w:cstheme="minorHAnsi"/>
                <w:b/>
                <w:sz w:val="20"/>
                <w:szCs w:val="20"/>
              </w:rPr>
            </w:pPr>
          </w:p>
        </w:tc>
        <w:tc>
          <w:tcPr>
            <w:tcW w:w="64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9537C33" w14:textId="77777777" w:rsidR="00247470" w:rsidRDefault="00247470" w:rsidP="00343E58">
            <w:pPr>
              <w:keepNext/>
              <w:contextualSpacing/>
              <w:jc w:val="center"/>
              <w:rPr>
                <w:rFonts w:cstheme="minorHAnsi"/>
                <w:b/>
                <w:sz w:val="20"/>
                <w:szCs w:val="20"/>
              </w:rPr>
            </w:pPr>
            <w:r>
              <w:rPr>
                <w:rFonts w:cstheme="minorHAnsi"/>
                <w:b/>
                <w:sz w:val="20"/>
                <w:szCs w:val="20"/>
              </w:rPr>
              <w:t>2019</w:t>
            </w:r>
          </w:p>
        </w:tc>
        <w:tc>
          <w:tcPr>
            <w:tcW w:w="64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2D07E9A" w14:textId="77777777" w:rsidR="00247470" w:rsidRDefault="00247470" w:rsidP="00343E58">
            <w:pPr>
              <w:keepNext/>
              <w:contextualSpacing/>
              <w:jc w:val="center"/>
              <w:rPr>
                <w:rFonts w:cstheme="minorHAnsi"/>
                <w:b/>
                <w:sz w:val="20"/>
                <w:szCs w:val="20"/>
              </w:rPr>
            </w:pPr>
            <w:r>
              <w:rPr>
                <w:rFonts w:cstheme="minorHAnsi"/>
                <w:b/>
                <w:sz w:val="20"/>
                <w:szCs w:val="20"/>
              </w:rPr>
              <w:t>2020</w:t>
            </w:r>
          </w:p>
        </w:tc>
        <w:tc>
          <w:tcPr>
            <w:tcW w:w="64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395BE20" w14:textId="77777777" w:rsidR="00247470" w:rsidRDefault="00247470" w:rsidP="00343E58">
            <w:pPr>
              <w:keepNext/>
              <w:contextualSpacing/>
              <w:jc w:val="center"/>
              <w:rPr>
                <w:rFonts w:cstheme="minorHAnsi"/>
                <w:b/>
                <w:sz w:val="20"/>
                <w:szCs w:val="20"/>
              </w:rPr>
            </w:pPr>
            <w:r>
              <w:rPr>
                <w:rFonts w:cstheme="minorHAnsi"/>
                <w:b/>
                <w:sz w:val="20"/>
                <w:szCs w:val="20"/>
              </w:rPr>
              <w:t>2021</w:t>
            </w:r>
          </w:p>
        </w:tc>
        <w:tc>
          <w:tcPr>
            <w:tcW w:w="64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2ABA5D8" w14:textId="77777777" w:rsidR="00247470" w:rsidRDefault="00247470" w:rsidP="00343E58">
            <w:pPr>
              <w:keepNext/>
              <w:contextualSpacing/>
              <w:jc w:val="center"/>
              <w:rPr>
                <w:rFonts w:cstheme="minorHAnsi"/>
                <w:b/>
                <w:sz w:val="20"/>
                <w:szCs w:val="20"/>
              </w:rPr>
            </w:pPr>
            <w:r>
              <w:rPr>
                <w:rFonts w:cstheme="minorHAnsi"/>
                <w:b/>
                <w:sz w:val="20"/>
                <w:szCs w:val="20"/>
              </w:rPr>
              <w:t>2022</w:t>
            </w:r>
          </w:p>
        </w:tc>
        <w:tc>
          <w:tcPr>
            <w:tcW w:w="64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E062F9A" w14:textId="77777777" w:rsidR="00247470" w:rsidRDefault="00247470" w:rsidP="00343E58">
            <w:pPr>
              <w:keepNext/>
              <w:contextualSpacing/>
              <w:jc w:val="center"/>
              <w:rPr>
                <w:rFonts w:cstheme="minorHAnsi"/>
                <w:b/>
                <w:sz w:val="20"/>
                <w:szCs w:val="20"/>
              </w:rPr>
            </w:pPr>
            <w:r>
              <w:rPr>
                <w:rFonts w:cstheme="minorHAnsi"/>
                <w:b/>
                <w:sz w:val="20"/>
                <w:szCs w:val="20"/>
              </w:rPr>
              <w:t>2023</w:t>
            </w:r>
          </w:p>
        </w:tc>
      </w:tr>
      <w:tr w:rsidR="00247470" w14:paraId="5D28CA8F"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31360DB8" w14:textId="77777777" w:rsidR="00247470" w:rsidRDefault="00247470" w:rsidP="008B1672">
            <w:pPr>
              <w:keepNext/>
              <w:contextualSpacing/>
              <w:rPr>
                <w:rFonts w:cstheme="minorHAnsi"/>
                <w:b/>
                <w:sz w:val="20"/>
                <w:szCs w:val="20"/>
              </w:rPr>
            </w:pPr>
            <w:r>
              <w:rPr>
                <w:rFonts w:cstheme="minorHAnsi"/>
                <w:b/>
                <w:sz w:val="20"/>
                <w:szCs w:val="20"/>
              </w:rPr>
              <w:t>Náklady celkem</w:t>
            </w:r>
          </w:p>
        </w:tc>
        <w:tc>
          <w:tcPr>
            <w:tcW w:w="649" w:type="pct"/>
            <w:tcBorders>
              <w:top w:val="single" w:sz="4" w:space="0" w:color="auto"/>
              <w:left w:val="single" w:sz="4" w:space="0" w:color="auto"/>
              <w:bottom w:val="single" w:sz="4" w:space="0" w:color="auto"/>
              <w:right w:val="single" w:sz="4" w:space="0" w:color="auto"/>
            </w:tcBorders>
            <w:vAlign w:val="center"/>
            <w:hideMark/>
          </w:tcPr>
          <w:p w14:paraId="01B9132E" w14:textId="77777777" w:rsidR="00247470" w:rsidRDefault="00247470" w:rsidP="00343E58">
            <w:pPr>
              <w:keepNext/>
              <w:contextualSpacing/>
              <w:jc w:val="right"/>
              <w:rPr>
                <w:rFonts w:cstheme="minorHAnsi"/>
                <w:b/>
                <w:sz w:val="20"/>
                <w:szCs w:val="20"/>
              </w:rPr>
            </w:pPr>
            <w:r>
              <w:rPr>
                <w:b/>
                <w:sz w:val="20"/>
              </w:rPr>
              <w:t>229 537</w:t>
            </w:r>
          </w:p>
        </w:tc>
        <w:tc>
          <w:tcPr>
            <w:tcW w:w="649" w:type="pct"/>
            <w:tcBorders>
              <w:top w:val="single" w:sz="4" w:space="0" w:color="auto"/>
              <w:left w:val="single" w:sz="4" w:space="0" w:color="auto"/>
              <w:bottom w:val="single" w:sz="4" w:space="0" w:color="auto"/>
              <w:right w:val="single" w:sz="4" w:space="0" w:color="auto"/>
            </w:tcBorders>
            <w:vAlign w:val="center"/>
            <w:hideMark/>
          </w:tcPr>
          <w:p w14:paraId="34217C31" w14:textId="77777777" w:rsidR="00247470" w:rsidRDefault="00247470" w:rsidP="00343E58">
            <w:pPr>
              <w:keepNext/>
              <w:contextualSpacing/>
              <w:jc w:val="right"/>
              <w:rPr>
                <w:rFonts w:cstheme="minorHAnsi"/>
                <w:b/>
                <w:sz w:val="20"/>
                <w:szCs w:val="20"/>
              </w:rPr>
            </w:pPr>
            <w:r>
              <w:rPr>
                <w:b/>
                <w:sz w:val="20"/>
              </w:rPr>
              <w:t>228 290</w:t>
            </w:r>
          </w:p>
        </w:tc>
        <w:tc>
          <w:tcPr>
            <w:tcW w:w="649" w:type="pct"/>
            <w:tcBorders>
              <w:top w:val="single" w:sz="4" w:space="0" w:color="auto"/>
              <w:left w:val="single" w:sz="4" w:space="0" w:color="auto"/>
              <w:bottom w:val="single" w:sz="4" w:space="0" w:color="auto"/>
              <w:right w:val="single" w:sz="4" w:space="0" w:color="auto"/>
            </w:tcBorders>
            <w:vAlign w:val="center"/>
            <w:hideMark/>
          </w:tcPr>
          <w:p w14:paraId="03A62B4A" w14:textId="77777777" w:rsidR="00247470" w:rsidRDefault="00247470" w:rsidP="00343E58">
            <w:pPr>
              <w:keepNext/>
              <w:contextualSpacing/>
              <w:jc w:val="right"/>
              <w:rPr>
                <w:rFonts w:cstheme="minorHAnsi"/>
                <w:b/>
                <w:sz w:val="20"/>
                <w:szCs w:val="20"/>
              </w:rPr>
            </w:pPr>
            <w:r>
              <w:rPr>
                <w:b/>
                <w:sz w:val="20"/>
              </w:rPr>
              <w:t>246 175</w:t>
            </w:r>
          </w:p>
        </w:tc>
        <w:tc>
          <w:tcPr>
            <w:tcW w:w="649" w:type="pct"/>
            <w:tcBorders>
              <w:top w:val="single" w:sz="4" w:space="0" w:color="auto"/>
              <w:left w:val="single" w:sz="4" w:space="0" w:color="auto"/>
              <w:bottom w:val="single" w:sz="4" w:space="0" w:color="auto"/>
              <w:right w:val="single" w:sz="4" w:space="0" w:color="auto"/>
            </w:tcBorders>
            <w:vAlign w:val="center"/>
            <w:hideMark/>
          </w:tcPr>
          <w:p w14:paraId="18D764F1" w14:textId="77777777" w:rsidR="00247470" w:rsidRDefault="00247470" w:rsidP="00343E58">
            <w:pPr>
              <w:keepNext/>
              <w:contextualSpacing/>
              <w:jc w:val="right"/>
              <w:rPr>
                <w:rFonts w:cstheme="minorHAnsi"/>
                <w:b/>
                <w:sz w:val="20"/>
                <w:szCs w:val="20"/>
              </w:rPr>
            </w:pPr>
            <w:r>
              <w:rPr>
                <w:b/>
                <w:sz w:val="20"/>
              </w:rPr>
              <w:t>254 743</w:t>
            </w:r>
          </w:p>
        </w:tc>
        <w:tc>
          <w:tcPr>
            <w:tcW w:w="649" w:type="pct"/>
            <w:tcBorders>
              <w:top w:val="single" w:sz="4" w:space="0" w:color="auto"/>
              <w:left w:val="single" w:sz="4" w:space="0" w:color="auto"/>
              <w:bottom w:val="single" w:sz="4" w:space="0" w:color="auto"/>
              <w:right w:val="single" w:sz="4" w:space="0" w:color="auto"/>
            </w:tcBorders>
            <w:vAlign w:val="center"/>
            <w:hideMark/>
          </w:tcPr>
          <w:p w14:paraId="1A4827BA" w14:textId="77777777" w:rsidR="00247470" w:rsidRDefault="00247470" w:rsidP="00343E58">
            <w:pPr>
              <w:keepNext/>
              <w:contextualSpacing/>
              <w:jc w:val="right"/>
              <w:rPr>
                <w:rFonts w:cstheme="minorHAnsi"/>
                <w:b/>
                <w:sz w:val="20"/>
                <w:szCs w:val="20"/>
              </w:rPr>
            </w:pPr>
            <w:r>
              <w:rPr>
                <w:rFonts w:cstheme="minorHAnsi"/>
                <w:b/>
                <w:sz w:val="20"/>
                <w:szCs w:val="20"/>
              </w:rPr>
              <w:t>261 778</w:t>
            </w:r>
          </w:p>
        </w:tc>
      </w:tr>
      <w:tr w:rsidR="00247470" w14:paraId="6EAA99E6"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noWrap/>
            <w:hideMark/>
          </w:tcPr>
          <w:p w14:paraId="00EFAE70" w14:textId="3F3763C2" w:rsidR="00247470" w:rsidRDefault="00247470" w:rsidP="008B1672">
            <w:pPr>
              <w:ind w:left="624" w:hanging="624"/>
              <w:rPr>
                <w:sz w:val="20"/>
              </w:rPr>
            </w:pPr>
            <w:r>
              <w:rPr>
                <w:sz w:val="20"/>
              </w:rPr>
              <w:t xml:space="preserve">z toho: </w:t>
            </w:r>
            <w:r w:rsidR="003D09C2">
              <w:rPr>
                <w:sz w:val="20"/>
              </w:rPr>
              <w:tab/>
            </w:r>
            <w:r>
              <w:rPr>
                <w:sz w:val="20"/>
              </w:rPr>
              <w:t>osobní náklady</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0603B40A" w14:textId="77777777" w:rsidR="00247470" w:rsidRDefault="00247470" w:rsidP="00343E58">
            <w:pPr>
              <w:jc w:val="right"/>
              <w:rPr>
                <w:sz w:val="20"/>
              </w:rPr>
            </w:pPr>
            <w:r>
              <w:rPr>
                <w:sz w:val="20"/>
              </w:rPr>
              <w:t>143 409</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571EA3B2" w14:textId="77777777" w:rsidR="00247470" w:rsidRDefault="00247470" w:rsidP="00343E58">
            <w:pPr>
              <w:jc w:val="right"/>
              <w:rPr>
                <w:sz w:val="20"/>
              </w:rPr>
            </w:pPr>
            <w:r>
              <w:rPr>
                <w:sz w:val="20"/>
              </w:rPr>
              <w:t>147 675</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4D7AD49D" w14:textId="77777777" w:rsidR="00247470" w:rsidRDefault="00247470" w:rsidP="00343E58">
            <w:pPr>
              <w:jc w:val="right"/>
              <w:rPr>
                <w:sz w:val="20"/>
              </w:rPr>
            </w:pPr>
            <w:r>
              <w:rPr>
                <w:sz w:val="20"/>
              </w:rPr>
              <w:t>159 809</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7C3B69AB" w14:textId="77777777" w:rsidR="00247470" w:rsidRDefault="00247470" w:rsidP="00343E58">
            <w:pPr>
              <w:jc w:val="right"/>
              <w:rPr>
                <w:sz w:val="20"/>
              </w:rPr>
            </w:pPr>
            <w:r>
              <w:rPr>
                <w:sz w:val="20"/>
              </w:rPr>
              <w:t>159 624</w:t>
            </w:r>
          </w:p>
        </w:tc>
        <w:tc>
          <w:tcPr>
            <w:tcW w:w="649" w:type="pct"/>
            <w:tcBorders>
              <w:top w:val="single" w:sz="4" w:space="0" w:color="auto"/>
              <w:left w:val="single" w:sz="4" w:space="0" w:color="auto"/>
              <w:bottom w:val="single" w:sz="4" w:space="0" w:color="auto"/>
              <w:right w:val="single" w:sz="4" w:space="0" w:color="auto"/>
            </w:tcBorders>
            <w:vAlign w:val="center"/>
            <w:hideMark/>
          </w:tcPr>
          <w:p w14:paraId="0E51AEC6" w14:textId="77777777" w:rsidR="00247470" w:rsidRDefault="00247470" w:rsidP="00343E58">
            <w:pPr>
              <w:jc w:val="right"/>
              <w:rPr>
                <w:sz w:val="20"/>
              </w:rPr>
            </w:pPr>
            <w:r>
              <w:rPr>
                <w:sz w:val="20"/>
              </w:rPr>
              <w:t>167 768</w:t>
            </w:r>
          </w:p>
        </w:tc>
      </w:tr>
      <w:tr w:rsidR="00247470" w14:paraId="54F39092" w14:textId="77777777" w:rsidTr="00343E58">
        <w:trPr>
          <w:trHeight w:val="300"/>
        </w:trPr>
        <w:tc>
          <w:tcPr>
            <w:tcW w:w="1753" w:type="pct"/>
            <w:tcBorders>
              <w:top w:val="single" w:sz="4" w:space="0" w:color="auto"/>
              <w:left w:val="single" w:sz="4" w:space="0" w:color="auto"/>
              <w:bottom w:val="single" w:sz="4" w:space="0" w:color="auto"/>
              <w:right w:val="single" w:sz="4" w:space="0" w:color="auto"/>
            </w:tcBorders>
            <w:noWrap/>
            <w:hideMark/>
          </w:tcPr>
          <w:p w14:paraId="21DF00B2" w14:textId="52FD8B33" w:rsidR="00247470" w:rsidRDefault="003D09C2" w:rsidP="008B1672">
            <w:pPr>
              <w:ind w:left="624" w:hanging="624"/>
              <w:rPr>
                <w:rFonts w:ascii="Calibri" w:hAnsi="Calibri" w:cs="Calibri"/>
                <w:color w:val="000000"/>
                <w:sz w:val="20"/>
                <w:szCs w:val="20"/>
                <w:lang w:eastAsia="cs-CZ"/>
              </w:rPr>
            </w:pPr>
            <w:r>
              <w:rPr>
                <w:rFonts w:ascii="Calibri" w:hAnsi="Calibri" w:cs="Calibri"/>
                <w:color w:val="000000"/>
                <w:sz w:val="20"/>
                <w:szCs w:val="20"/>
                <w:lang w:eastAsia="cs-CZ"/>
              </w:rPr>
              <w:tab/>
            </w:r>
            <w:r w:rsidR="00247470">
              <w:rPr>
                <w:rFonts w:ascii="Calibri" w:hAnsi="Calibri" w:cs="Calibri"/>
                <w:color w:val="000000"/>
                <w:sz w:val="20"/>
                <w:szCs w:val="20"/>
                <w:lang w:eastAsia="cs-CZ"/>
              </w:rPr>
              <w:t>spotřeba materiálu a energie</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032A7520"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16 470</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0EDBF28B"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15 198</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26F46E88"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16 705</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0A410C16"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23 599</w:t>
            </w:r>
          </w:p>
        </w:tc>
        <w:tc>
          <w:tcPr>
            <w:tcW w:w="649" w:type="pct"/>
            <w:tcBorders>
              <w:top w:val="single" w:sz="4" w:space="0" w:color="auto"/>
              <w:left w:val="single" w:sz="4" w:space="0" w:color="auto"/>
              <w:bottom w:val="single" w:sz="4" w:space="0" w:color="auto"/>
              <w:right w:val="single" w:sz="4" w:space="0" w:color="auto"/>
            </w:tcBorders>
            <w:vAlign w:val="center"/>
            <w:hideMark/>
          </w:tcPr>
          <w:p w14:paraId="7C794FB3"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19 431</w:t>
            </w:r>
          </w:p>
        </w:tc>
      </w:tr>
      <w:tr w:rsidR="00247470" w14:paraId="7A613CA8" w14:textId="77777777" w:rsidTr="00343E58">
        <w:trPr>
          <w:trHeight w:val="300"/>
        </w:trPr>
        <w:tc>
          <w:tcPr>
            <w:tcW w:w="1753" w:type="pct"/>
            <w:tcBorders>
              <w:top w:val="single" w:sz="4" w:space="0" w:color="auto"/>
              <w:left w:val="single" w:sz="4" w:space="0" w:color="auto"/>
              <w:bottom w:val="single" w:sz="4" w:space="0" w:color="auto"/>
              <w:right w:val="single" w:sz="4" w:space="0" w:color="auto"/>
            </w:tcBorders>
            <w:noWrap/>
            <w:hideMark/>
          </w:tcPr>
          <w:p w14:paraId="1EFE0556" w14:textId="63D1FB0B" w:rsidR="00247470" w:rsidRDefault="003D09C2" w:rsidP="008B1672">
            <w:pPr>
              <w:ind w:left="624" w:hanging="624"/>
              <w:rPr>
                <w:rFonts w:ascii="Calibri" w:hAnsi="Calibri" w:cs="Calibri"/>
                <w:color w:val="000000"/>
                <w:sz w:val="20"/>
                <w:szCs w:val="20"/>
                <w:lang w:eastAsia="cs-CZ"/>
              </w:rPr>
            </w:pPr>
            <w:r>
              <w:rPr>
                <w:rFonts w:ascii="Calibri" w:hAnsi="Calibri" w:cs="Calibri"/>
                <w:color w:val="000000"/>
                <w:sz w:val="20"/>
                <w:szCs w:val="20"/>
                <w:lang w:eastAsia="cs-CZ"/>
              </w:rPr>
              <w:tab/>
            </w:r>
            <w:r w:rsidR="00247470">
              <w:rPr>
                <w:rFonts w:ascii="Calibri" w:hAnsi="Calibri" w:cs="Calibri"/>
                <w:color w:val="000000"/>
                <w:sz w:val="20"/>
                <w:szCs w:val="20"/>
                <w:lang w:eastAsia="cs-CZ"/>
              </w:rPr>
              <w:t>služby</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121F74FC"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40 388</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5BD798A0"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35 883</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79070AFD"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39 144</w:t>
            </w: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1E3D7616"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39 297</w:t>
            </w:r>
          </w:p>
        </w:tc>
        <w:tc>
          <w:tcPr>
            <w:tcW w:w="649" w:type="pct"/>
            <w:tcBorders>
              <w:top w:val="single" w:sz="4" w:space="0" w:color="auto"/>
              <w:left w:val="single" w:sz="4" w:space="0" w:color="auto"/>
              <w:bottom w:val="single" w:sz="4" w:space="0" w:color="auto"/>
              <w:right w:val="single" w:sz="4" w:space="0" w:color="auto"/>
            </w:tcBorders>
            <w:vAlign w:val="center"/>
            <w:hideMark/>
          </w:tcPr>
          <w:p w14:paraId="36E7EC4E" w14:textId="77777777" w:rsidR="00247470" w:rsidRDefault="00247470" w:rsidP="00343E58">
            <w:pPr>
              <w:jc w:val="right"/>
              <w:rPr>
                <w:rFonts w:ascii="Calibri" w:hAnsi="Calibri" w:cs="Calibri"/>
                <w:color w:val="000000"/>
                <w:sz w:val="20"/>
                <w:szCs w:val="20"/>
                <w:lang w:eastAsia="cs-CZ"/>
              </w:rPr>
            </w:pPr>
            <w:r>
              <w:rPr>
                <w:rFonts w:ascii="Calibri" w:hAnsi="Calibri" w:cs="Calibri"/>
                <w:color w:val="000000"/>
                <w:sz w:val="20"/>
                <w:szCs w:val="20"/>
                <w:lang w:eastAsia="cs-CZ"/>
              </w:rPr>
              <w:t>45 186</w:t>
            </w:r>
          </w:p>
        </w:tc>
      </w:tr>
      <w:tr w:rsidR="00247470" w14:paraId="46532323"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7F60EE71" w14:textId="77777777" w:rsidR="00247470" w:rsidRDefault="00247470" w:rsidP="008B1672">
            <w:pPr>
              <w:keepNext/>
              <w:contextualSpacing/>
              <w:rPr>
                <w:rFonts w:cstheme="minorHAnsi"/>
                <w:b/>
                <w:sz w:val="20"/>
                <w:szCs w:val="20"/>
              </w:rPr>
            </w:pPr>
            <w:r>
              <w:rPr>
                <w:rFonts w:cstheme="minorHAnsi"/>
                <w:b/>
                <w:sz w:val="20"/>
                <w:szCs w:val="20"/>
              </w:rPr>
              <w:t>Výnosy celkem</w:t>
            </w:r>
          </w:p>
        </w:tc>
        <w:tc>
          <w:tcPr>
            <w:tcW w:w="649" w:type="pct"/>
            <w:tcBorders>
              <w:top w:val="single" w:sz="4" w:space="0" w:color="auto"/>
              <w:left w:val="single" w:sz="4" w:space="0" w:color="auto"/>
              <w:bottom w:val="single" w:sz="4" w:space="0" w:color="auto"/>
              <w:right w:val="single" w:sz="4" w:space="0" w:color="auto"/>
            </w:tcBorders>
            <w:vAlign w:val="center"/>
            <w:hideMark/>
          </w:tcPr>
          <w:p w14:paraId="44A8572B" w14:textId="77777777" w:rsidR="00247470" w:rsidRDefault="00247470" w:rsidP="00343E58">
            <w:pPr>
              <w:keepNext/>
              <w:contextualSpacing/>
              <w:jc w:val="right"/>
              <w:rPr>
                <w:rFonts w:cstheme="minorHAnsi"/>
                <w:b/>
                <w:sz w:val="20"/>
                <w:szCs w:val="20"/>
              </w:rPr>
            </w:pPr>
            <w:r>
              <w:rPr>
                <w:b/>
                <w:sz w:val="20"/>
              </w:rPr>
              <w:t>234 666</w:t>
            </w:r>
          </w:p>
        </w:tc>
        <w:tc>
          <w:tcPr>
            <w:tcW w:w="649" w:type="pct"/>
            <w:tcBorders>
              <w:top w:val="single" w:sz="4" w:space="0" w:color="auto"/>
              <w:left w:val="single" w:sz="4" w:space="0" w:color="auto"/>
              <w:bottom w:val="single" w:sz="4" w:space="0" w:color="auto"/>
              <w:right w:val="single" w:sz="4" w:space="0" w:color="auto"/>
            </w:tcBorders>
            <w:vAlign w:val="center"/>
            <w:hideMark/>
          </w:tcPr>
          <w:p w14:paraId="0924D8AD" w14:textId="77777777" w:rsidR="00247470" w:rsidRDefault="00247470" w:rsidP="00343E58">
            <w:pPr>
              <w:keepNext/>
              <w:contextualSpacing/>
              <w:jc w:val="right"/>
              <w:rPr>
                <w:rFonts w:cstheme="minorHAnsi"/>
                <w:b/>
                <w:sz w:val="20"/>
                <w:szCs w:val="20"/>
              </w:rPr>
            </w:pPr>
            <w:r>
              <w:rPr>
                <w:b/>
                <w:sz w:val="20"/>
              </w:rPr>
              <w:t>235 952</w:t>
            </w:r>
          </w:p>
        </w:tc>
        <w:tc>
          <w:tcPr>
            <w:tcW w:w="649" w:type="pct"/>
            <w:tcBorders>
              <w:top w:val="single" w:sz="4" w:space="0" w:color="auto"/>
              <w:left w:val="single" w:sz="4" w:space="0" w:color="auto"/>
              <w:bottom w:val="single" w:sz="4" w:space="0" w:color="auto"/>
              <w:right w:val="single" w:sz="4" w:space="0" w:color="auto"/>
            </w:tcBorders>
            <w:vAlign w:val="center"/>
            <w:hideMark/>
          </w:tcPr>
          <w:p w14:paraId="65992655" w14:textId="77777777" w:rsidR="00247470" w:rsidRDefault="00247470" w:rsidP="00343E58">
            <w:pPr>
              <w:keepNext/>
              <w:contextualSpacing/>
              <w:jc w:val="right"/>
              <w:rPr>
                <w:rFonts w:cstheme="minorHAnsi"/>
                <w:b/>
                <w:sz w:val="20"/>
                <w:szCs w:val="20"/>
              </w:rPr>
            </w:pPr>
            <w:r>
              <w:rPr>
                <w:b/>
                <w:sz w:val="20"/>
              </w:rPr>
              <w:t>253 594</w:t>
            </w:r>
          </w:p>
        </w:tc>
        <w:tc>
          <w:tcPr>
            <w:tcW w:w="649" w:type="pct"/>
            <w:tcBorders>
              <w:top w:val="single" w:sz="4" w:space="0" w:color="auto"/>
              <w:left w:val="single" w:sz="4" w:space="0" w:color="auto"/>
              <w:bottom w:val="single" w:sz="4" w:space="0" w:color="auto"/>
              <w:right w:val="single" w:sz="4" w:space="0" w:color="auto"/>
            </w:tcBorders>
            <w:vAlign w:val="center"/>
            <w:hideMark/>
          </w:tcPr>
          <w:p w14:paraId="3F6081A4" w14:textId="77777777" w:rsidR="00247470" w:rsidRDefault="00247470" w:rsidP="00343E58">
            <w:pPr>
              <w:keepNext/>
              <w:contextualSpacing/>
              <w:jc w:val="right"/>
              <w:rPr>
                <w:rFonts w:cstheme="minorHAnsi"/>
                <w:b/>
                <w:sz w:val="20"/>
                <w:szCs w:val="20"/>
              </w:rPr>
            </w:pPr>
            <w:r>
              <w:rPr>
                <w:b/>
                <w:sz w:val="20"/>
              </w:rPr>
              <w:t>261 020</w:t>
            </w:r>
          </w:p>
        </w:tc>
        <w:tc>
          <w:tcPr>
            <w:tcW w:w="649" w:type="pct"/>
            <w:tcBorders>
              <w:top w:val="single" w:sz="4" w:space="0" w:color="auto"/>
              <w:left w:val="single" w:sz="4" w:space="0" w:color="auto"/>
              <w:bottom w:val="single" w:sz="4" w:space="0" w:color="auto"/>
              <w:right w:val="single" w:sz="4" w:space="0" w:color="auto"/>
            </w:tcBorders>
            <w:vAlign w:val="center"/>
            <w:hideMark/>
          </w:tcPr>
          <w:p w14:paraId="745A4698" w14:textId="77777777" w:rsidR="00247470" w:rsidRDefault="00247470" w:rsidP="00343E58">
            <w:pPr>
              <w:keepNext/>
              <w:contextualSpacing/>
              <w:jc w:val="right"/>
              <w:rPr>
                <w:rFonts w:cstheme="minorHAnsi"/>
                <w:b/>
                <w:sz w:val="20"/>
                <w:szCs w:val="20"/>
              </w:rPr>
            </w:pPr>
            <w:r>
              <w:rPr>
                <w:rFonts w:cstheme="minorHAnsi"/>
                <w:b/>
                <w:sz w:val="20"/>
                <w:szCs w:val="20"/>
              </w:rPr>
              <w:t>267 787</w:t>
            </w:r>
          </w:p>
        </w:tc>
      </w:tr>
      <w:tr w:rsidR="00247470" w14:paraId="4BA580EC"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7E77E188" w14:textId="75697816" w:rsidR="00247470" w:rsidRDefault="00247470" w:rsidP="008B1672">
            <w:pPr>
              <w:ind w:left="624" w:hanging="624"/>
              <w:rPr>
                <w:rFonts w:cstheme="minorHAnsi"/>
                <w:color w:val="000000"/>
                <w:sz w:val="20"/>
                <w:szCs w:val="20"/>
              </w:rPr>
            </w:pPr>
            <w:r>
              <w:rPr>
                <w:rFonts w:cstheme="minorHAnsi"/>
                <w:color w:val="000000"/>
                <w:sz w:val="20"/>
                <w:szCs w:val="20"/>
              </w:rPr>
              <w:t xml:space="preserve">z toho: </w:t>
            </w:r>
            <w:r w:rsidR="003D09C2">
              <w:rPr>
                <w:rFonts w:cstheme="minorHAnsi"/>
                <w:color w:val="000000"/>
                <w:sz w:val="20"/>
                <w:szCs w:val="20"/>
              </w:rPr>
              <w:tab/>
            </w:r>
            <w:r>
              <w:rPr>
                <w:rFonts w:cstheme="minorHAnsi"/>
                <w:color w:val="000000"/>
                <w:sz w:val="20"/>
                <w:szCs w:val="20"/>
              </w:rPr>
              <w:t>tržby z prodeje výrobků a</w:t>
            </w:r>
            <w:r w:rsidR="00A72E41">
              <w:rPr>
                <w:rFonts w:cstheme="minorHAnsi"/>
                <w:color w:val="000000"/>
                <w:sz w:val="20"/>
                <w:szCs w:val="20"/>
              </w:rPr>
              <w:t> </w:t>
            </w:r>
            <w:r>
              <w:rPr>
                <w:rFonts w:cstheme="minorHAnsi"/>
                <w:color w:val="000000"/>
                <w:sz w:val="20"/>
                <w:szCs w:val="20"/>
              </w:rPr>
              <w:t>služeb</w:t>
            </w:r>
          </w:p>
        </w:tc>
        <w:tc>
          <w:tcPr>
            <w:tcW w:w="649" w:type="pct"/>
            <w:tcBorders>
              <w:top w:val="single" w:sz="4" w:space="0" w:color="auto"/>
              <w:left w:val="single" w:sz="4" w:space="0" w:color="auto"/>
              <w:bottom w:val="single" w:sz="4" w:space="0" w:color="auto"/>
              <w:right w:val="single" w:sz="4" w:space="0" w:color="auto"/>
            </w:tcBorders>
            <w:vAlign w:val="center"/>
            <w:hideMark/>
          </w:tcPr>
          <w:p w14:paraId="58142D38" w14:textId="77777777" w:rsidR="00247470" w:rsidRDefault="00247470" w:rsidP="00343E58">
            <w:pPr>
              <w:jc w:val="right"/>
              <w:rPr>
                <w:rFonts w:cstheme="minorHAnsi"/>
                <w:color w:val="000000"/>
                <w:sz w:val="20"/>
                <w:szCs w:val="20"/>
              </w:rPr>
            </w:pPr>
            <w:r>
              <w:rPr>
                <w:rFonts w:cstheme="minorHAnsi"/>
                <w:color w:val="000000"/>
                <w:sz w:val="20"/>
                <w:szCs w:val="20"/>
              </w:rPr>
              <w:t>228 278</w:t>
            </w:r>
          </w:p>
        </w:tc>
        <w:tc>
          <w:tcPr>
            <w:tcW w:w="649" w:type="pct"/>
            <w:tcBorders>
              <w:top w:val="single" w:sz="4" w:space="0" w:color="auto"/>
              <w:left w:val="single" w:sz="4" w:space="0" w:color="auto"/>
              <w:bottom w:val="single" w:sz="4" w:space="0" w:color="auto"/>
              <w:right w:val="single" w:sz="4" w:space="0" w:color="auto"/>
            </w:tcBorders>
            <w:vAlign w:val="center"/>
            <w:hideMark/>
          </w:tcPr>
          <w:p w14:paraId="19179F47" w14:textId="77777777" w:rsidR="00247470" w:rsidRDefault="00247470" w:rsidP="00343E58">
            <w:pPr>
              <w:jc w:val="right"/>
              <w:rPr>
                <w:rFonts w:cstheme="minorHAnsi"/>
                <w:color w:val="000000"/>
                <w:sz w:val="20"/>
                <w:szCs w:val="20"/>
              </w:rPr>
            </w:pPr>
            <w:r>
              <w:rPr>
                <w:rFonts w:cstheme="minorHAnsi"/>
                <w:color w:val="000000"/>
                <w:sz w:val="20"/>
                <w:szCs w:val="20"/>
              </w:rPr>
              <w:t>228 993</w:t>
            </w:r>
          </w:p>
        </w:tc>
        <w:tc>
          <w:tcPr>
            <w:tcW w:w="649" w:type="pct"/>
            <w:tcBorders>
              <w:top w:val="single" w:sz="4" w:space="0" w:color="auto"/>
              <w:left w:val="single" w:sz="4" w:space="0" w:color="auto"/>
              <w:bottom w:val="single" w:sz="4" w:space="0" w:color="auto"/>
              <w:right w:val="single" w:sz="4" w:space="0" w:color="auto"/>
            </w:tcBorders>
            <w:vAlign w:val="center"/>
            <w:hideMark/>
          </w:tcPr>
          <w:p w14:paraId="3A4629C8" w14:textId="77777777" w:rsidR="00247470" w:rsidRDefault="00247470" w:rsidP="00343E58">
            <w:pPr>
              <w:jc w:val="right"/>
              <w:rPr>
                <w:rFonts w:cstheme="minorHAnsi"/>
                <w:color w:val="000000"/>
                <w:sz w:val="20"/>
                <w:szCs w:val="20"/>
              </w:rPr>
            </w:pPr>
            <w:r>
              <w:rPr>
                <w:rFonts w:cstheme="minorHAnsi"/>
                <w:color w:val="000000"/>
                <w:sz w:val="20"/>
                <w:szCs w:val="20"/>
              </w:rPr>
              <w:t>243 895</w:t>
            </w:r>
          </w:p>
        </w:tc>
        <w:tc>
          <w:tcPr>
            <w:tcW w:w="649" w:type="pct"/>
            <w:tcBorders>
              <w:top w:val="single" w:sz="4" w:space="0" w:color="auto"/>
              <w:left w:val="single" w:sz="4" w:space="0" w:color="auto"/>
              <w:bottom w:val="single" w:sz="4" w:space="0" w:color="auto"/>
              <w:right w:val="single" w:sz="4" w:space="0" w:color="auto"/>
            </w:tcBorders>
            <w:vAlign w:val="center"/>
            <w:hideMark/>
          </w:tcPr>
          <w:p w14:paraId="30BD9FF8" w14:textId="77777777" w:rsidR="00247470" w:rsidRDefault="00247470" w:rsidP="00343E58">
            <w:pPr>
              <w:jc w:val="right"/>
              <w:rPr>
                <w:rFonts w:cstheme="minorHAnsi"/>
                <w:color w:val="000000"/>
                <w:sz w:val="20"/>
                <w:szCs w:val="20"/>
              </w:rPr>
            </w:pPr>
            <w:r>
              <w:rPr>
                <w:rFonts w:cstheme="minorHAnsi"/>
                <w:color w:val="000000"/>
                <w:sz w:val="20"/>
                <w:szCs w:val="20"/>
              </w:rPr>
              <w:t>238 477</w:t>
            </w:r>
          </w:p>
        </w:tc>
        <w:tc>
          <w:tcPr>
            <w:tcW w:w="649" w:type="pct"/>
            <w:tcBorders>
              <w:top w:val="single" w:sz="4" w:space="0" w:color="auto"/>
              <w:left w:val="single" w:sz="4" w:space="0" w:color="auto"/>
              <w:bottom w:val="single" w:sz="4" w:space="0" w:color="auto"/>
              <w:right w:val="single" w:sz="4" w:space="0" w:color="auto"/>
            </w:tcBorders>
            <w:vAlign w:val="center"/>
            <w:hideMark/>
          </w:tcPr>
          <w:p w14:paraId="75AEBD6A" w14:textId="77777777" w:rsidR="00247470" w:rsidRDefault="00247470" w:rsidP="00343E58">
            <w:pPr>
              <w:jc w:val="right"/>
              <w:rPr>
                <w:rFonts w:cstheme="minorHAnsi"/>
                <w:color w:val="000000"/>
                <w:sz w:val="20"/>
                <w:szCs w:val="20"/>
              </w:rPr>
            </w:pPr>
            <w:r>
              <w:rPr>
                <w:rFonts w:cstheme="minorHAnsi"/>
                <w:color w:val="000000"/>
                <w:sz w:val="20"/>
                <w:szCs w:val="20"/>
              </w:rPr>
              <w:t>257 338</w:t>
            </w:r>
          </w:p>
        </w:tc>
      </w:tr>
      <w:tr w:rsidR="00247470" w14:paraId="67E548B6"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274FA97D" w14:textId="0998B4D5" w:rsidR="00247470" w:rsidRDefault="003D09C2" w:rsidP="008B1672">
            <w:pPr>
              <w:ind w:left="624" w:hanging="624"/>
              <w:rPr>
                <w:rFonts w:cstheme="minorHAnsi"/>
                <w:color w:val="000000"/>
                <w:sz w:val="20"/>
                <w:szCs w:val="20"/>
              </w:rPr>
            </w:pPr>
            <w:r>
              <w:rPr>
                <w:rFonts w:cstheme="minorHAnsi"/>
                <w:color w:val="000000"/>
                <w:sz w:val="20"/>
                <w:szCs w:val="20"/>
              </w:rPr>
              <w:tab/>
            </w:r>
            <w:r w:rsidR="00247470">
              <w:rPr>
                <w:rFonts w:cstheme="minorHAnsi"/>
                <w:color w:val="000000"/>
                <w:sz w:val="20"/>
                <w:szCs w:val="20"/>
              </w:rPr>
              <w:t>tržby za prodej zboží</w:t>
            </w:r>
          </w:p>
        </w:tc>
        <w:tc>
          <w:tcPr>
            <w:tcW w:w="649" w:type="pct"/>
            <w:tcBorders>
              <w:top w:val="single" w:sz="4" w:space="0" w:color="auto"/>
              <w:left w:val="single" w:sz="4" w:space="0" w:color="auto"/>
              <w:bottom w:val="single" w:sz="4" w:space="0" w:color="auto"/>
              <w:right w:val="single" w:sz="4" w:space="0" w:color="auto"/>
            </w:tcBorders>
            <w:vAlign w:val="center"/>
            <w:hideMark/>
          </w:tcPr>
          <w:p w14:paraId="3625EC63" w14:textId="77777777" w:rsidR="00247470" w:rsidRDefault="00247470" w:rsidP="00343E58">
            <w:pPr>
              <w:jc w:val="right"/>
              <w:rPr>
                <w:rFonts w:cstheme="minorHAnsi"/>
                <w:color w:val="000000"/>
                <w:sz w:val="20"/>
                <w:szCs w:val="20"/>
              </w:rPr>
            </w:pPr>
            <w:r>
              <w:rPr>
                <w:rFonts w:cstheme="minorHAnsi"/>
                <w:color w:val="000000"/>
                <w:sz w:val="20"/>
                <w:szCs w:val="20"/>
              </w:rPr>
              <w:t>3 509</w:t>
            </w:r>
          </w:p>
        </w:tc>
        <w:tc>
          <w:tcPr>
            <w:tcW w:w="649" w:type="pct"/>
            <w:tcBorders>
              <w:top w:val="single" w:sz="4" w:space="0" w:color="auto"/>
              <w:left w:val="single" w:sz="4" w:space="0" w:color="auto"/>
              <w:bottom w:val="single" w:sz="4" w:space="0" w:color="auto"/>
              <w:right w:val="single" w:sz="4" w:space="0" w:color="auto"/>
            </w:tcBorders>
            <w:vAlign w:val="center"/>
            <w:hideMark/>
          </w:tcPr>
          <w:p w14:paraId="67EA72D8" w14:textId="77777777" w:rsidR="00247470" w:rsidRDefault="00247470" w:rsidP="00343E58">
            <w:pPr>
              <w:jc w:val="right"/>
              <w:rPr>
                <w:rFonts w:cstheme="minorHAnsi"/>
                <w:color w:val="000000"/>
                <w:sz w:val="20"/>
                <w:szCs w:val="20"/>
              </w:rPr>
            </w:pPr>
            <w:r>
              <w:rPr>
                <w:rFonts w:cstheme="minorHAnsi"/>
                <w:color w:val="000000"/>
                <w:sz w:val="20"/>
                <w:szCs w:val="20"/>
              </w:rPr>
              <w:t>3 033</w:t>
            </w:r>
          </w:p>
        </w:tc>
        <w:tc>
          <w:tcPr>
            <w:tcW w:w="649" w:type="pct"/>
            <w:tcBorders>
              <w:top w:val="single" w:sz="4" w:space="0" w:color="auto"/>
              <w:left w:val="single" w:sz="4" w:space="0" w:color="auto"/>
              <w:bottom w:val="single" w:sz="4" w:space="0" w:color="auto"/>
              <w:right w:val="single" w:sz="4" w:space="0" w:color="auto"/>
            </w:tcBorders>
            <w:vAlign w:val="center"/>
            <w:hideMark/>
          </w:tcPr>
          <w:p w14:paraId="2844C35A" w14:textId="77777777" w:rsidR="00247470" w:rsidRDefault="00247470" w:rsidP="00343E58">
            <w:pPr>
              <w:jc w:val="right"/>
              <w:rPr>
                <w:rFonts w:cstheme="minorHAnsi"/>
                <w:color w:val="000000"/>
                <w:sz w:val="20"/>
                <w:szCs w:val="20"/>
              </w:rPr>
            </w:pPr>
            <w:r>
              <w:rPr>
                <w:rFonts w:cstheme="minorHAnsi"/>
                <w:color w:val="000000"/>
                <w:sz w:val="20"/>
                <w:szCs w:val="20"/>
              </w:rPr>
              <w:t>4 477</w:t>
            </w:r>
          </w:p>
        </w:tc>
        <w:tc>
          <w:tcPr>
            <w:tcW w:w="649" w:type="pct"/>
            <w:tcBorders>
              <w:top w:val="single" w:sz="4" w:space="0" w:color="auto"/>
              <w:left w:val="single" w:sz="4" w:space="0" w:color="auto"/>
              <w:bottom w:val="single" w:sz="4" w:space="0" w:color="auto"/>
              <w:right w:val="single" w:sz="4" w:space="0" w:color="auto"/>
            </w:tcBorders>
            <w:vAlign w:val="center"/>
            <w:hideMark/>
          </w:tcPr>
          <w:p w14:paraId="71072956" w14:textId="77777777" w:rsidR="00247470" w:rsidRDefault="00247470" w:rsidP="00343E58">
            <w:pPr>
              <w:jc w:val="right"/>
              <w:rPr>
                <w:rFonts w:cstheme="minorHAnsi"/>
                <w:color w:val="000000"/>
                <w:sz w:val="20"/>
                <w:szCs w:val="20"/>
              </w:rPr>
            </w:pPr>
            <w:r>
              <w:rPr>
                <w:rFonts w:cstheme="minorHAnsi"/>
                <w:color w:val="000000"/>
                <w:sz w:val="20"/>
                <w:szCs w:val="20"/>
              </w:rPr>
              <w:t>4 370</w:t>
            </w:r>
          </w:p>
        </w:tc>
        <w:tc>
          <w:tcPr>
            <w:tcW w:w="649" w:type="pct"/>
            <w:tcBorders>
              <w:top w:val="single" w:sz="4" w:space="0" w:color="auto"/>
              <w:left w:val="single" w:sz="4" w:space="0" w:color="auto"/>
              <w:bottom w:val="single" w:sz="4" w:space="0" w:color="auto"/>
              <w:right w:val="single" w:sz="4" w:space="0" w:color="auto"/>
            </w:tcBorders>
            <w:vAlign w:val="center"/>
            <w:hideMark/>
          </w:tcPr>
          <w:p w14:paraId="3AC9B9AF" w14:textId="77777777" w:rsidR="00247470" w:rsidRDefault="00247470" w:rsidP="00343E58">
            <w:pPr>
              <w:jc w:val="right"/>
              <w:rPr>
                <w:rFonts w:cstheme="minorHAnsi"/>
                <w:color w:val="000000"/>
                <w:sz w:val="20"/>
                <w:szCs w:val="20"/>
              </w:rPr>
            </w:pPr>
            <w:r>
              <w:rPr>
                <w:rFonts w:cstheme="minorHAnsi"/>
                <w:color w:val="000000"/>
                <w:sz w:val="20"/>
                <w:szCs w:val="20"/>
              </w:rPr>
              <w:t>3 145</w:t>
            </w:r>
          </w:p>
        </w:tc>
      </w:tr>
      <w:tr w:rsidR="00247470" w14:paraId="1B9075F3"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62235BA9" w14:textId="425E0F11" w:rsidR="00247470" w:rsidRDefault="003D09C2" w:rsidP="008B1672">
            <w:pPr>
              <w:ind w:left="624" w:hanging="624"/>
              <w:rPr>
                <w:rFonts w:cstheme="minorHAnsi"/>
                <w:color w:val="000000"/>
                <w:sz w:val="20"/>
                <w:szCs w:val="20"/>
              </w:rPr>
            </w:pPr>
            <w:r>
              <w:rPr>
                <w:rFonts w:cstheme="minorHAnsi"/>
                <w:color w:val="000000"/>
                <w:sz w:val="20"/>
                <w:szCs w:val="20"/>
              </w:rPr>
              <w:tab/>
            </w:r>
            <w:r w:rsidR="00247470">
              <w:rPr>
                <w:rFonts w:cstheme="minorHAnsi"/>
                <w:color w:val="000000"/>
                <w:sz w:val="20"/>
                <w:szCs w:val="20"/>
              </w:rPr>
              <w:t>ostatní provozní výnosy</w:t>
            </w:r>
          </w:p>
        </w:tc>
        <w:tc>
          <w:tcPr>
            <w:tcW w:w="649" w:type="pct"/>
            <w:tcBorders>
              <w:top w:val="single" w:sz="4" w:space="0" w:color="auto"/>
              <w:left w:val="single" w:sz="4" w:space="0" w:color="auto"/>
              <w:bottom w:val="single" w:sz="4" w:space="0" w:color="auto"/>
              <w:right w:val="single" w:sz="4" w:space="0" w:color="auto"/>
            </w:tcBorders>
            <w:vAlign w:val="center"/>
            <w:hideMark/>
          </w:tcPr>
          <w:p w14:paraId="018051AB" w14:textId="77777777" w:rsidR="00247470" w:rsidRDefault="00247470" w:rsidP="00343E58">
            <w:pPr>
              <w:jc w:val="right"/>
              <w:rPr>
                <w:rFonts w:cstheme="minorHAnsi"/>
                <w:color w:val="000000"/>
                <w:sz w:val="20"/>
                <w:szCs w:val="20"/>
              </w:rPr>
            </w:pPr>
            <w:r>
              <w:rPr>
                <w:rFonts w:cstheme="minorHAnsi"/>
                <w:color w:val="000000"/>
                <w:sz w:val="20"/>
                <w:szCs w:val="20"/>
              </w:rPr>
              <w:t>1 359</w:t>
            </w:r>
          </w:p>
        </w:tc>
        <w:tc>
          <w:tcPr>
            <w:tcW w:w="649" w:type="pct"/>
            <w:tcBorders>
              <w:top w:val="single" w:sz="4" w:space="0" w:color="auto"/>
              <w:left w:val="single" w:sz="4" w:space="0" w:color="auto"/>
              <w:bottom w:val="single" w:sz="4" w:space="0" w:color="auto"/>
              <w:right w:val="single" w:sz="4" w:space="0" w:color="auto"/>
            </w:tcBorders>
            <w:vAlign w:val="center"/>
            <w:hideMark/>
          </w:tcPr>
          <w:p w14:paraId="32C9B67C" w14:textId="77777777" w:rsidR="00247470" w:rsidRDefault="00247470" w:rsidP="00343E58">
            <w:pPr>
              <w:jc w:val="right"/>
              <w:rPr>
                <w:rFonts w:cstheme="minorHAnsi"/>
                <w:color w:val="000000"/>
                <w:sz w:val="20"/>
                <w:szCs w:val="20"/>
              </w:rPr>
            </w:pPr>
            <w:r>
              <w:rPr>
                <w:rFonts w:cstheme="minorHAnsi"/>
                <w:color w:val="000000"/>
                <w:sz w:val="20"/>
                <w:szCs w:val="20"/>
              </w:rPr>
              <w:t>2 505</w:t>
            </w:r>
          </w:p>
        </w:tc>
        <w:tc>
          <w:tcPr>
            <w:tcW w:w="649" w:type="pct"/>
            <w:tcBorders>
              <w:top w:val="single" w:sz="4" w:space="0" w:color="auto"/>
              <w:left w:val="single" w:sz="4" w:space="0" w:color="auto"/>
              <w:bottom w:val="single" w:sz="4" w:space="0" w:color="auto"/>
              <w:right w:val="single" w:sz="4" w:space="0" w:color="auto"/>
            </w:tcBorders>
            <w:vAlign w:val="center"/>
            <w:hideMark/>
          </w:tcPr>
          <w:p w14:paraId="7F6A70B6" w14:textId="77777777" w:rsidR="00247470" w:rsidRDefault="00247470" w:rsidP="00343E58">
            <w:pPr>
              <w:jc w:val="right"/>
              <w:rPr>
                <w:rFonts w:cstheme="minorHAnsi"/>
                <w:color w:val="000000"/>
                <w:sz w:val="20"/>
                <w:szCs w:val="20"/>
              </w:rPr>
            </w:pPr>
            <w:r>
              <w:rPr>
                <w:rFonts w:cstheme="minorHAnsi"/>
                <w:color w:val="000000"/>
                <w:sz w:val="20"/>
                <w:szCs w:val="20"/>
              </w:rPr>
              <w:t>4 047</w:t>
            </w:r>
          </w:p>
        </w:tc>
        <w:tc>
          <w:tcPr>
            <w:tcW w:w="649" w:type="pct"/>
            <w:tcBorders>
              <w:top w:val="single" w:sz="4" w:space="0" w:color="auto"/>
              <w:left w:val="single" w:sz="4" w:space="0" w:color="auto"/>
              <w:bottom w:val="single" w:sz="4" w:space="0" w:color="auto"/>
              <w:right w:val="single" w:sz="4" w:space="0" w:color="auto"/>
            </w:tcBorders>
            <w:vAlign w:val="center"/>
            <w:hideMark/>
          </w:tcPr>
          <w:p w14:paraId="3172EE44" w14:textId="77777777" w:rsidR="00247470" w:rsidRDefault="00247470" w:rsidP="00343E58">
            <w:pPr>
              <w:jc w:val="right"/>
              <w:rPr>
                <w:rFonts w:cstheme="minorHAnsi"/>
                <w:color w:val="000000"/>
                <w:sz w:val="20"/>
                <w:szCs w:val="20"/>
              </w:rPr>
            </w:pPr>
            <w:r>
              <w:rPr>
                <w:rFonts w:cstheme="minorHAnsi"/>
                <w:color w:val="000000"/>
                <w:sz w:val="20"/>
                <w:szCs w:val="20"/>
              </w:rPr>
              <w:t>14 543</w:t>
            </w:r>
          </w:p>
        </w:tc>
        <w:tc>
          <w:tcPr>
            <w:tcW w:w="649" w:type="pct"/>
            <w:tcBorders>
              <w:top w:val="single" w:sz="4" w:space="0" w:color="auto"/>
              <w:left w:val="single" w:sz="4" w:space="0" w:color="auto"/>
              <w:bottom w:val="single" w:sz="4" w:space="0" w:color="auto"/>
              <w:right w:val="single" w:sz="4" w:space="0" w:color="auto"/>
            </w:tcBorders>
            <w:vAlign w:val="center"/>
            <w:hideMark/>
          </w:tcPr>
          <w:p w14:paraId="212B7767" w14:textId="77777777" w:rsidR="00247470" w:rsidRDefault="00247470" w:rsidP="00343E58">
            <w:pPr>
              <w:jc w:val="right"/>
              <w:rPr>
                <w:rFonts w:cstheme="minorHAnsi"/>
                <w:color w:val="000000"/>
                <w:sz w:val="20"/>
                <w:szCs w:val="20"/>
              </w:rPr>
            </w:pPr>
            <w:r>
              <w:rPr>
                <w:rFonts w:cstheme="minorHAnsi"/>
                <w:color w:val="000000"/>
                <w:sz w:val="20"/>
                <w:szCs w:val="20"/>
              </w:rPr>
              <w:t>3 044</w:t>
            </w:r>
          </w:p>
        </w:tc>
      </w:tr>
      <w:tr w:rsidR="00247470" w14:paraId="67E96081"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1009A25A" w14:textId="2D74E827" w:rsidR="00247470" w:rsidRDefault="003D09C2" w:rsidP="008B1672">
            <w:pPr>
              <w:ind w:left="624" w:hanging="624"/>
              <w:rPr>
                <w:rFonts w:cstheme="minorHAnsi"/>
                <w:color w:val="000000"/>
                <w:sz w:val="20"/>
                <w:szCs w:val="20"/>
              </w:rPr>
            </w:pPr>
            <w:r>
              <w:rPr>
                <w:rFonts w:cstheme="minorHAnsi"/>
                <w:sz w:val="20"/>
                <w:szCs w:val="20"/>
              </w:rPr>
              <w:tab/>
            </w:r>
            <w:r w:rsidR="00247470">
              <w:rPr>
                <w:rFonts w:cstheme="minorHAnsi"/>
                <w:sz w:val="20"/>
                <w:szCs w:val="20"/>
              </w:rPr>
              <w:t>výnosy z dlouhodobého finančního majetku</w:t>
            </w:r>
          </w:p>
        </w:tc>
        <w:tc>
          <w:tcPr>
            <w:tcW w:w="649" w:type="pct"/>
            <w:tcBorders>
              <w:top w:val="single" w:sz="4" w:space="0" w:color="auto"/>
              <w:left w:val="single" w:sz="4" w:space="0" w:color="auto"/>
              <w:bottom w:val="single" w:sz="4" w:space="0" w:color="auto"/>
              <w:right w:val="single" w:sz="4" w:space="0" w:color="auto"/>
            </w:tcBorders>
            <w:vAlign w:val="center"/>
            <w:hideMark/>
          </w:tcPr>
          <w:p w14:paraId="5CA61D93" w14:textId="77777777" w:rsidR="00247470" w:rsidRDefault="00247470" w:rsidP="00343E58">
            <w:pPr>
              <w:jc w:val="right"/>
              <w:rPr>
                <w:rFonts w:cstheme="minorHAnsi"/>
                <w:color w:val="000000"/>
                <w:sz w:val="20"/>
                <w:szCs w:val="20"/>
              </w:rPr>
            </w:pPr>
            <w:r>
              <w:rPr>
                <w:rFonts w:ascii="Calibri" w:hAnsi="Calibri" w:cs="Calibri"/>
                <w:color w:val="000000"/>
                <w:sz w:val="20"/>
                <w:szCs w:val="20"/>
              </w:rPr>
              <w:t>115</w:t>
            </w:r>
          </w:p>
        </w:tc>
        <w:tc>
          <w:tcPr>
            <w:tcW w:w="649" w:type="pct"/>
            <w:tcBorders>
              <w:top w:val="single" w:sz="4" w:space="0" w:color="auto"/>
              <w:left w:val="single" w:sz="4" w:space="0" w:color="auto"/>
              <w:bottom w:val="single" w:sz="4" w:space="0" w:color="auto"/>
              <w:right w:val="single" w:sz="4" w:space="0" w:color="auto"/>
            </w:tcBorders>
            <w:vAlign w:val="center"/>
            <w:hideMark/>
          </w:tcPr>
          <w:p w14:paraId="6BC98A29" w14:textId="77777777" w:rsidR="00247470" w:rsidRDefault="00247470" w:rsidP="00343E58">
            <w:pPr>
              <w:jc w:val="right"/>
              <w:rPr>
                <w:rFonts w:cstheme="minorHAnsi"/>
                <w:color w:val="000000"/>
                <w:sz w:val="20"/>
                <w:szCs w:val="20"/>
              </w:rPr>
            </w:pPr>
            <w:r>
              <w:rPr>
                <w:rFonts w:ascii="Calibri" w:hAnsi="Calibri" w:cs="Calibri"/>
                <w:color w:val="000000"/>
                <w:sz w:val="20"/>
                <w:szCs w:val="20"/>
              </w:rPr>
              <w:t>115</w:t>
            </w:r>
          </w:p>
        </w:tc>
        <w:tc>
          <w:tcPr>
            <w:tcW w:w="649" w:type="pct"/>
            <w:tcBorders>
              <w:top w:val="single" w:sz="4" w:space="0" w:color="auto"/>
              <w:left w:val="single" w:sz="4" w:space="0" w:color="auto"/>
              <w:bottom w:val="single" w:sz="4" w:space="0" w:color="auto"/>
              <w:right w:val="single" w:sz="4" w:space="0" w:color="auto"/>
            </w:tcBorders>
            <w:vAlign w:val="center"/>
            <w:hideMark/>
          </w:tcPr>
          <w:p w14:paraId="2DC6271B" w14:textId="77777777" w:rsidR="00247470" w:rsidRDefault="00247470" w:rsidP="00343E58">
            <w:pPr>
              <w:jc w:val="right"/>
              <w:rPr>
                <w:rFonts w:cstheme="minorHAnsi"/>
                <w:color w:val="000000"/>
                <w:sz w:val="20"/>
                <w:szCs w:val="20"/>
              </w:rPr>
            </w:pPr>
            <w:r>
              <w:rPr>
                <w:rFonts w:ascii="Calibri" w:hAnsi="Calibri" w:cs="Calibri"/>
                <w:color w:val="000000"/>
                <w:sz w:val="20"/>
                <w:szCs w:val="20"/>
              </w:rPr>
              <w:t>347</w:t>
            </w:r>
          </w:p>
        </w:tc>
        <w:tc>
          <w:tcPr>
            <w:tcW w:w="649" w:type="pct"/>
            <w:tcBorders>
              <w:top w:val="single" w:sz="4" w:space="0" w:color="auto"/>
              <w:left w:val="single" w:sz="4" w:space="0" w:color="auto"/>
              <w:bottom w:val="single" w:sz="4" w:space="0" w:color="auto"/>
              <w:right w:val="single" w:sz="4" w:space="0" w:color="auto"/>
            </w:tcBorders>
            <w:vAlign w:val="center"/>
            <w:hideMark/>
          </w:tcPr>
          <w:p w14:paraId="25D6F2FA" w14:textId="77777777" w:rsidR="00247470" w:rsidRDefault="00247470" w:rsidP="00343E58">
            <w:pPr>
              <w:jc w:val="right"/>
              <w:rPr>
                <w:rFonts w:cstheme="minorHAnsi"/>
                <w:color w:val="000000"/>
                <w:sz w:val="20"/>
                <w:szCs w:val="20"/>
              </w:rPr>
            </w:pPr>
            <w:r>
              <w:rPr>
                <w:rFonts w:ascii="Calibri" w:hAnsi="Calibri" w:cs="Calibri"/>
                <w:color w:val="000000"/>
                <w:sz w:val="20"/>
                <w:szCs w:val="20"/>
              </w:rPr>
              <w:t>540</w:t>
            </w:r>
          </w:p>
        </w:tc>
        <w:tc>
          <w:tcPr>
            <w:tcW w:w="649" w:type="pct"/>
            <w:tcBorders>
              <w:top w:val="single" w:sz="4" w:space="0" w:color="auto"/>
              <w:left w:val="single" w:sz="4" w:space="0" w:color="auto"/>
              <w:bottom w:val="single" w:sz="4" w:space="0" w:color="auto"/>
              <w:right w:val="single" w:sz="4" w:space="0" w:color="auto"/>
            </w:tcBorders>
            <w:vAlign w:val="center"/>
            <w:hideMark/>
          </w:tcPr>
          <w:p w14:paraId="42343531" w14:textId="77777777" w:rsidR="00247470" w:rsidRDefault="00247470" w:rsidP="00343E58">
            <w:pPr>
              <w:jc w:val="right"/>
              <w:rPr>
                <w:rFonts w:cstheme="minorHAnsi"/>
                <w:color w:val="000000"/>
                <w:sz w:val="20"/>
                <w:szCs w:val="20"/>
              </w:rPr>
            </w:pPr>
            <w:r>
              <w:rPr>
                <w:rFonts w:cstheme="minorHAnsi"/>
                <w:sz w:val="20"/>
                <w:szCs w:val="20"/>
              </w:rPr>
              <w:t>552</w:t>
            </w:r>
          </w:p>
        </w:tc>
      </w:tr>
      <w:tr w:rsidR="00247470" w14:paraId="124690D7" w14:textId="77777777" w:rsidTr="00343E58">
        <w:trPr>
          <w:trHeight w:val="261"/>
        </w:trPr>
        <w:tc>
          <w:tcPr>
            <w:tcW w:w="1753" w:type="pct"/>
            <w:tcBorders>
              <w:top w:val="single" w:sz="4" w:space="0" w:color="auto"/>
              <w:left w:val="single" w:sz="4" w:space="0" w:color="auto"/>
              <w:bottom w:val="single" w:sz="4" w:space="0" w:color="auto"/>
              <w:right w:val="single" w:sz="4" w:space="0" w:color="auto"/>
            </w:tcBorders>
            <w:hideMark/>
          </w:tcPr>
          <w:p w14:paraId="7F282E8B" w14:textId="77777777" w:rsidR="00247470" w:rsidRDefault="00247470" w:rsidP="008B1672">
            <w:pPr>
              <w:keepNext/>
              <w:contextualSpacing/>
              <w:rPr>
                <w:rFonts w:cstheme="minorHAnsi"/>
                <w:b/>
                <w:sz w:val="20"/>
                <w:szCs w:val="20"/>
              </w:rPr>
            </w:pPr>
            <w:r>
              <w:rPr>
                <w:rFonts w:ascii="Calibri" w:hAnsi="Calibri" w:cs="Calibri"/>
                <w:b/>
                <w:sz w:val="20"/>
                <w:szCs w:val="20"/>
                <w:lang w:eastAsia="cs-CZ"/>
              </w:rPr>
              <w:t>Výsledek hospodaření za účetní období</w:t>
            </w:r>
          </w:p>
        </w:tc>
        <w:tc>
          <w:tcPr>
            <w:tcW w:w="649" w:type="pct"/>
            <w:tcBorders>
              <w:top w:val="single" w:sz="4" w:space="0" w:color="auto"/>
              <w:left w:val="single" w:sz="4" w:space="0" w:color="auto"/>
              <w:bottom w:val="single" w:sz="4" w:space="0" w:color="auto"/>
              <w:right w:val="single" w:sz="4" w:space="0" w:color="auto"/>
            </w:tcBorders>
            <w:vAlign w:val="center"/>
            <w:hideMark/>
          </w:tcPr>
          <w:p w14:paraId="438E8A19" w14:textId="77777777" w:rsidR="00247470" w:rsidRDefault="00247470" w:rsidP="00343E58">
            <w:pPr>
              <w:keepNext/>
              <w:contextualSpacing/>
              <w:jc w:val="right"/>
              <w:rPr>
                <w:rFonts w:cstheme="minorHAnsi"/>
                <w:b/>
                <w:sz w:val="20"/>
                <w:szCs w:val="20"/>
              </w:rPr>
            </w:pPr>
            <w:r>
              <w:rPr>
                <w:rFonts w:ascii="Calibri" w:hAnsi="Calibri" w:cs="Calibri"/>
                <w:b/>
                <w:color w:val="000000"/>
                <w:sz w:val="20"/>
                <w:szCs w:val="20"/>
              </w:rPr>
              <w:t>5 129</w:t>
            </w:r>
          </w:p>
        </w:tc>
        <w:tc>
          <w:tcPr>
            <w:tcW w:w="649" w:type="pct"/>
            <w:tcBorders>
              <w:top w:val="single" w:sz="4" w:space="0" w:color="auto"/>
              <w:left w:val="nil"/>
              <w:bottom w:val="single" w:sz="4" w:space="0" w:color="auto"/>
              <w:right w:val="single" w:sz="4" w:space="0" w:color="auto"/>
            </w:tcBorders>
            <w:vAlign w:val="center"/>
            <w:hideMark/>
          </w:tcPr>
          <w:p w14:paraId="4E54C7CF" w14:textId="77777777" w:rsidR="00247470" w:rsidRDefault="00247470" w:rsidP="00343E58">
            <w:pPr>
              <w:keepNext/>
              <w:contextualSpacing/>
              <w:jc w:val="right"/>
              <w:rPr>
                <w:rFonts w:cstheme="minorHAnsi"/>
                <w:b/>
                <w:sz w:val="20"/>
                <w:szCs w:val="20"/>
              </w:rPr>
            </w:pPr>
            <w:r>
              <w:rPr>
                <w:rFonts w:ascii="Calibri" w:hAnsi="Calibri" w:cs="Calibri"/>
                <w:b/>
                <w:color w:val="000000"/>
                <w:sz w:val="20"/>
                <w:szCs w:val="20"/>
              </w:rPr>
              <w:t>7 662</w:t>
            </w:r>
          </w:p>
        </w:tc>
        <w:tc>
          <w:tcPr>
            <w:tcW w:w="649" w:type="pct"/>
            <w:tcBorders>
              <w:top w:val="single" w:sz="4" w:space="0" w:color="auto"/>
              <w:left w:val="nil"/>
              <w:bottom w:val="single" w:sz="4" w:space="0" w:color="auto"/>
              <w:right w:val="single" w:sz="4" w:space="0" w:color="auto"/>
            </w:tcBorders>
            <w:vAlign w:val="center"/>
            <w:hideMark/>
          </w:tcPr>
          <w:p w14:paraId="25822B2A" w14:textId="77777777" w:rsidR="00247470" w:rsidRDefault="00247470" w:rsidP="00343E58">
            <w:pPr>
              <w:keepNext/>
              <w:contextualSpacing/>
              <w:jc w:val="right"/>
              <w:rPr>
                <w:rFonts w:cstheme="minorHAnsi"/>
                <w:b/>
                <w:sz w:val="20"/>
                <w:szCs w:val="20"/>
              </w:rPr>
            </w:pPr>
            <w:r>
              <w:rPr>
                <w:rFonts w:ascii="Calibri" w:hAnsi="Calibri" w:cs="Calibri"/>
                <w:b/>
                <w:color w:val="000000"/>
                <w:sz w:val="20"/>
                <w:szCs w:val="20"/>
              </w:rPr>
              <w:t>7 419</w:t>
            </w:r>
          </w:p>
        </w:tc>
        <w:tc>
          <w:tcPr>
            <w:tcW w:w="649" w:type="pct"/>
            <w:tcBorders>
              <w:top w:val="single" w:sz="4" w:space="0" w:color="auto"/>
              <w:left w:val="nil"/>
              <w:bottom w:val="single" w:sz="4" w:space="0" w:color="auto"/>
              <w:right w:val="single" w:sz="4" w:space="0" w:color="auto"/>
            </w:tcBorders>
            <w:vAlign w:val="center"/>
            <w:hideMark/>
          </w:tcPr>
          <w:p w14:paraId="0DBEB15E" w14:textId="77777777" w:rsidR="00247470" w:rsidRDefault="00247470" w:rsidP="00343E58">
            <w:pPr>
              <w:keepNext/>
              <w:contextualSpacing/>
              <w:jc w:val="right"/>
              <w:rPr>
                <w:rFonts w:cstheme="minorHAnsi"/>
                <w:b/>
                <w:sz w:val="20"/>
                <w:szCs w:val="20"/>
              </w:rPr>
            </w:pPr>
            <w:r>
              <w:rPr>
                <w:rFonts w:ascii="Calibri" w:hAnsi="Calibri" w:cs="Calibri"/>
                <w:b/>
                <w:color w:val="000000"/>
                <w:sz w:val="20"/>
                <w:szCs w:val="20"/>
              </w:rPr>
              <w:t>6 277</w:t>
            </w:r>
          </w:p>
        </w:tc>
        <w:tc>
          <w:tcPr>
            <w:tcW w:w="649" w:type="pct"/>
            <w:tcBorders>
              <w:top w:val="single" w:sz="4" w:space="0" w:color="auto"/>
              <w:left w:val="single" w:sz="4" w:space="0" w:color="auto"/>
              <w:bottom w:val="single" w:sz="4" w:space="0" w:color="auto"/>
              <w:right w:val="single" w:sz="4" w:space="0" w:color="auto"/>
            </w:tcBorders>
            <w:vAlign w:val="center"/>
            <w:hideMark/>
          </w:tcPr>
          <w:p w14:paraId="67A72515" w14:textId="77777777" w:rsidR="00247470" w:rsidRDefault="00247470" w:rsidP="00343E58">
            <w:pPr>
              <w:keepNext/>
              <w:contextualSpacing/>
              <w:jc w:val="right"/>
              <w:rPr>
                <w:rFonts w:cstheme="minorHAnsi"/>
                <w:b/>
                <w:sz w:val="20"/>
                <w:szCs w:val="20"/>
              </w:rPr>
            </w:pPr>
            <w:r>
              <w:rPr>
                <w:rFonts w:cstheme="minorHAnsi"/>
                <w:b/>
                <w:sz w:val="20"/>
                <w:szCs w:val="20"/>
              </w:rPr>
              <w:t>6 009</w:t>
            </w:r>
          </w:p>
        </w:tc>
      </w:tr>
    </w:tbl>
    <w:p w14:paraId="382F4566" w14:textId="1D35D813" w:rsidR="00247470" w:rsidRDefault="00A72E41" w:rsidP="00AC61AE">
      <w:pPr>
        <w:keepNext/>
        <w:spacing w:after="0"/>
        <w:jc w:val="both"/>
        <w:rPr>
          <w:rFonts w:cstheme="minorHAnsi"/>
          <w:sz w:val="20"/>
        </w:rPr>
      </w:pPr>
      <w:r w:rsidRPr="008B1672">
        <w:rPr>
          <w:rFonts w:cstheme="minorHAnsi"/>
          <w:b/>
          <w:bCs/>
          <w:sz w:val="20"/>
        </w:rPr>
        <w:t>Z</w:t>
      </w:r>
      <w:r w:rsidR="00247470" w:rsidRPr="008B1672">
        <w:rPr>
          <w:rFonts w:cstheme="minorHAnsi"/>
          <w:b/>
          <w:bCs/>
          <w:sz w:val="20"/>
        </w:rPr>
        <w:t>droj:</w:t>
      </w:r>
      <w:r w:rsidR="00247470">
        <w:rPr>
          <w:rFonts w:cstheme="minorHAnsi"/>
          <w:sz w:val="20"/>
        </w:rPr>
        <w:t xml:space="preserve"> výroční zprávy TZÚS za roky 2019 až 2023</w:t>
      </w:r>
      <w:r w:rsidR="00D25D61">
        <w:rPr>
          <w:rFonts w:cstheme="minorHAnsi"/>
          <w:sz w:val="20"/>
        </w:rPr>
        <w:t>.</w:t>
      </w:r>
    </w:p>
    <w:p w14:paraId="088623DD" w14:textId="77777777" w:rsidR="00247470" w:rsidRDefault="00247470" w:rsidP="00247470">
      <w:pPr>
        <w:spacing w:after="0"/>
        <w:jc w:val="both"/>
        <w:rPr>
          <w:sz w:val="24"/>
        </w:rPr>
      </w:pPr>
    </w:p>
    <w:p w14:paraId="1D1A858B" w14:textId="29B367F3" w:rsidR="00247470" w:rsidRDefault="00247470" w:rsidP="00247470">
      <w:pPr>
        <w:spacing w:after="0"/>
        <w:jc w:val="both"/>
        <w:rPr>
          <w:sz w:val="24"/>
        </w:rPr>
      </w:pPr>
      <w:r>
        <w:rPr>
          <w:sz w:val="24"/>
        </w:rPr>
        <w:t xml:space="preserve">Celkové výnosy v kontrolovaném období let 2019 až 2023 rostly. </w:t>
      </w:r>
      <w:r w:rsidR="00F72A25">
        <w:rPr>
          <w:sz w:val="24"/>
        </w:rPr>
        <w:t>P</w:t>
      </w:r>
      <w:r>
        <w:rPr>
          <w:sz w:val="24"/>
        </w:rPr>
        <w:t>oskytování služeb v</w:t>
      </w:r>
      <w:r w:rsidR="003D09C2">
        <w:rPr>
          <w:sz w:val="24"/>
        </w:rPr>
        <w:t xml:space="preserve"> </w:t>
      </w:r>
      <w:r>
        <w:rPr>
          <w:sz w:val="24"/>
        </w:rPr>
        <w:t>oblasti zkušebnictví a</w:t>
      </w:r>
      <w:r w:rsidR="00417A75">
        <w:rPr>
          <w:sz w:val="24"/>
        </w:rPr>
        <w:t xml:space="preserve"> </w:t>
      </w:r>
      <w:r>
        <w:rPr>
          <w:sz w:val="24"/>
        </w:rPr>
        <w:t>souvisejících oborech</w:t>
      </w:r>
      <w:r w:rsidR="00F72A25" w:rsidRPr="00F72A25">
        <w:rPr>
          <w:sz w:val="24"/>
        </w:rPr>
        <w:t xml:space="preserve"> </w:t>
      </w:r>
      <w:r w:rsidR="00F72A25">
        <w:rPr>
          <w:sz w:val="24"/>
        </w:rPr>
        <w:t>tvořilo 90,5 % výnosů TZÚS</w:t>
      </w:r>
      <w:r>
        <w:rPr>
          <w:sz w:val="24"/>
        </w:rPr>
        <w:t xml:space="preserve">. Ostatní část výnosů je tvořena </w:t>
      </w:r>
      <w:r w:rsidR="003D09C2">
        <w:rPr>
          <w:sz w:val="24"/>
        </w:rPr>
        <w:t xml:space="preserve">zejména </w:t>
      </w:r>
      <w:r>
        <w:rPr>
          <w:sz w:val="24"/>
        </w:rPr>
        <w:t xml:space="preserve">pronájmem kanceláří a pozemků </w:t>
      </w:r>
      <w:r w:rsidR="003D09C2">
        <w:rPr>
          <w:sz w:val="24"/>
        </w:rPr>
        <w:t xml:space="preserve">a </w:t>
      </w:r>
      <w:r>
        <w:rPr>
          <w:sz w:val="24"/>
        </w:rPr>
        <w:t>krátkodobým pronájmem letištní plochy. Další výnosy plynou z</w:t>
      </w:r>
      <w:r w:rsidR="003D09C2">
        <w:rPr>
          <w:sz w:val="24"/>
        </w:rPr>
        <w:t xml:space="preserve"> </w:t>
      </w:r>
      <w:r>
        <w:rPr>
          <w:sz w:val="24"/>
        </w:rPr>
        <w:t xml:space="preserve">prodeje zboží, kdy TZÚS je výhradním zástupcem švýcarského výrobce techniky v oblasti metrologie a nedestruktivního zkušebnictví </w:t>
      </w:r>
      <w:proofErr w:type="spellStart"/>
      <w:r>
        <w:rPr>
          <w:sz w:val="24"/>
        </w:rPr>
        <w:t>Proseq</w:t>
      </w:r>
      <w:proofErr w:type="spellEnd"/>
      <w:r>
        <w:rPr>
          <w:sz w:val="24"/>
        </w:rPr>
        <w:t xml:space="preserve"> AG</w:t>
      </w:r>
      <w:r w:rsidR="003D09C2">
        <w:rPr>
          <w:sz w:val="24"/>
        </w:rPr>
        <w:t>;</w:t>
      </w:r>
      <w:r>
        <w:rPr>
          <w:sz w:val="24"/>
        </w:rPr>
        <w:t xml:space="preserve"> v průběhu let 2019 až 2023 se </w:t>
      </w:r>
      <w:r w:rsidR="003D09C2">
        <w:rPr>
          <w:sz w:val="24"/>
        </w:rPr>
        <w:t xml:space="preserve">také </w:t>
      </w:r>
      <w:r>
        <w:rPr>
          <w:sz w:val="24"/>
        </w:rPr>
        <w:t>zvyšovala vyplácená dividenda z dceřiných společností.</w:t>
      </w:r>
    </w:p>
    <w:p w14:paraId="1D81D813" w14:textId="77777777" w:rsidR="00247470" w:rsidRDefault="00247470" w:rsidP="00247470">
      <w:pPr>
        <w:spacing w:after="0"/>
        <w:jc w:val="both"/>
        <w:rPr>
          <w:sz w:val="24"/>
        </w:rPr>
      </w:pPr>
    </w:p>
    <w:p w14:paraId="194B1BAF" w14:textId="53CDFC66" w:rsidR="00247470" w:rsidRDefault="00247470" w:rsidP="00247470">
      <w:pPr>
        <w:spacing w:after="0"/>
        <w:jc w:val="both"/>
        <w:rPr>
          <w:sz w:val="24"/>
        </w:rPr>
      </w:pPr>
      <w:r>
        <w:rPr>
          <w:sz w:val="24"/>
        </w:rPr>
        <w:t>Celkové náklady v kontrolovaném období let 2019 až 2023 rostly, když mezi nejvyšší nákladové položky patří osobní náklady, náklady na energie a služby. Růst nákladů na služby je spojen zejména s</w:t>
      </w:r>
      <w:r w:rsidR="00F20E6C">
        <w:rPr>
          <w:sz w:val="24"/>
        </w:rPr>
        <w:t> vyšším objemem poskytovaných služeb, ze kterých má TZÚS vyšší celkov</w:t>
      </w:r>
      <w:r w:rsidR="00A72E41">
        <w:rPr>
          <w:sz w:val="24"/>
        </w:rPr>
        <w:t>é</w:t>
      </w:r>
      <w:r w:rsidR="00F20E6C">
        <w:rPr>
          <w:sz w:val="24"/>
        </w:rPr>
        <w:t xml:space="preserve"> výnosy.</w:t>
      </w:r>
      <w:r>
        <w:rPr>
          <w:sz w:val="24"/>
        </w:rPr>
        <w:t xml:space="preserve"> Jedná se o tzv. kooperace (subdodávky) při plnění jednotlivých zakázek, různé akreditační poplatky a obdobné služby. Růst nákladů na energie je spojen s</w:t>
      </w:r>
      <w:r w:rsidR="00385988">
        <w:rPr>
          <w:sz w:val="24"/>
        </w:rPr>
        <w:t xml:space="preserve"> </w:t>
      </w:r>
      <w:r>
        <w:rPr>
          <w:sz w:val="24"/>
        </w:rPr>
        <w:t>celospolečenskou a</w:t>
      </w:r>
      <w:r w:rsidR="00385988">
        <w:rPr>
          <w:sz w:val="24"/>
        </w:rPr>
        <w:t> </w:t>
      </w:r>
      <w:r>
        <w:rPr>
          <w:sz w:val="24"/>
        </w:rPr>
        <w:t xml:space="preserve">hospodářskou situací v kontrolovaném období. V rámci kontroly nákladů prověřil </w:t>
      </w:r>
      <w:r w:rsidR="003D09C2">
        <w:rPr>
          <w:sz w:val="24"/>
        </w:rPr>
        <w:t xml:space="preserve">NKÚ </w:t>
      </w:r>
      <w:r>
        <w:rPr>
          <w:sz w:val="24"/>
        </w:rPr>
        <w:t>také nakládání s pohledávkami TZÚS</w:t>
      </w:r>
      <w:r w:rsidR="00417A75">
        <w:rPr>
          <w:sz w:val="24"/>
        </w:rPr>
        <w:t>,</w:t>
      </w:r>
      <w:r>
        <w:rPr>
          <w:sz w:val="24"/>
        </w:rPr>
        <w:t xml:space="preserve"> které nejsou s</w:t>
      </w:r>
      <w:r w:rsidR="00385988">
        <w:rPr>
          <w:sz w:val="24"/>
        </w:rPr>
        <w:t xml:space="preserve"> </w:t>
      </w:r>
      <w:r>
        <w:rPr>
          <w:sz w:val="24"/>
        </w:rPr>
        <w:t>ohledem na roční objem tržeb významného rozsahu a TZÚS je aktivně vymáhá.</w:t>
      </w:r>
    </w:p>
    <w:p w14:paraId="7171C6B0" w14:textId="77777777" w:rsidR="00247470" w:rsidRDefault="00247470" w:rsidP="00247470">
      <w:pPr>
        <w:spacing w:after="0"/>
        <w:jc w:val="both"/>
        <w:rPr>
          <w:sz w:val="24"/>
        </w:rPr>
      </w:pPr>
    </w:p>
    <w:p w14:paraId="2940CDE2" w14:textId="77777777" w:rsidR="007B64C5" w:rsidRPr="005E1EA8" w:rsidRDefault="005E1EA8" w:rsidP="00BA1F29">
      <w:pPr>
        <w:spacing w:after="0" w:line="240" w:lineRule="auto"/>
        <w:ind w:left="567" w:hanging="567"/>
        <w:jc w:val="both"/>
        <w:rPr>
          <w:b/>
          <w:sz w:val="24"/>
          <w:szCs w:val="24"/>
        </w:rPr>
      </w:pPr>
      <w:r w:rsidRPr="005E1EA8">
        <w:rPr>
          <w:b/>
          <w:sz w:val="24"/>
          <w:szCs w:val="24"/>
        </w:rPr>
        <w:t>Seznam zkratek</w:t>
      </w:r>
    </w:p>
    <w:p w14:paraId="3627191D" w14:textId="77777777" w:rsidR="007B64C5" w:rsidRPr="005E1EA8" w:rsidRDefault="007B64C5" w:rsidP="00BA1F29">
      <w:pPr>
        <w:spacing w:after="0" w:line="240" w:lineRule="auto"/>
        <w:ind w:left="567" w:hanging="567"/>
        <w:jc w:val="both"/>
        <w:rPr>
          <w:sz w:val="24"/>
          <w:szCs w:val="24"/>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tblGrid>
      <w:tr w:rsidR="005E1EA8" w:rsidRPr="005E1EA8" w14:paraId="0D04D7D5" w14:textId="77777777" w:rsidTr="005E1EA8">
        <w:tc>
          <w:tcPr>
            <w:tcW w:w="1838" w:type="dxa"/>
          </w:tcPr>
          <w:p w14:paraId="14FB485A" w14:textId="77777777" w:rsidR="005E1EA8" w:rsidRPr="005E1EA8" w:rsidRDefault="005E1EA8" w:rsidP="00AC285B">
            <w:pPr>
              <w:rPr>
                <w:sz w:val="24"/>
              </w:rPr>
            </w:pPr>
            <w:r w:rsidRPr="005E1EA8">
              <w:rPr>
                <w:sz w:val="24"/>
              </w:rPr>
              <w:t>EZÚ</w:t>
            </w:r>
          </w:p>
        </w:tc>
        <w:tc>
          <w:tcPr>
            <w:tcW w:w="6804" w:type="dxa"/>
          </w:tcPr>
          <w:p w14:paraId="07135DDF" w14:textId="5BA5182F" w:rsidR="005E1EA8" w:rsidRPr="005E1EA8" w:rsidRDefault="005E1EA8" w:rsidP="00AC285B">
            <w:pPr>
              <w:rPr>
                <w:sz w:val="24"/>
              </w:rPr>
            </w:pPr>
            <w:r w:rsidRPr="005E1EA8">
              <w:rPr>
                <w:sz w:val="24"/>
              </w:rPr>
              <w:t>Elektrotechnický zkušební ústav, s.</w:t>
            </w:r>
            <w:r w:rsidR="00A72E41">
              <w:rPr>
                <w:sz w:val="24"/>
              </w:rPr>
              <w:t xml:space="preserve"> </w:t>
            </w:r>
            <w:r w:rsidRPr="005E1EA8">
              <w:rPr>
                <w:sz w:val="24"/>
              </w:rPr>
              <w:t>p.</w:t>
            </w:r>
          </w:p>
        </w:tc>
      </w:tr>
      <w:tr w:rsidR="005E1EA8" w:rsidRPr="005E1EA8" w14:paraId="62D8EEA9" w14:textId="77777777" w:rsidTr="005E1EA8">
        <w:tc>
          <w:tcPr>
            <w:tcW w:w="1838" w:type="dxa"/>
          </w:tcPr>
          <w:p w14:paraId="0DD8B31D" w14:textId="77777777" w:rsidR="005E1EA8" w:rsidRPr="005E1EA8" w:rsidRDefault="005E1EA8" w:rsidP="00AC285B">
            <w:pPr>
              <w:rPr>
                <w:sz w:val="24"/>
              </w:rPr>
            </w:pPr>
            <w:r w:rsidRPr="005E1EA8">
              <w:rPr>
                <w:sz w:val="24"/>
              </w:rPr>
              <w:t>MPO</w:t>
            </w:r>
          </w:p>
        </w:tc>
        <w:tc>
          <w:tcPr>
            <w:tcW w:w="6804" w:type="dxa"/>
          </w:tcPr>
          <w:p w14:paraId="4D5C23DF" w14:textId="77777777" w:rsidR="005E1EA8" w:rsidRPr="005E1EA8" w:rsidRDefault="005E1EA8" w:rsidP="00AC285B">
            <w:pPr>
              <w:rPr>
                <w:sz w:val="24"/>
              </w:rPr>
            </w:pPr>
            <w:r w:rsidRPr="005E1EA8">
              <w:rPr>
                <w:sz w:val="24"/>
              </w:rPr>
              <w:t>Ministerstvo průmyslu a obchodu</w:t>
            </w:r>
          </w:p>
        </w:tc>
      </w:tr>
      <w:tr w:rsidR="00385988" w:rsidRPr="005E1EA8" w14:paraId="4079A62C" w14:textId="77777777" w:rsidTr="005E1EA8">
        <w:tc>
          <w:tcPr>
            <w:tcW w:w="1838" w:type="dxa"/>
          </w:tcPr>
          <w:p w14:paraId="36CB313B" w14:textId="6E81D35C" w:rsidR="00385988" w:rsidRPr="005E1EA8" w:rsidRDefault="00385988" w:rsidP="00AC285B">
            <w:pPr>
              <w:rPr>
                <w:sz w:val="24"/>
              </w:rPr>
            </w:pPr>
            <w:r>
              <w:rPr>
                <w:sz w:val="24"/>
              </w:rPr>
              <w:t>NKÚ</w:t>
            </w:r>
          </w:p>
        </w:tc>
        <w:tc>
          <w:tcPr>
            <w:tcW w:w="6804" w:type="dxa"/>
          </w:tcPr>
          <w:p w14:paraId="2C2C7462" w14:textId="1F9B22D5" w:rsidR="00385988" w:rsidRPr="005E1EA8" w:rsidRDefault="00385988" w:rsidP="00AC285B">
            <w:pPr>
              <w:rPr>
                <w:sz w:val="24"/>
              </w:rPr>
            </w:pPr>
            <w:r>
              <w:rPr>
                <w:sz w:val="24"/>
              </w:rPr>
              <w:t>Nejvyšší kontrolní úřad</w:t>
            </w:r>
          </w:p>
        </w:tc>
      </w:tr>
      <w:tr w:rsidR="005E1EA8" w:rsidRPr="005E1EA8" w14:paraId="5163532C" w14:textId="77777777" w:rsidTr="005E1EA8">
        <w:tc>
          <w:tcPr>
            <w:tcW w:w="1838" w:type="dxa"/>
          </w:tcPr>
          <w:p w14:paraId="3748C2A1" w14:textId="77777777" w:rsidR="005E1EA8" w:rsidRPr="005E1EA8" w:rsidRDefault="005E1EA8" w:rsidP="00AC285B">
            <w:pPr>
              <w:rPr>
                <w:sz w:val="24"/>
              </w:rPr>
            </w:pPr>
            <w:r w:rsidRPr="005E1EA8">
              <w:rPr>
                <w:sz w:val="24"/>
              </w:rPr>
              <w:t>TZÚS</w:t>
            </w:r>
          </w:p>
        </w:tc>
        <w:tc>
          <w:tcPr>
            <w:tcW w:w="6804" w:type="dxa"/>
          </w:tcPr>
          <w:p w14:paraId="7D5F7047" w14:textId="0FCA3591" w:rsidR="005E1EA8" w:rsidRPr="005E1EA8" w:rsidRDefault="005E1EA8" w:rsidP="00AC285B">
            <w:pPr>
              <w:rPr>
                <w:sz w:val="24"/>
              </w:rPr>
            </w:pPr>
            <w:r w:rsidRPr="005E1EA8">
              <w:rPr>
                <w:sz w:val="24"/>
              </w:rPr>
              <w:t xml:space="preserve">Technický a zkušební ústav stavební Praha, </w:t>
            </w:r>
            <w:proofErr w:type="spellStart"/>
            <w:r w:rsidRPr="005E1EA8">
              <w:rPr>
                <w:sz w:val="24"/>
              </w:rPr>
              <w:t>s.p</w:t>
            </w:r>
            <w:proofErr w:type="spellEnd"/>
            <w:r w:rsidRPr="005E1EA8">
              <w:rPr>
                <w:sz w:val="24"/>
              </w:rPr>
              <w:t>.</w:t>
            </w:r>
          </w:p>
        </w:tc>
      </w:tr>
      <w:tr w:rsidR="005E1EA8" w:rsidRPr="005E1EA8" w14:paraId="4EA29457" w14:textId="77777777" w:rsidTr="005E1EA8">
        <w:tc>
          <w:tcPr>
            <w:tcW w:w="1838" w:type="dxa"/>
          </w:tcPr>
          <w:p w14:paraId="27AE39E6" w14:textId="77777777" w:rsidR="005E1EA8" w:rsidRPr="005E1EA8" w:rsidRDefault="005E1EA8" w:rsidP="00AC285B">
            <w:pPr>
              <w:rPr>
                <w:sz w:val="24"/>
              </w:rPr>
            </w:pPr>
            <w:r w:rsidRPr="005E1EA8">
              <w:rPr>
                <w:sz w:val="24"/>
              </w:rPr>
              <w:t>ZSP</w:t>
            </w:r>
          </w:p>
        </w:tc>
        <w:tc>
          <w:tcPr>
            <w:tcW w:w="6804" w:type="dxa"/>
          </w:tcPr>
          <w:p w14:paraId="61EFFBFA" w14:textId="2C1B19D0" w:rsidR="005E1EA8" w:rsidRPr="005E1EA8" w:rsidRDefault="005E1EA8" w:rsidP="00AC285B">
            <w:pPr>
              <w:rPr>
                <w:sz w:val="24"/>
              </w:rPr>
            </w:pPr>
            <w:r w:rsidRPr="005E1EA8">
              <w:rPr>
                <w:sz w:val="24"/>
              </w:rPr>
              <w:t>zákon č. 77/1997 Sb.</w:t>
            </w:r>
            <w:r w:rsidR="00756EC8">
              <w:rPr>
                <w:sz w:val="24"/>
              </w:rPr>
              <w:t>,</w:t>
            </w:r>
            <w:r w:rsidRPr="005E1EA8">
              <w:rPr>
                <w:sz w:val="24"/>
              </w:rPr>
              <w:t xml:space="preserve"> o státním podniku</w:t>
            </w:r>
          </w:p>
        </w:tc>
      </w:tr>
    </w:tbl>
    <w:p w14:paraId="34A26969" w14:textId="77777777" w:rsidR="007B64C5" w:rsidRPr="00BC4E43" w:rsidRDefault="007B64C5" w:rsidP="00BC4E43">
      <w:pPr>
        <w:keepNext/>
        <w:spacing w:before="240" w:after="0" w:line="240" w:lineRule="auto"/>
        <w:ind w:left="567" w:hanging="567"/>
        <w:rPr>
          <w:b/>
          <w:bCs/>
          <w:sz w:val="24"/>
          <w:szCs w:val="20"/>
        </w:rPr>
      </w:pPr>
      <w:r w:rsidRPr="00BC4E43">
        <w:rPr>
          <w:b/>
          <w:bCs/>
          <w:sz w:val="24"/>
          <w:szCs w:val="20"/>
        </w:rPr>
        <w:lastRenderedPageBreak/>
        <w:t>Příloha č. 1: Vybrané údaje ze zakládacích listin EZÚ a TZÚS</w:t>
      </w:r>
    </w:p>
    <w:p w14:paraId="55B2B1C4" w14:textId="77777777" w:rsidR="007B64C5" w:rsidRDefault="007B64C5" w:rsidP="00BA1F29">
      <w:pPr>
        <w:spacing w:after="0" w:line="240" w:lineRule="auto"/>
        <w:ind w:left="567" w:hanging="567"/>
        <w:jc w:val="both"/>
        <w:rPr>
          <w:sz w:val="24"/>
          <w:szCs w:val="20"/>
        </w:rPr>
      </w:pPr>
    </w:p>
    <w:p w14:paraId="435A9720" w14:textId="5B75C089" w:rsidR="007B64C5" w:rsidRPr="00286DFA" w:rsidRDefault="007B64C5" w:rsidP="00182081">
      <w:pPr>
        <w:tabs>
          <w:tab w:val="right" w:pos="9072"/>
        </w:tabs>
        <w:spacing w:after="0"/>
        <w:rPr>
          <w:rFonts w:cstheme="minorHAnsi"/>
          <w:b/>
          <w:sz w:val="24"/>
        </w:rPr>
      </w:pPr>
      <w:r w:rsidRPr="00286DFA">
        <w:rPr>
          <w:rFonts w:cstheme="minorHAnsi"/>
          <w:b/>
          <w:sz w:val="24"/>
        </w:rPr>
        <w:t>Tab</w:t>
      </w:r>
      <w:r w:rsidR="00B1629D">
        <w:rPr>
          <w:rFonts w:cstheme="minorHAnsi"/>
          <w:b/>
          <w:sz w:val="24"/>
        </w:rPr>
        <w:t>ulka</w:t>
      </w:r>
      <w:r w:rsidRPr="00286DFA">
        <w:rPr>
          <w:rFonts w:cstheme="minorHAnsi"/>
          <w:b/>
          <w:sz w:val="24"/>
        </w:rPr>
        <w:t xml:space="preserve"> č. </w:t>
      </w:r>
      <w:r w:rsidR="005E1EA8" w:rsidRPr="00286DFA">
        <w:rPr>
          <w:rFonts w:cstheme="minorHAnsi"/>
          <w:b/>
          <w:sz w:val="24"/>
        </w:rPr>
        <w:t>1</w:t>
      </w:r>
      <w:r w:rsidRPr="00286DFA">
        <w:rPr>
          <w:rFonts w:cstheme="minorHAnsi"/>
          <w:b/>
          <w:sz w:val="24"/>
        </w:rPr>
        <w:t xml:space="preserve">: Údaje ze zakládací listiny EZÚ </w:t>
      </w:r>
      <w:r w:rsidR="00286DFA">
        <w:rPr>
          <w:rFonts w:cstheme="minorHAnsi"/>
          <w:b/>
          <w:sz w:val="24"/>
        </w:rPr>
        <w:tab/>
      </w:r>
      <w:r w:rsidRPr="00286DFA">
        <w:rPr>
          <w:rFonts w:cstheme="minorHAnsi"/>
          <w:b/>
          <w:sz w:val="24"/>
        </w:rPr>
        <w:t>(v tis. Kč)</w:t>
      </w:r>
    </w:p>
    <w:tbl>
      <w:tblPr>
        <w:tblW w:w="5032" w:type="pct"/>
        <w:tblLayout w:type="fixed"/>
        <w:tblCellMar>
          <w:left w:w="70" w:type="dxa"/>
          <w:right w:w="70" w:type="dxa"/>
        </w:tblCellMar>
        <w:tblLook w:val="04A0" w:firstRow="1" w:lastRow="0" w:firstColumn="1" w:lastColumn="0" w:noHBand="0" w:noVBand="1"/>
      </w:tblPr>
      <w:tblGrid>
        <w:gridCol w:w="3396"/>
        <w:gridCol w:w="2833"/>
        <w:gridCol w:w="2891"/>
      </w:tblGrid>
      <w:tr w:rsidR="007B64C5" w14:paraId="3F49FACF" w14:textId="77777777" w:rsidTr="00BC4E43">
        <w:trPr>
          <w:trHeight w:val="300"/>
        </w:trPr>
        <w:tc>
          <w:tcPr>
            <w:tcW w:w="1862"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0564882F" w14:textId="77777777" w:rsidR="007B64C5" w:rsidRPr="008A262B" w:rsidRDefault="007B64C5" w:rsidP="00BC4E43">
            <w:pPr>
              <w:pStyle w:val="Odstavecseseznamem"/>
              <w:keepNext/>
              <w:ind w:left="0"/>
              <w:jc w:val="center"/>
              <w:rPr>
                <w:rFonts w:cstheme="minorHAnsi"/>
                <w:b/>
                <w:sz w:val="20"/>
                <w:szCs w:val="20"/>
              </w:rPr>
            </w:pPr>
            <w:r>
              <w:rPr>
                <w:rFonts w:cstheme="minorHAnsi"/>
                <w:b/>
                <w:sz w:val="20"/>
                <w:szCs w:val="20"/>
              </w:rPr>
              <w:t>P</w:t>
            </w:r>
            <w:r w:rsidRPr="008A262B">
              <w:rPr>
                <w:rFonts w:cstheme="minorHAnsi"/>
                <w:b/>
                <w:sz w:val="20"/>
                <w:szCs w:val="20"/>
              </w:rPr>
              <w:t>oložka zakládací listiny</w:t>
            </w:r>
          </w:p>
        </w:tc>
        <w:tc>
          <w:tcPr>
            <w:tcW w:w="1553" w:type="pct"/>
            <w:tcBorders>
              <w:top w:val="single" w:sz="4" w:space="0" w:color="auto"/>
              <w:left w:val="nil"/>
              <w:bottom w:val="single" w:sz="4" w:space="0" w:color="auto"/>
              <w:right w:val="single" w:sz="4" w:space="0" w:color="auto"/>
            </w:tcBorders>
            <w:shd w:val="clear" w:color="auto" w:fill="E6E6E6"/>
            <w:noWrap/>
            <w:vAlign w:val="center"/>
          </w:tcPr>
          <w:p w14:paraId="7CC93994" w14:textId="77777777" w:rsidR="007B64C5" w:rsidRPr="008A262B" w:rsidRDefault="007B64C5" w:rsidP="000B28F1">
            <w:pPr>
              <w:pStyle w:val="Odstavecseseznamem"/>
              <w:keepNext/>
              <w:ind w:left="0"/>
              <w:jc w:val="center"/>
              <w:rPr>
                <w:rFonts w:cstheme="minorHAnsi"/>
                <w:b/>
                <w:sz w:val="20"/>
                <w:szCs w:val="20"/>
              </w:rPr>
            </w:pPr>
            <w:r w:rsidRPr="008A262B">
              <w:rPr>
                <w:rFonts w:cstheme="minorHAnsi"/>
                <w:b/>
                <w:sz w:val="20"/>
                <w:szCs w:val="20"/>
              </w:rPr>
              <w:t>Zakládací listina vydaná rozhodnutím ministryně průmyslu a obchodu č. 3/2018</w:t>
            </w:r>
            <w:r>
              <w:rPr>
                <w:rFonts w:cstheme="minorHAnsi"/>
                <w:b/>
                <w:sz w:val="20"/>
                <w:szCs w:val="20"/>
              </w:rPr>
              <w:t xml:space="preserve"> ze dne 30. listopadu 2018</w:t>
            </w:r>
          </w:p>
        </w:tc>
        <w:tc>
          <w:tcPr>
            <w:tcW w:w="1585" w:type="pct"/>
            <w:tcBorders>
              <w:top w:val="single" w:sz="4" w:space="0" w:color="auto"/>
              <w:left w:val="nil"/>
              <w:bottom w:val="single" w:sz="4" w:space="0" w:color="auto"/>
              <w:right w:val="single" w:sz="4" w:space="0" w:color="auto"/>
            </w:tcBorders>
            <w:shd w:val="clear" w:color="auto" w:fill="E6E6E6"/>
            <w:noWrap/>
            <w:vAlign w:val="center"/>
          </w:tcPr>
          <w:p w14:paraId="4EB2E00C" w14:textId="49E4217A" w:rsidR="007B64C5" w:rsidRPr="008A262B" w:rsidRDefault="007B64C5" w:rsidP="000B28F1">
            <w:pPr>
              <w:pStyle w:val="Odstavecseseznamem"/>
              <w:keepNext/>
              <w:ind w:left="0"/>
              <w:jc w:val="center"/>
              <w:rPr>
                <w:rFonts w:cstheme="minorHAnsi"/>
                <w:b/>
                <w:sz w:val="20"/>
                <w:szCs w:val="20"/>
              </w:rPr>
            </w:pPr>
            <w:r w:rsidRPr="008A262B">
              <w:rPr>
                <w:rFonts w:cstheme="minorHAnsi"/>
                <w:b/>
                <w:sz w:val="20"/>
                <w:szCs w:val="20"/>
              </w:rPr>
              <w:t>Zakládací listina vydaná rozhodnutím ministra průmyslu a obchodu č.</w:t>
            </w:r>
            <w:r w:rsidR="00A72E41">
              <w:rPr>
                <w:rFonts w:cstheme="minorHAnsi"/>
                <w:b/>
                <w:sz w:val="20"/>
                <w:szCs w:val="20"/>
              </w:rPr>
              <w:t> </w:t>
            </w:r>
            <w:r w:rsidRPr="008A262B">
              <w:rPr>
                <w:rFonts w:cstheme="minorHAnsi"/>
                <w:b/>
                <w:sz w:val="20"/>
                <w:szCs w:val="20"/>
              </w:rPr>
              <w:t xml:space="preserve">33/2023 </w:t>
            </w:r>
            <w:r w:rsidR="00A72E41">
              <w:rPr>
                <w:rFonts w:cstheme="minorHAnsi"/>
                <w:b/>
                <w:sz w:val="20"/>
                <w:szCs w:val="20"/>
              </w:rPr>
              <w:t xml:space="preserve">ze </w:t>
            </w:r>
            <w:r w:rsidRPr="008A262B">
              <w:rPr>
                <w:rFonts w:cstheme="minorHAnsi"/>
                <w:b/>
                <w:sz w:val="20"/>
                <w:szCs w:val="20"/>
              </w:rPr>
              <w:t>dne 22.</w:t>
            </w:r>
            <w:r>
              <w:rPr>
                <w:rFonts w:cstheme="minorHAnsi"/>
                <w:b/>
                <w:sz w:val="20"/>
                <w:szCs w:val="20"/>
              </w:rPr>
              <w:t> </w:t>
            </w:r>
            <w:r w:rsidRPr="008A262B">
              <w:rPr>
                <w:rFonts w:cstheme="minorHAnsi"/>
                <w:b/>
                <w:sz w:val="20"/>
                <w:szCs w:val="20"/>
              </w:rPr>
              <w:t>srpna 2023</w:t>
            </w:r>
          </w:p>
        </w:tc>
      </w:tr>
      <w:tr w:rsidR="007B64C5" w14:paraId="4CA2033F"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14:paraId="1427B7DC" w14:textId="77777777" w:rsidR="007B64C5" w:rsidRPr="009B320F" w:rsidRDefault="007B64C5" w:rsidP="009D2144">
            <w:pPr>
              <w:spacing w:after="0"/>
              <w:rPr>
                <w:rFonts w:ascii="Calibri" w:hAnsi="Calibri" w:cs="Calibri"/>
                <w:sz w:val="20"/>
              </w:rPr>
            </w:pPr>
            <w:r w:rsidRPr="009B320F">
              <w:rPr>
                <w:rFonts w:ascii="Calibri" w:hAnsi="Calibri" w:cs="Calibri"/>
                <w:sz w:val="20"/>
              </w:rPr>
              <w:t>Kmenové jmění</w:t>
            </w:r>
          </w:p>
        </w:tc>
        <w:tc>
          <w:tcPr>
            <w:tcW w:w="1553" w:type="pct"/>
            <w:tcBorders>
              <w:top w:val="nil"/>
              <w:left w:val="nil"/>
              <w:bottom w:val="single" w:sz="4" w:space="0" w:color="auto"/>
              <w:right w:val="single" w:sz="4" w:space="0" w:color="auto"/>
            </w:tcBorders>
            <w:shd w:val="clear" w:color="auto" w:fill="auto"/>
            <w:noWrap/>
            <w:vAlign w:val="bottom"/>
          </w:tcPr>
          <w:p w14:paraId="52C53289"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95 477</w:t>
            </w:r>
          </w:p>
        </w:tc>
        <w:tc>
          <w:tcPr>
            <w:tcW w:w="1585" w:type="pct"/>
            <w:tcBorders>
              <w:top w:val="nil"/>
              <w:left w:val="nil"/>
              <w:bottom w:val="single" w:sz="4" w:space="0" w:color="auto"/>
              <w:right w:val="single" w:sz="4" w:space="0" w:color="auto"/>
            </w:tcBorders>
            <w:shd w:val="clear" w:color="auto" w:fill="auto"/>
            <w:noWrap/>
            <w:vAlign w:val="bottom"/>
          </w:tcPr>
          <w:p w14:paraId="723093C6"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95 477</w:t>
            </w:r>
          </w:p>
        </w:tc>
      </w:tr>
      <w:tr w:rsidR="007B64C5" w14:paraId="11B8512D"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14:paraId="7E636C83" w14:textId="77777777" w:rsidR="007B64C5" w:rsidRPr="009B320F" w:rsidRDefault="007B64C5" w:rsidP="009D2144">
            <w:pPr>
              <w:spacing w:after="0"/>
              <w:rPr>
                <w:rFonts w:ascii="Calibri" w:hAnsi="Calibri" w:cs="Calibri"/>
                <w:sz w:val="20"/>
              </w:rPr>
            </w:pPr>
            <w:r w:rsidRPr="009B320F">
              <w:rPr>
                <w:rFonts w:ascii="Calibri" w:hAnsi="Calibri" w:cs="Calibri"/>
                <w:sz w:val="20"/>
              </w:rPr>
              <w:t>Minimální výše kmenového jmění</w:t>
            </w:r>
          </w:p>
        </w:tc>
        <w:tc>
          <w:tcPr>
            <w:tcW w:w="1553" w:type="pct"/>
            <w:tcBorders>
              <w:top w:val="nil"/>
              <w:left w:val="nil"/>
              <w:bottom w:val="single" w:sz="4" w:space="0" w:color="auto"/>
              <w:right w:val="single" w:sz="4" w:space="0" w:color="auto"/>
            </w:tcBorders>
            <w:shd w:val="clear" w:color="auto" w:fill="auto"/>
            <w:noWrap/>
            <w:vAlign w:val="bottom"/>
          </w:tcPr>
          <w:p w14:paraId="4746DB9E"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66 366</w:t>
            </w:r>
          </w:p>
        </w:tc>
        <w:tc>
          <w:tcPr>
            <w:tcW w:w="1585" w:type="pct"/>
            <w:tcBorders>
              <w:top w:val="nil"/>
              <w:left w:val="nil"/>
              <w:bottom w:val="single" w:sz="4" w:space="0" w:color="auto"/>
              <w:right w:val="single" w:sz="4" w:space="0" w:color="auto"/>
            </w:tcBorders>
            <w:shd w:val="clear" w:color="auto" w:fill="auto"/>
            <w:noWrap/>
            <w:vAlign w:val="bottom"/>
          </w:tcPr>
          <w:p w14:paraId="04642A52"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66 366</w:t>
            </w:r>
          </w:p>
        </w:tc>
      </w:tr>
      <w:tr w:rsidR="007B64C5" w14:paraId="53DD6267"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14:paraId="670EE677" w14:textId="77777777" w:rsidR="007B64C5" w:rsidRPr="009B320F" w:rsidRDefault="007B64C5" w:rsidP="009D2144">
            <w:pPr>
              <w:spacing w:after="0"/>
              <w:rPr>
                <w:rFonts w:ascii="Calibri" w:hAnsi="Calibri" w:cs="Calibri"/>
                <w:sz w:val="20"/>
              </w:rPr>
            </w:pPr>
            <w:r w:rsidRPr="009B320F">
              <w:rPr>
                <w:rFonts w:ascii="Calibri" w:hAnsi="Calibri" w:cs="Calibri"/>
                <w:sz w:val="20"/>
              </w:rPr>
              <w:t>Rezervní fond</w:t>
            </w:r>
          </w:p>
        </w:tc>
        <w:tc>
          <w:tcPr>
            <w:tcW w:w="1553" w:type="pct"/>
            <w:tcBorders>
              <w:top w:val="nil"/>
              <w:left w:val="nil"/>
              <w:bottom w:val="single" w:sz="4" w:space="0" w:color="auto"/>
              <w:right w:val="single" w:sz="4" w:space="0" w:color="auto"/>
            </w:tcBorders>
            <w:shd w:val="clear" w:color="auto" w:fill="auto"/>
            <w:noWrap/>
            <w:vAlign w:val="bottom"/>
          </w:tcPr>
          <w:p w14:paraId="41AC4922"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14 392</w:t>
            </w:r>
          </w:p>
        </w:tc>
        <w:tc>
          <w:tcPr>
            <w:tcW w:w="1585" w:type="pct"/>
            <w:tcBorders>
              <w:top w:val="nil"/>
              <w:left w:val="nil"/>
              <w:bottom w:val="single" w:sz="4" w:space="0" w:color="auto"/>
              <w:right w:val="single" w:sz="4" w:space="0" w:color="auto"/>
            </w:tcBorders>
            <w:shd w:val="clear" w:color="auto" w:fill="auto"/>
            <w:noWrap/>
            <w:vAlign w:val="bottom"/>
          </w:tcPr>
          <w:p w14:paraId="097E7865"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14 392</w:t>
            </w:r>
          </w:p>
        </w:tc>
      </w:tr>
      <w:tr w:rsidR="007B64C5" w14:paraId="01AA77E0"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14:paraId="6F14ED98" w14:textId="77777777" w:rsidR="007B64C5" w:rsidRPr="009B320F" w:rsidRDefault="007B64C5" w:rsidP="009D2144">
            <w:pPr>
              <w:spacing w:after="0"/>
              <w:rPr>
                <w:rFonts w:ascii="Calibri" w:hAnsi="Calibri" w:cs="Calibri"/>
                <w:sz w:val="20"/>
              </w:rPr>
            </w:pPr>
            <w:r w:rsidRPr="009B320F">
              <w:rPr>
                <w:rFonts w:ascii="Calibri" w:hAnsi="Calibri" w:cs="Calibri"/>
                <w:sz w:val="20"/>
              </w:rPr>
              <w:t>Minimální výše rezervního fondu</w:t>
            </w:r>
          </w:p>
        </w:tc>
        <w:tc>
          <w:tcPr>
            <w:tcW w:w="1553" w:type="pct"/>
            <w:tcBorders>
              <w:top w:val="nil"/>
              <w:left w:val="nil"/>
              <w:bottom w:val="single" w:sz="4" w:space="0" w:color="auto"/>
              <w:right w:val="single" w:sz="4" w:space="0" w:color="auto"/>
            </w:tcBorders>
            <w:shd w:val="clear" w:color="auto" w:fill="auto"/>
            <w:noWrap/>
            <w:vAlign w:val="bottom"/>
          </w:tcPr>
          <w:p w14:paraId="10EBDACE"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14 322</w:t>
            </w:r>
          </w:p>
        </w:tc>
        <w:tc>
          <w:tcPr>
            <w:tcW w:w="1585" w:type="pct"/>
            <w:tcBorders>
              <w:top w:val="nil"/>
              <w:left w:val="nil"/>
              <w:bottom w:val="single" w:sz="4" w:space="0" w:color="auto"/>
              <w:right w:val="single" w:sz="4" w:space="0" w:color="auto"/>
            </w:tcBorders>
            <w:shd w:val="clear" w:color="auto" w:fill="auto"/>
            <w:noWrap/>
            <w:vAlign w:val="bottom"/>
          </w:tcPr>
          <w:p w14:paraId="4335CA9B" w14:textId="6873D420" w:rsidR="007B64C5" w:rsidRPr="009B320F" w:rsidRDefault="007B64C5" w:rsidP="00BC4E43">
            <w:pPr>
              <w:spacing w:after="0"/>
              <w:ind w:left="-71"/>
              <w:jc w:val="right"/>
              <w:rPr>
                <w:rFonts w:ascii="Calibri" w:hAnsi="Calibri" w:cs="Calibri"/>
                <w:sz w:val="20"/>
              </w:rPr>
            </w:pPr>
            <w:r>
              <w:rPr>
                <w:rFonts w:ascii="Calibri" w:hAnsi="Calibri" w:cs="Calibri"/>
                <w:sz w:val="20"/>
              </w:rPr>
              <w:t>min. 15 % kmen. jmění, tj.</w:t>
            </w:r>
            <w:r w:rsidR="00182081">
              <w:rPr>
                <w:rFonts w:ascii="Calibri" w:hAnsi="Calibri" w:cs="Calibri"/>
                <w:sz w:val="20"/>
              </w:rPr>
              <w:t> </w:t>
            </w:r>
            <w:r w:rsidRPr="009B320F">
              <w:rPr>
                <w:rFonts w:ascii="Calibri" w:hAnsi="Calibri" w:cs="Calibri"/>
                <w:sz w:val="20"/>
              </w:rPr>
              <w:t>14 322</w:t>
            </w:r>
          </w:p>
        </w:tc>
      </w:tr>
      <w:tr w:rsidR="007B64C5" w14:paraId="3C9A5C5B"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14:paraId="03C57E82" w14:textId="0B0A5C19" w:rsidR="007B64C5" w:rsidRPr="009B320F" w:rsidRDefault="007B64C5" w:rsidP="009D2144">
            <w:pPr>
              <w:spacing w:after="0"/>
              <w:rPr>
                <w:rFonts w:ascii="Calibri" w:hAnsi="Calibri" w:cs="Calibri"/>
                <w:sz w:val="20"/>
              </w:rPr>
            </w:pPr>
            <w:r w:rsidRPr="009B320F">
              <w:rPr>
                <w:rFonts w:ascii="Calibri" w:hAnsi="Calibri" w:cs="Calibri"/>
                <w:sz w:val="20"/>
              </w:rPr>
              <w:t xml:space="preserve">Majetek státu, s nímž má státní podnik právo hospodařit </w:t>
            </w:r>
          </w:p>
          <w:p w14:paraId="4A92E232" w14:textId="77777777" w:rsidR="007B64C5" w:rsidRPr="009B320F" w:rsidRDefault="007B64C5" w:rsidP="009D2144">
            <w:pPr>
              <w:spacing w:after="0"/>
              <w:rPr>
                <w:rFonts w:ascii="Calibri" w:hAnsi="Calibri" w:cs="Calibri"/>
                <w:sz w:val="20"/>
              </w:rPr>
            </w:pPr>
            <w:r w:rsidRPr="009B320F">
              <w:rPr>
                <w:rFonts w:ascii="Calibri" w:hAnsi="Calibri" w:cs="Calibri"/>
                <w:sz w:val="20"/>
              </w:rPr>
              <w:t>V tom:</w:t>
            </w:r>
          </w:p>
        </w:tc>
        <w:tc>
          <w:tcPr>
            <w:tcW w:w="1553" w:type="pct"/>
            <w:tcBorders>
              <w:top w:val="nil"/>
              <w:left w:val="nil"/>
              <w:bottom w:val="single" w:sz="4" w:space="0" w:color="auto"/>
              <w:right w:val="single" w:sz="4" w:space="0" w:color="auto"/>
            </w:tcBorders>
            <w:shd w:val="clear" w:color="auto" w:fill="auto"/>
            <w:noWrap/>
            <w:vAlign w:val="center"/>
          </w:tcPr>
          <w:p w14:paraId="7FFC85FF" w14:textId="77777777" w:rsidR="007B64C5" w:rsidRPr="009B320F" w:rsidRDefault="007B64C5" w:rsidP="00C84557">
            <w:pPr>
              <w:spacing w:after="0"/>
              <w:jc w:val="right"/>
              <w:rPr>
                <w:rFonts w:ascii="Calibri" w:hAnsi="Calibri" w:cs="Calibri"/>
                <w:sz w:val="20"/>
              </w:rPr>
            </w:pPr>
            <w:r w:rsidRPr="009B320F">
              <w:rPr>
                <w:rFonts w:ascii="Calibri" w:hAnsi="Calibri" w:cs="Calibri"/>
                <w:sz w:val="20"/>
              </w:rPr>
              <w:t>102 462</w:t>
            </w:r>
          </w:p>
        </w:tc>
        <w:tc>
          <w:tcPr>
            <w:tcW w:w="1585" w:type="pct"/>
            <w:tcBorders>
              <w:top w:val="nil"/>
              <w:left w:val="nil"/>
              <w:bottom w:val="single" w:sz="4" w:space="0" w:color="auto"/>
              <w:right w:val="single" w:sz="4" w:space="0" w:color="auto"/>
            </w:tcBorders>
            <w:shd w:val="clear" w:color="auto" w:fill="auto"/>
            <w:noWrap/>
            <w:vAlign w:val="center"/>
          </w:tcPr>
          <w:p w14:paraId="15AD837F" w14:textId="77777777" w:rsidR="007B64C5" w:rsidRPr="009B320F" w:rsidRDefault="007B64C5" w:rsidP="00C84557">
            <w:pPr>
              <w:spacing w:after="0"/>
              <w:jc w:val="right"/>
              <w:rPr>
                <w:rFonts w:ascii="Calibri" w:hAnsi="Calibri" w:cs="Calibri"/>
                <w:sz w:val="20"/>
              </w:rPr>
            </w:pPr>
            <w:r w:rsidRPr="009B320F">
              <w:rPr>
                <w:rFonts w:ascii="Calibri" w:hAnsi="Calibri" w:cs="Calibri"/>
                <w:sz w:val="20"/>
              </w:rPr>
              <w:t>321 469</w:t>
            </w:r>
          </w:p>
        </w:tc>
      </w:tr>
      <w:tr w:rsidR="007B64C5" w14:paraId="695C49D7"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tcPr>
          <w:p w14:paraId="08D5D1E6" w14:textId="77777777" w:rsidR="007B64C5" w:rsidRPr="009B320F" w:rsidRDefault="007B64C5" w:rsidP="009D2144">
            <w:pPr>
              <w:pStyle w:val="Odstavecseseznamem"/>
              <w:widowControl/>
              <w:numPr>
                <w:ilvl w:val="0"/>
                <w:numId w:val="3"/>
              </w:numPr>
              <w:jc w:val="left"/>
              <w:rPr>
                <w:rFonts w:ascii="Calibri" w:hAnsi="Calibri" w:cs="Calibri"/>
                <w:sz w:val="20"/>
              </w:rPr>
            </w:pPr>
            <w:r w:rsidRPr="009B320F">
              <w:rPr>
                <w:rFonts w:ascii="Calibri" w:hAnsi="Calibri" w:cs="Calibri"/>
                <w:sz w:val="20"/>
              </w:rPr>
              <w:t>pozemky</w:t>
            </w:r>
          </w:p>
        </w:tc>
        <w:tc>
          <w:tcPr>
            <w:tcW w:w="1553" w:type="pct"/>
            <w:tcBorders>
              <w:top w:val="nil"/>
              <w:left w:val="nil"/>
              <w:bottom w:val="single" w:sz="4" w:space="0" w:color="auto"/>
              <w:right w:val="single" w:sz="4" w:space="0" w:color="auto"/>
            </w:tcBorders>
            <w:shd w:val="clear" w:color="auto" w:fill="auto"/>
            <w:noWrap/>
            <w:vAlign w:val="bottom"/>
          </w:tcPr>
          <w:p w14:paraId="0DE218EF"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20 568</w:t>
            </w:r>
          </w:p>
        </w:tc>
        <w:tc>
          <w:tcPr>
            <w:tcW w:w="1585" w:type="pct"/>
            <w:tcBorders>
              <w:top w:val="nil"/>
              <w:left w:val="nil"/>
              <w:bottom w:val="single" w:sz="4" w:space="0" w:color="auto"/>
              <w:right w:val="single" w:sz="4" w:space="0" w:color="auto"/>
            </w:tcBorders>
            <w:shd w:val="clear" w:color="auto" w:fill="auto"/>
            <w:noWrap/>
            <w:vAlign w:val="bottom"/>
          </w:tcPr>
          <w:p w14:paraId="35E33B07"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20 568</w:t>
            </w:r>
          </w:p>
        </w:tc>
      </w:tr>
      <w:tr w:rsidR="007B64C5" w14:paraId="5B8EE2E2"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tcPr>
          <w:p w14:paraId="1489B631" w14:textId="77777777" w:rsidR="007B64C5" w:rsidRPr="009B320F" w:rsidRDefault="007B64C5" w:rsidP="009D2144">
            <w:pPr>
              <w:pStyle w:val="Odstavecseseznamem"/>
              <w:widowControl/>
              <w:numPr>
                <w:ilvl w:val="0"/>
                <w:numId w:val="3"/>
              </w:numPr>
              <w:jc w:val="left"/>
              <w:rPr>
                <w:rFonts w:ascii="Calibri" w:hAnsi="Calibri" w:cs="Calibri"/>
                <w:sz w:val="20"/>
                <w:szCs w:val="22"/>
              </w:rPr>
            </w:pPr>
            <w:r w:rsidRPr="009B320F">
              <w:rPr>
                <w:rFonts w:ascii="Calibri" w:hAnsi="Calibri" w:cs="Calibri"/>
                <w:sz w:val="20"/>
                <w:szCs w:val="22"/>
              </w:rPr>
              <w:t>budovy a jiné stavby, které nejsou součástí pozemků</w:t>
            </w:r>
          </w:p>
        </w:tc>
        <w:tc>
          <w:tcPr>
            <w:tcW w:w="1553" w:type="pct"/>
            <w:tcBorders>
              <w:top w:val="nil"/>
              <w:left w:val="nil"/>
              <w:bottom w:val="single" w:sz="4" w:space="0" w:color="auto"/>
              <w:right w:val="single" w:sz="4" w:space="0" w:color="auto"/>
            </w:tcBorders>
            <w:shd w:val="clear" w:color="auto" w:fill="auto"/>
            <w:noWrap/>
            <w:vAlign w:val="bottom"/>
          </w:tcPr>
          <w:p w14:paraId="021F3DA9"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81 803</w:t>
            </w:r>
          </w:p>
        </w:tc>
        <w:tc>
          <w:tcPr>
            <w:tcW w:w="1585" w:type="pct"/>
            <w:tcBorders>
              <w:top w:val="nil"/>
              <w:left w:val="nil"/>
              <w:bottom w:val="single" w:sz="4" w:space="0" w:color="auto"/>
              <w:right w:val="single" w:sz="4" w:space="0" w:color="auto"/>
            </w:tcBorders>
            <w:shd w:val="clear" w:color="auto" w:fill="auto"/>
            <w:noWrap/>
            <w:vAlign w:val="bottom"/>
          </w:tcPr>
          <w:p w14:paraId="038D374B"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114 964</w:t>
            </w:r>
          </w:p>
        </w:tc>
      </w:tr>
      <w:tr w:rsidR="007B64C5" w14:paraId="791726B4"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tcPr>
          <w:p w14:paraId="13A2D023" w14:textId="77777777" w:rsidR="007B64C5" w:rsidRPr="009B320F" w:rsidRDefault="007B64C5" w:rsidP="009D2144">
            <w:pPr>
              <w:pStyle w:val="Odstavecseseznamem"/>
              <w:widowControl/>
              <w:numPr>
                <w:ilvl w:val="0"/>
                <w:numId w:val="3"/>
              </w:numPr>
              <w:jc w:val="left"/>
              <w:rPr>
                <w:rFonts w:ascii="Calibri" w:hAnsi="Calibri" w:cs="Calibri"/>
                <w:sz w:val="20"/>
                <w:szCs w:val="22"/>
              </w:rPr>
            </w:pPr>
            <w:r w:rsidRPr="009B320F">
              <w:rPr>
                <w:rFonts w:ascii="Calibri" w:hAnsi="Calibri" w:cs="Calibri"/>
                <w:sz w:val="20"/>
                <w:szCs w:val="22"/>
              </w:rPr>
              <w:t>samostatný movitý majetek</w:t>
            </w:r>
          </w:p>
        </w:tc>
        <w:tc>
          <w:tcPr>
            <w:tcW w:w="1553" w:type="pct"/>
            <w:tcBorders>
              <w:top w:val="nil"/>
              <w:left w:val="nil"/>
              <w:bottom w:val="single" w:sz="4" w:space="0" w:color="auto"/>
              <w:right w:val="single" w:sz="4" w:space="0" w:color="auto"/>
            </w:tcBorders>
            <w:shd w:val="clear" w:color="auto" w:fill="auto"/>
            <w:noWrap/>
            <w:vAlign w:val="bottom"/>
          </w:tcPr>
          <w:p w14:paraId="68178350" w14:textId="3E9DCE67" w:rsidR="007B64C5" w:rsidRPr="009B320F" w:rsidRDefault="00182081" w:rsidP="009D2144">
            <w:pPr>
              <w:spacing w:after="0"/>
              <w:jc w:val="right"/>
              <w:rPr>
                <w:rFonts w:ascii="Calibri" w:hAnsi="Calibri" w:cs="Calibri"/>
                <w:sz w:val="20"/>
              </w:rPr>
            </w:pPr>
            <w:r>
              <w:rPr>
                <w:rFonts w:ascii="Calibri" w:hAnsi="Calibri" w:cs="Calibri"/>
                <w:sz w:val="20"/>
              </w:rPr>
              <w:t>N</w:t>
            </w:r>
            <w:r w:rsidR="007B64C5" w:rsidRPr="009B320F">
              <w:rPr>
                <w:rFonts w:ascii="Calibri" w:hAnsi="Calibri" w:cs="Calibri"/>
                <w:sz w:val="20"/>
              </w:rPr>
              <w:t>euvedeno</w:t>
            </w:r>
          </w:p>
        </w:tc>
        <w:tc>
          <w:tcPr>
            <w:tcW w:w="1585" w:type="pct"/>
            <w:tcBorders>
              <w:top w:val="nil"/>
              <w:left w:val="nil"/>
              <w:bottom w:val="single" w:sz="4" w:space="0" w:color="auto"/>
              <w:right w:val="single" w:sz="4" w:space="0" w:color="auto"/>
            </w:tcBorders>
            <w:shd w:val="clear" w:color="auto" w:fill="auto"/>
            <w:noWrap/>
            <w:vAlign w:val="bottom"/>
          </w:tcPr>
          <w:p w14:paraId="69158188"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185 914</w:t>
            </w:r>
          </w:p>
        </w:tc>
      </w:tr>
      <w:tr w:rsidR="007B64C5" w14:paraId="43D93B63"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tcPr>
          <w:p w14:paraId="0834C19A" w14:textId="77777777" w:rsidR="007B64C5" w:rsidRPr="009B320F" w:rsidRDefault="007B64C5" w:rsidP="009D2144">
            <w:pPr>
              <w:pStyle w:val="Odstavecseseznamem"/>
              <w:widowControl/>
              <w:numPr>
                <w:ilvl w:val="0"/>
                <w:numId w:val="3"/>
              </w:numPr>
              <w:jc w:val="left"/>
              <w:rPr>
                <w:rFonts w:ascii="Calibri" w:hAnsi="Calibri" w:cs="Calibri"/>
                <w:sz w:val="20"/>
                <w:szCs w:val="22"/>
              </w:rPr>
            </w:pPr>
            <w:r w:rsidRPr="009B320F">
              <w:rPr>
                <w:rFonts w:ascii="Calibri" w:hAnsi="Calibri" w:cs="Calibri"/>
                <w:sz w:val="20"/>
                <w:szCs w:val="22"/>
              </w:rPr>
              <w:t>jiný dlouhodobý hmotný majetek (umělecká díla)</w:t>
            </w:r>
          </w:p>
        </w:tc>
        <w:tc>
          <w:tcPr>
            <w:tcW w:w="1553" w:type="pct"/>
            <w:tcBorders>
              <w:top w:val="nil"/>
              <w:left w:val="nil"/>
              <w:bottom w:val="single" w:sz="4" w:space="0" w:color="auto"/>
              <w:right w:val="single" w:sz="4" w:space="0" w:color="auto"/>
            </w:tcBorders>
            <w:shd w:val="clear" w:color="auto" w:fill="auto"/>
            <w:noWrap/>
            <w:vAlign w:val="bottom"/>
          </w:tcPr>
          <w:p w14:paraId="6AF3EE4F"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92</w:t>
            </w:r>
          </w:p>
        </w:tc>
        <w:tc>
          <w:tcPr>
            <w:tcW w:w="1585" w:type="pct"/>
            <w:tcBorders>
              <w:top w:val="nil"/>
              <w:left w:val="nil"/>
              <w:bottom w:val="single" w:sz="4" w:space="0" w:color="auto"/>
              <w:right w:val="single" w:sz="4" w:space="0" w:color="auto"/>
            </w:tcBorders>
            <w:shd w:val="clear" w:color="auto" w:fill="auto"/>
            <w:noWrap/>
            <w:vAlign w:val="bottom"/>
          </w:tcPr>
          <w:p w14:paraId="2B0A43D6"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23</w:t>
            </w:r>
          </w:p>
        </w:tc>
      </w:tr>
      <w:tr w:rsidR="007B64C5" w14:paraId="074FB9CB" w14:textId="77777777" w:rsidTr="00BC4E43">
        <w:trPr>
          <w:trHeight w:val="300"/>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14:paraId="7FC82C36" w14:textId="47042C25" w:rsidR="007B64C5" w:rsidRPr="009B320F" w:rsidRDefault="007B64C5" w:rsidP="009D2144">
            <w:pPr>
              <w:spacing w:after="0"/>
              <w:rPr>
                <w:rFonts w:ascii="Calibri" w:hAnsi="Calibri" w:cs="Calibri"/>
                <w:sz w:val="20"/>
              </w:rPr>
            </w:pPr>
            <w:r>
              <w:rPr>
                <w:rFonts w:ascii="Calibri" w:hAnsi="Calibri" w:cs="Calibri"/>
                <w:sz w:val="20"/>
              </w:rPr>
              <w:t>Z toho u</w:t>
            </w:r>
            <w:r w:rsidRPr="009B320F">
              <w:rPr>
                <w:rFonts w:ascii="Calibri" w:hAnsi="Calibri" w:cs="Calibri"/>
                <w:sz w:val="20"/>
              </w:rPr>
              <w:t xml:space="preserve">rčený majetek </w:t>
            </w:r>
          </w:p>
        </w:tc>
        <w:tc>
          <w:tcPr>
            <w:tcW w:w="1553" w:type="pct"/>
            <w:tcBorders>
              <w:top w:val="nil"/>
              <w:left w:val="nil"/>
              <w:bottom w:val="single" w:sz="4" w:space="0" w:color="auto"/>
              <w:right w:val="single" w:sz="4" w:space="0" w:color="auto"/>
            </w:tcBorders>
            <w:shd w:val="clear" w:color="auto" w:fill="auto"/>
            <w:noWrap/>
            <w:vAlign w:val="bottom"/>
          </w:tcPr>
          <w:p w14:paraId="3D551F5C"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84 755</w:t>
            </w:r>
          </w:p>
        </w:tc>
        <w:tc>
          <w:tcPr>
            <w:tcW w:w="1585" w:type="pct"/>
            <w:tcBorders>
              <w:top w:val="nil"/>
              <w:left w:val="nil"/>
              <w:bottom w:val="single" w:sz="4" w:space="0" w:color="auto"/>
              <w:right w:val="single" w:sz="4" w:space="0" w:color="auto"/>
            </w:tcBorders>
            <w:shd w:val="clear" w:color="auto" w:fill="auto"/>
            <w:noWrap/>
            <w:vAlign w:val="bottom"/>
          </w:tcPr>
          <w:p w14:paraId="05A0DD20" w14:textId="77777777" w:rsidR="007B64C5" w:rsidRPr="009B320F" w:rsidRDefault="007B64C5" w:rsidP="009D2144">
            <w:pPr>
              <w:spacing w:after="0"/>
              <w:jc w:val="right"/>
              <w:rPr>
                <w:rFonts w:ascii="Calibri" w:hAnsi="Calibri" w:cs="Calibri"/>
                <w:sz w:val="20"/>
              </w:rPr>
            </w:pPr>
            <w:r w:rsidRPr="009B320F">
              <w:rPr>
                <w:rFonts w:ascii="Calibri" w:hAnsi="Calibri" w:cs="Calibri"/>
                <w:sz w:val="20"/>
              </w:rPr>
              <w:t>115 104</w:t>
            </w:r>
          </w:p>
        </w:tc>
      </w:tr>
    </w:tbl>
    <w:p w14:paraId="189757D2" w14:textId="655BDBB3" w:rsidR="007B64C5" w:rsidRDefault="007B64C5" w:rsidP="00BC4E43">
      <w:pPr>
        <w:spacing w:after="0"/>
        <w:ind w:left="567" w:hanging="567"/>
        <w:jc w:val="both"/>
        <w:rPr>
          <w:rFonts w:ascii="Calibri" w:eastAsia="Calibri" w:hAnsi="Calibri"/>
          <w:sz w:val="20"/>
        </w:rPr>
      </w:pPr>
      <w:r w:rsidRPr="00BC4E43">
        <w:rPr>
          <w:rFonts w:cstheme="minorHAnsi"/>
          <w:b/>
          <w:bCs/>
          <w:sz w:val="20"/>
        </w:rPr>
        <w:t xml:space="preserve">Zdroj: </w:t>
      </w:r>
      <w:r w:rsidR="00C84557">
        <w:rPr>
          <w:rFonts w:cstheme="minorHAnsi"/>
          <w:sz w:val="20"/>
        </w:rPr>
        <w:tab/>
      </w:r>
      <w:r w:rsidRPr="00A72E41">
        <w:rPr>
          <w:rFonts w:cstheme="minorHAnsi"/>
          <w:sz w:val="20"/>
        </w:rPr>
        <w:t>zakládací listina vydaná rozhodnutím ministryně průmyslu a obchodu č. 3/2018 ze dne 30. listopadu 2018 a zakládací listina vydaná rozhodnutím ministra průmyslu a obchodu č. 33/2023 ze dne 22. srpna 2023</w:t>
      </w:r>
      <w:r w:rsidRPr="00A72E41">
        <w:rPr>
          <w:rFonts w:ascii="Calibri" w:eastAsia="Calibri" w:hAnsi="Calibri"/>
          <w:sz w:val="20"/>
        </w:rPr>
        <w:t>.</w:t>
      </w:r>
    </w:p>
    <w:p w14:paraId="04CA0ED0" w14:textId="77777777" w:rsidR="00A72E41" w:rsidRPr="00A72E41" w:rsidRDefault="00A72E41" w:rsidP="00A72E41">
      <w:pPr>
        <w:spacing w:after="0"/>
        <w:jc w:val="both"/>
        <w:rPr>
          <w:rFonts w:cstheme="minorHAnsi"/>
          <w:sz w:val="20"/>
        </w:rPr>
      </w:pPr>
    </w:p>
    <w:p w14:paraId="0110DA2D" w14:textId="061E6269" w:rsidR="007B64C5" w:rsidRPr="00286DFA" w:rsidRDefault="007B64C5" w:rsidP="000B28F1">
      <w:pPr>
        <w:tabs>
          <w:tab w:val="right" w:pos="9072"/>
        </w:tabs>
        <w:spacing w:after="0"/>
        <w:rPr>
          <w:rFonts w:cstheme="minorHAnsi"/>
          <w:b/>
          <w:sz w:val="24"/>
        </w:rPr>
      </w:pPr>
      <w:r w:rsidRPr="00286DFA">
        <w:rPr>
          <w:rFonts w:cstheme="minorHAnsi"/>
          <w:b/>
          <w:sz w:val="24"/>
        </w:rPr>
        <w:t>Tab</w:t>
      </w:r>
      <w:r w:rsidR="00B1629D">
        <w:rPr>
          <w:rFonts w:cstheme="minorHAnsi"/>
          <w:b/>
          <w:sz w:val="24"/>
        </w:rPr>
        <w:t>ulka</w:t>
      </w:r>
      <w:r w:rsidRPr="00286DFA">
        <w:rPr>
          <w:rFonts w:cstheme="minorHAnsi"/>
          <w:b/>
          <w:sz w:val="24"/>
        </w:rPr>
        <w:t xml:space="preserve"> č. </w:t>
      </w:r>
      <w:r w:rsidR="005E1EA8" w:rsidRPr="00286DFA">
        <w:rPr>
          <w:rFonts w:cstheme="minorHAnsi"/>
          <w:b/>
          <w:sz w:val="24"/>
        </w:rPr>
        <w:t>2</w:t>
      </w:r>
      <w:r w:rsidRPr="00286DFA">
        <w:rPr>
          <w:rFonts w:cstheme="minorHAnsi"/>
          <w:b/>
          <w:sz w:val="24"/>
        </w:rPr>
        <w:t xml:space="preserve">: Údaje ze zakládací listiny TZÚS </w:t>
      </w:r>
      <w:r w:rsidR="00286DFA">
        <w:rPr>
          <w:rFonts w:cstheme="minorHAnsi"/>
          <w:b/>
          <w:sz w:val="24"/>
        </w:rPr>
        <w:tab/>
      </w:r>
      <w:r w:rsidRPr="00286DFA">
        <w:rPr>
          <w:rFonts w:cstheme="minorHAnsi"/>
          <w:b/>
          <w:sz w:val="24"/>
        </w:rPr>
        <w:t>(v tis. Kč)</w:t>
      </w:r>
    </w:p>
    <w:tbl>
      <w:tblPr>
        <w:tblW w:w="5033" w:type="pct"/>
        <w:tblLayout w:type="fixed"/>
        <w:tblCellMar>
          <w:left w:w="70" w:type="dxa"/>
          <w:right w:w="70" w:type="dxa"/>
        </w:tblCellMar>
        <w:tblLook w:val="04A0" w:firstRow="1" w:lastRow="0" w:firstColumn="1" w:lastColumn="0" w:noHBand="0" w:noVBand="1"/>
      </w:tblPr>
      <w:tblGrid>
        <w:gridCol w:w="3396"/>
        <w:gridCol w:w="2833"/>
        <w:gridCol w:w="2893"/>
      </w:tblGrid>
      <w:tr w:rsidR="007B64C5" w14:paraId="0FF4015F" w14:textId="77777777" w:rsidTr="00BC4E43">
        <w:trPr>
          <w:trHeight w:val="300"/>
        </w:trPr>
        <w:tc>
          <w:tcPr>
            <w:tcW w:w="1861"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7E8E9D60" w14:textId="77777777" w:rsidR="007B64C5" w:rsidRPr="009B320F" w:rsidRDefault="007B64C5" w:rsidP="00543017">
            <w:pPr>
              <w:spacing w:after="0"/>
              <w:jc w:val="both"/>
              <w:rPr>
                <w:rFonts w:ascii="Calibri" w:hAnsi="Calibri" w:cs="Calibri"/>
                <w:b/>
                <w:sz w:val="20"/>
              </w:rPr>
            </w:pPr>
            <w:r>
              <w:rPr>
                <w:rFonts w:cstheme="minorHAnsi"/>
                <w:b/>
                <w:sz w:val="20"/>
                <w:szCs w:val="20"/>
              </w:rPr>
              <w:t>P</w:t>
            </w:r>
            <w:r w:rsidRPr="008A262B">
              <w:rPr>
                <w:rFonts w:cstheme="minorHAnsi"/>
                <w:b/>
                <w:sz w:val="20"/>
                <w:szCs w:val="20"/>
              </w:rPr>
              <w:t>oložka zakládací listiny</w:t>
            </w:r>
          </w:p>
        </w:tc>
        <w:tc>
          <w:tcPr>
            <w:tcW w:w="1553" w:type="pct"/>
            <w:tcBorders>
              <w:top w:val="single" w:sz="4" w:space="0" w:color="auto"/>
              <w:left w:val="nil"/>
              <w:bottom w:val="single" w:sz="4" w:space="0" w:color="auto"/>
              <w:right w:val="single" w:sz="4" w:space="0" w:color="auto"/>
            </w:tcBorders>
            <w:shd w:val="clear" w:color="auto" w:fill="E6E6E6"/>
            <w:noWrap/>
            <w:vAlign w:val="center"/>
          </w:tcPr>
          <w:p w14:paraId="40387273" w14:textId="68DFF26F" w:rsidR="007B64C5" w:rsidRPr="008A262B" w:rsidRDefault="007B64C5" w:rsidP="000B28F1">
            <w:pPr>
              <w:pStyle w:val="Odstavecseseznamem"/>
              <w:keepNext/>
              <w:ind w:left="0"/>
              <w:jc w:val="center"/>
              <w:rPr>
                <w:rFonts w:cstheme="minorHAnsi"/>
                <w:b/>
                <w:sz w:val="20"/>
                <w:szCs w:val="20"/>
              </w:rPr>
            </w:pPr>
            <w:r w:rsidRPr="008A262B">
              <w:rPr>
                <w:rFonts w:cstheme="minorHAnsi"/>
                <w:b/>
                <w:sz w:val="20"/>
                <w:szCs w:val="20"/>
              </w:rPr>
              <w:t>Zakládací listina vydaná rozhodnutím ministryně průmyslu a obchodu č.</w:t>
            </w:r>
            <w:r w:rsidR="00A72E41">
              <w:rPr>
                <w:rFonts w:cstheme="minorHAnsi"/>
                <w:b/>
                <w:sz w:val="20"/>
                <w:szCs w:val="20"/>
              </w:rPr>
              <w:t> </w:t>
            </w:r>
            <w:r>
              <w:rPr>
                <w:rFonts w:cstheme="minorHAnsi"/>
                <w:b/>
                <w:sz w:val="20"/>
                <w:szCs w:val="20"/>
              </w:rPr>
              <w:t>25</w:t>
            </w:r>
            <w:r w:rsidRPr="008A262B">
              <w:rPr>
                <w:rFonts w:cstheme="minorHAnsi"/>
                <w:b/>
                <w:sz w:val="20"/>
                <w:szCs w:val="20"/>
              </w:rPr>
              <w:t>/2018</w:t>
            </w:r>
            <w:r>
              <w:rPr>
                <w:rFonts w:cstheme="minorHAnsi"/>
                <w:b/>
                <w:sz w:val="20"/>
                <w:szCs w:val="20"/>
              </w:rPr>
              <w:t xml:space="preserve"> ze dne 30. listopadu 2018</w:t>
            </w:r>
          </w:p>
        </w:tc>
        <w:tc>
          <w:tcPr>
            <w:tcW w:w="1585" w:type="pct"/>
            <w:tcBorders>
              <w:top w:val="single" w:sz="4" w:space="0" w:color="auto"/>
              <w:left w:val="nil"/>
              <w:bottom w:val="single" w:sz="4" w:space="0" w:color="auto"/>
              <w:right w:val="single" w:sz="4" w:space="0" w:color="auto"/>
            </w:tcBorders>
            <w:shd w:val="clear" w:color="auto" w:fill="E6E6E6"/>
            <w:noWrap/>
            <w:vAlign w:val="center"/>
          </w:tcPr>
          <w:p w14:paraId="508B6D7C" w14:textId="44E1BFCF" w:rsidR="007B64C5" w:rsidRPr="008A262B" w:rsidRDefault="007B64C5" w:rsidP="000B28F1">
            <w:pPr>
              <w:pStyle w:val="Odstavecseseznamem"/>
              <w:keepNext/>
              <w:ind w:left="0"/>
              <w:jc w:val="center"/>
              <w:rPr>
                <w:rFonts w:cstheme="minorHAnsi"/>
                <w:b/>
                <w:sz w:val="20"/>
                <w:szCs w:val="20"/>
              </w:rPr>
            </w:pPr>
            <w:r w:rsidRPr="008A262B">
              <w:rPr>
                <w:rFonts w:cstheme="minorHAnsi"/>
                <w:b/>
                <w:sz w:val="20"/>
                <w:szCs w:val="20"/>
              </w:rPr>
              <w:t xml:space="preserve">Zakládací listina </w:t>
            </w:r>
            <w:r>
              <w:rPr>
                <w:rFonts w:cstheme="minorHAnsi"/>
                <w:b/>
                <w:sz w:val="20"/>
                <w:szCs w:val="20"/>
              </w:rPr>
              <w:t>upravená</w:t>
            </w:r>
            <w:r w:rsidRPr="008A262B">
              <w:rPr>
                <w:rFonts w:cstheme="minorHAnsi"/>
                <w:b/>
                <w:sz w:val="20"/>
                <w:szCs w:val="20"/>
              </w:rPr>
              <w:t xml:space="preserve"> rozhodnutím</w:t>
            </w:r>
            <w:r>
              <w:rPr>
                <w:rFonts w:cstheme="minorHAnsi"/>
                <w:b/>
                <w:sz w:val="20"/>
                <w:szCs w:val="20"/>
              </w:rPr>
              <w:t>i</w:t>
            </w:r>
            <w:r w:rsidRPr="008A262B">
              <w:rPr>
                <w:rFonts w:cstheme="minorHAnsi"/>
                <w:b/>
                <w:sz w:val="20"/>
                <w:szCs w:val="20"/>
              </w:rPr>
              <w:t xml:space="preserve"> ministra průmyslu a obchodu č.</w:t>
            </w:r>
            <w:r w:rsidR="00A72E41">
              <w:rPr>
                <w:rFonts w:cstheme="minorHAnsi"/>
                <w:b/>
                <w:sz w:val="20"/>
                <w:szCs w:val="20"/>
              </w:rPr>
              <w:t> </w:t>
            </w:r>
            <w:r>
              <w:rPr>
                <w:rFonts w:cstheme="minorHAnsi"/>
                <w:b/>
                <w:sz w:val="20"/>
                <w:szCs w:val="20"/>
              </w:rPr>
              <w:t>141</w:t>
            </w:r>
            <w:r w:rsidRPr="008A262B">
              <w:rPr>
                <w:rFonts w:cstheme="minorHAnsi"/>
                <w:b/>
                <w:sz w:val="20"/>
                <w:szCs w:val="20"/>
              </w:rPr>
              <w:t>/20</w:t>
            </w:r>
            <w:r>
              <w:rPr>
                <w:rFonts w:cstheme="minorHAnsi"/>
                <w:b/>
                <w:sz w:val="20"/>
                <w:szCs w:val="20"/>
              </w:rPr>
              <w:t>19 a</w:t>
            </w:r>
            <w:r w:rsidR="000B28F1">
              <w:rPr>
                <w:rFonts w:cstheme="minorHAnsi"/>
                <w:b/>
                <w:sz w:val="20"/>
                <w:szCs w:val="20"/>
              </w:rPr>
              <w:t> </w:t>
            </w:r>
            <w:r>
              <w:rPr>
                <w:rFonts w:cstheme="minorHAnsi"/>
                <w:b/>
                <w:sz w:val="20"/>
                <w:szCs w:val="20"/>
              </w:rPr>
              <w:t>142/2019</w:t>
            </w:r>
            <w:r w:rsidRPr="008A262B">
              <w:rPr>
                <w:rFonts w:cstheme="minorHAnsi"/>
                <w:b/>
                <w:sz w:val="20"/>
                <w:szCs w:val="20"/>
              </w:rPr>
              <w:t xml:space="preserve"> </w:t>
            </w:r>
            <w:r>
              <w:rPr>
                <w:rFonts w:cstheme="minorHAnsi"/>
                <w:b/>
                <w:sz w:val="20"/>
                <w:szCs w:val="20"/>
              </w:rPr>
              <w:t xml:space="preserve">ze </w:t>
            </w:r>
            <w:r w:rsidRPr="008A262B">
              <w:rPr>
                <w:rFonts w:cstheme="minorHAnsi"/>
                <w:b/>
                <w:sz w:val="20"/>
                <w:szCs w:val="20"/>
              </w:rPr>
              <w:t xml:space="preserve">dne </w:t>
            </w:r>
            <w:r>
              <w:rPr>
                <w:rFonts w:cstheme="minorHAnsi"/>
                <w:b/>
                <w:sz w:val="20"/>
                <w:szCs w:val="20"/>
              </w:rPr>
              <w:t>18</w:t>
            </w:r>
            <w:r w:rsidRPr="008A262B">
              <w:rPr>
                <w:rFonts w:cstheme="minorHAnsi"/>
                <w:b/>
                <w:sz w:val="20"/>
                <w:szCs w:val="20"/>
              </w:rPr>
              <w:t>.</w:t>
            </w:r>
            <w:r w:rsidR="000B28F1">
              <w:rPr>
                <w:rFonts w:cstheme="minorHAnsi"/>
                <w:b/>
                <w:sz w:val="20"/>
                <w:szCs w:val="20"/>
              </w:rPr>
              <w:t> </w:t>
            </w:r>
            <w:r>
              <w:rPr>
                <w:rFonts w:cstheme="minorHAnsi"/>
                <w:b/>
                <w:sz w:val="20"/>
                <w:szCs w:val="20"/>
              </w:rPr>
              <w:t>prosince</w:t>
            </w:r>
            <w:r w:rsidR="000B28F1">
              <w:rPr>
                <w:rFonts w:cstheme="minorHAnsi"/>
                <w:b/>
                <w:sz w:val="20"/>
                <w:szCs w:val="20"/>
              </w:rPr>
              <w:t> </w:t>
            </w:r>
            <w:r w:rsidRPr="008A262B">
              <w:rPr>
                <w:rFonts w:cstheme="minorHAnsi"/>
                <w:b/>
                <w:sz w:val="20"/>
                <w:szCs w:val="20"/>
              </w:rPr>
              <w:t>20</w:t>
            </w:r>
            <w:r>
              <w:rPr>
                <w:rFonts w:cstheme="minorHAnsi"/>
                <w:b/>
                <w:sz w:val="20"/>
                <w:szCs w:val="20"/>
              </w:rPr>
              <w:t>19</w:t>
            </w:r>
          </w:p>
        </w:tc>
      </w:tr>
      <w:tr w:rsidR="007B64C5" w14:paraId="4AF1E2EB"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14:paraId="1EE54C64" w14:textId="77777777" w:rsidR="007B64C5" w:rsidRPr="009B320F" w:rsidRDefault="007B64C5" w:rsidP="009D2144">
            <w:pPr>
              <w:spacing w:after="0"/>
              <w:rPr>
                <w:rFonts w:ascii="Calibri" w:hAnsi="Calibri" w:cs="Calibri"/>
                <w:sz w:val="20"/>
              </w:rPr>
            </w:pPr>
            <w:r w:rsidRPr="009B320F">
              <w:rPr>
                <w:rFonts w:ascii="Calibri" w:hAnsi="Calibri" w:cs="Calibri"/>
                <w:sz w:val="20"/>
              </w:rPr>
              <w:t>Kmenové jmění</w:t>
            </w:r>
          </w:p>
        </w:tc>
        <w:tc>
          <w:tcPr>
            <w:tcW w:w="1553" w:type="pct"/>
            <w:tcBorders>
              <w:top w:val="nil"/>
              <w:left w:val="nil"/>
              <w:bottom w:val="single" w:sz="4" w:space="0" w:color="auto"/>
              <w:right w:val="single" w:sz="4" w:space="0" w:color="auto"/>
            </w:tcBorders>
            <w:shd w:val="clear" w:color="auto" w:fill="auto"/>
            <w:noWrap/>
            <w:vAlign w:val="bottom"/>
          </w:tcPr>
          <w:p w14:paraId="5DB0589D" w14:textId="77777777" w:rsidR="007B64C5" w:rsidRPr="0081141A" w:rsidRDefault="007B64C5" w:rsidP="00C84557">
            <w:pPr>
              <w:spacing w:after="0"/>
              <w:jc w:val="right"/>
              <w:rPr>
                <w:rFonts w:ascii="Calibri" w:hAnsi="Calibri" w:cs="Calibri"/>
                <w:sz w:val="20"/>
              </w:rPr>
            </w:pPr>
            <w:r w:rsidRPr="0081141A">
              <w:rPr>
                <w:rFonts w:ascii="Calibri" w:hAnsi="Calibri" w:cs="Calibri"/>
                <w:sz w:val="20"/>
              </w:rPr>
              <w:t>265 847</w:t>
            </w:r>
          </w:p>
        </w:tc>
        <w:tc>
          <w:tcPr>
            <w:tcW w:w="1585" w:type="pct"/>
            <w:tcBorders>
              <w:top w:val="nil"/>
              <w:left w:val="nil"/>
              <w:bottom w:val="single" w:sz="4" w:space="0" w:color="auto"/>
              <w:right w:val="single" w:sz="4" w:space="0" w:color="auto"/>
            </w:tcBorders>
            <w:shd w:val="clear" w:color="auto" w:fill="auto"/>
            <w:noWrap/>
            <w:vAlign w:val="bottom"/>
          </w:tcPr>
          <w:p w14:paraId="51447964" w14:textId="77777777" w:rsidR="007B64C5" w:rsidRPr="00F01E08" w:rsidRDefault="007B64C5" w:rsidP="00C84557">
            <w:pPr>
              <w:spacing w:after="0"/>
              <w:jc w:val="right"/>
              <w:rPr>
                <w:sz w:val="20"/>
                <w:szCs w:val="20"/>
              </w:rPr>
            </w:pPr>
            <w:r w:rsidRPr="00F01E08">
              <w:rPr>
                <w:sz w:val="20"/>
                <w:szCs w:val="20"/>
              </w:rPr>
              <w:t>265 847</w:t>
            </w:r>
          </w:p>
        </w:tc>
      </w:tr>
      <w:tr w:rsidR="007B64C5" w14:paraId="508429C6"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14:paraId="3C9B394C" w14:textId="77777777" w:rsidR="007B64C5" w:rsidRPr="009B320F" w:rsidRDefault="007B64C5" w:rsidP="009D2144">
            <w:pPr>
              <w:spacing w:after="0"/>
              <w:rPr>
                <w:rFonts w:ascii="Calibri" w:hAnsi="Calibri" w:cs="Calibri"/>
                <w:sz w:val="20"/>
              </w:rPr>
            </w:pPr>
            <w:r w:rsidRPr="009B320F">
              <w:rPr>
                <w:rFonts w:ascii="Calibri" w:hAnsi="Calibri" w:cs="Calibri"/>
                <w:sz w:val="20"/>
              </w:rPr>
              <w:t>Minimální výše kmenového jmění</w:t>
            </w:r>
          </w:p>
        </w:tc>
        <w:tc>
          <w:tcPr>
            <w:tcW w:w="1553" w:type="pct"/>
            <w:tcBorders>
              <w:top w:val="nil"/>
              <w:left w:val="nil"/>
              <w:bottom w:val="single" w:sz="4" w:space="0" w:color="auto"/>
              <w:right w:val="single" w:sz="4" w:space="0" w:color="auto"/>
            </w:tcBorders>
            <w:shd w:val="clear" w:color="auto" w:fill="auto"/>
            <w:noWrap/>
            <w:vAlign w:val="bottom"/>
          </w:tcPr>
          <w:p w14:paraId="29F1EFFA" w14:textId="77777777" w:rsidR="007B64C5" w:rsidRPr="0081141A" w:rsidRDefault="007B64C5" w:rsidP="00C84557">
            <w:pPr>
              <w:spacing w:after="0"/>
              <w:jc w:val="right"/>
              <w:rPr>
                <w:rFonts w:ascii="Calibri" w:hAnsi="Calibri" w:cs="Calibri"/>
                <w:sz w:val="20"/>
              </w:rPr>
            </w:pPr>
            <w:r w:rsidRPr="0081141A">
              <w:rPr>
                <w:rFonts w:ascii="Calibri" w:hAnsi="Calibri" w:cs="Calibri"/>
                <w:sz w:val="20"/>
              </w:rPr>
              <w:t xml:space="preserve">115 000 </w:t>
            </w:r>
          </w:p>
        </w:tc>
        <w:tc>
          <w:tcPr>
            <w:tcW w:w="1585" w:type="pct"/>
            <w:tcBorders>
              <w:top w:val="nil"/>
              <w:left w:val="nil"/>
              <w:bottom w:val="single" w:sz="4" w:space="0" w:color="auto"/>
              <w:right w:val="single" w:sz="4" w:space="0" w:color="auto"/>
            </w:tcBorders>
            <w:shd w:val="clear" w:color="auto" w:fill="auto"/>
            <w:noWrap/>
            <w:vAlign w:val="bottom"/>
          </w:tcPr>
          <w:p w14:paraId="41901BB8" w14:textId="77777777" w:rsidR="007B64C5" w:rsidRPr="00F01E08" w:rsidRDefault="007B64C5" w:rsidP="00C84557">
            <w:pPr>
              <w:spacing w:after="0"/>
              <w:jc w:val="right"/>
              <w:rPr>
                <w:sz w:val="20"/>
                <w:szCs w:val="20"/>
              </w:rPr>
            </w:pPr>
            <w:r w:rsidRPr="00F01E08">
              <w:rPr>
                <w:sz w:val="20"/>
                <w:szCs w:val="20"/>
              </w:rPr>
              <w:t>115 000</w:t>
            </w:r>
          </w:p>
        </w:tc>
      </w:tr>
      <w:tr w:rsidR="007B64C5" w14:paraId="15892020"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14:paraId="79437927" w14:textId="77777777" w:rsidR="007B64C5" w:rsidRPr="009B320F" w:rsidRDefault="007B64C5" w:rsidP="009D2144">
            <w:pPr>
              <w:spacing w:after="0"/>
              <w:rPr>
                <w:rFonts w:ascii="Calibri" w:hAnsi="Calibri" w:cs="Calibri"/>
                <w:sz w:val="20"/>
              </w:rPr>
            </w:pPr>
            <w:r w:rsidRPr="009B320F">
              <w:rPr>
                <w:rFonts w:ascii="Calibri" w:hAnsi="Calibri" w:cs="Calibri"/>
                <w:sz w:val="20"/>
              </w:rPr>
              <w:t>Rezervní fond</w:t>
            </w:r>
          </w:p>
        </w:tc>
        <w:tc>
          <w:tcPr>
            <w:tcW w:w="1553" w:type="pct"/>
            <w:tcBorders>
              <w:top w:val="nil"/>
              <w:left w:val="nil"/>
              <w:bottom w:val="single" w:sz="4" w:space="0" w:color="auto"/>
              <w:right w:val="single" w:sz="4" w:space="0" w:color="auto"/>
            </w:tcBorders>
            <w:shd w:val="clear" w:color="auto" w:fill="auto"/>
            <w:noWrap/>
            <w:vAlign w:val="bottom"/>
          </w:tcPr>
          <w:p w14:paraId="2C8BC069" w14:textId="77777777" w:rsidR="007B64C5" w:rsidRPr="0081141A" w:rsidRDefault="007B64C5" w:rsidP="00C84557">
            <w:pPr>
              <w:spacing w:after="0"/>
              <w:jc w:val="right"/>
              <w:rPr>
                <w:rFonts w:ascii="Calibri" w:hAnsi="Calibri" w:cs="Calibri"/>
                <w:sz w:val="20"/>
              </w:rPr>
            </w:pPr>
            <w:r w:rsidRPr="0081141A">
              <w:rPr>
                <w:rFonts w:ascii="Calibri" w:hAnsi="Calibri" w:cs="Calibri"/>
                <w:sz w:val="20"/>
              </w:rPr>
              <w:t>39 088</w:t>
            </w:r>
          </w:p>
        </w:tc>
        <w:tc>
          <w:tcPr>
            <w:tcW w:w="1585" w:type="pct"/>
            <w:tcBorders>
              <w:top w:val="nil"/>
              <w:left w:val="nil"/>
              <w:bottom w:val="single" w:sz="4" w:space="0" w:color="auto"/>
              <w:right w:val="single" w:sz="4" w:space="0" w:color="auto"/>
            </w:tcBorders>
            <w:shd w:val="clear" w:color="auto" w:fill="auto"/>
            <w:noWrap/>
            <w:vAlign w:val="bottom"/>
          </w:tcPr>
          <w:p w14:paraId="08613DB6" w14:textId="77777777" w:rsidR="007B64C5" w:rsidRPr="00F01E08" w:rsidRDefault="007B64C5" w:rsidP="00C84557">
            <w:pPr>
              <w:spacing w:after="0"/>
              <w:jc w:val="right"/>
              <w:rPr>
                <w:sz w:val="20"/>
                <w:szCs w:val="20"/>
              </w:rPr>
            </w:pPr>
            <w:r w:rsidRPr="00F01E08">
              <w:rPr>
                <w:sz w:val="20"/>
                <w:szCs w:val="20"/>
              </w:rPr>
              <w:t>39 088</w:t>
            </w:r>
          </w:p>
        </w:tc>
      </w:tr>
      <w:tr w:rsidR="007B64C5" w:rsidRPr="00E3144A" w14:paraId="6678F19D"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14:paraId="48A21728" w14:textId="77777777" w:rsidR="007B64C5" w:rsidRPr="00E3144A" w:rsidRDefault="007B64C5" w:rsidP="009D2144">
            <w:pPr>
              <w:spacing w:after="0"/>
              <w:rPr>
                <w:rFonts w:ascii="Calibri" w:hAnsi="Calibri" w:cs="Calibri"/>
                <w:sz w:val="20"/>
              </w:rPr>
            </w:pPr>
            <w:r w:rsidRPr="00E3144A">
              <w:rPr>
                <w:rFonts w:ascii="Calibri" w:hAnsi="Calibri" w:cs="Calibri"/>
                <w:sz w:val="20"/>
              </w:rPr>
              <w:t>Minimální výše rezervního fondu</w:t>
            </w:r>
          </w:p>
        </w:tc>
        <w:tc>
          <w:tcPr>
            <w:tcW w:w="1553" w:type="pct"/>
            <w:tcBorders>
              <w:top w:val="nil"/>
              <w:left w:val="nil"/>
              <w:bottom w:val="single" w:sz="4" w:space="0" w:color="auto"/>
              <w:right w:val="single" w:sz="4" w:space="0" w:color="auto"/>
            </w:tcBorders>
            <w:shd w:val="clear" w:color="auto" w:fill="auto"/>
            <w:noWrap/>
            <w:vAlign w:val="bottom"/>
          </w:tcPr>
          <w:p w14:paraId="0D5F47D4" w14:textId="77777777" w:rsidR="007B64C5" w:rsidRPr="00E3144A" w:rsidRDefault="007B64C5" w:rsidP="00C84557">
            <w:pPr>
              <w:spacing w:after="0"/>
              <w:jc w:val="right"/>
              <w:rPr>
                <w:rFonts w:ascii="Calibri" w:hAnsi="Calibri" w:cs="Calibri"/>
                <w:sz w:val="20"/>
              </w:rPr>
            </w:pPr>
            <w:r w:rsidRPr="00E3144A">
              <w:rPr>
                <w:rFonts w:ascii="Calibri" w:hAnsi="Calibri" w:cs="Calibri"/>
                <w:sz w:val="20"/>
              </w:rPr>
              <w:t>39 877</w:t>
            </w:r>
          </w:p>
        </w:tc>
        <w:tc>
          <w:tcPr>
            <w:tcW w:w="1585" w:type="pct"/>
            <w:tcBorders>
              <w:top w:val="nil"/>
              <w:left w:val="nil"/>
              <w:bottom w:val="single" w:sz="4" w:space="0" w:color="auto"/>
              <w:right w:val="single" w:sz="4" w:space="0" w:color="auto"/>
            </w:tcBorders>
            <w:shd w:val="clear" w:color="auto" w:fill="auto"/>
            <w:noWrap/>
            <w:vAlign w:val="bottom"/>
          </w:tcPr>
          <w:p w14:paraId="1B5351E1" w14:textId="5FAB87A4" w:rsidR="007B64C5" w:rsidRPr="00E3144A" w:rsidRDefault="007B64C5" w:rsidP="00C84557">
            <w:pPr>
              <w:spacing w:after="0"/>
              <w:jc w:val="right"/>
              <w:rPr>
                <w:sz w:val="20"/>
                <w:szCs w:val="20"/>
              </w:rPr>
            </w:pPr>
            <w:r w:rsidRPr="00E3144A">
              <w:rPr>
                <w:rFonts w:ascii="Calibri" w:hAnsi="Calibri" w:cs="Calibri"/>
                <w:sz w:val="20"/>
              </w:rPr>
              <w:t>min. 15 % kmen. jmění, tj</w:t>
            </w:r>
            <w:r w:rsidR="00C84557">
              <w:rPr>
                <w:rFonts w:ascii="Calibri" w:hAnsi="Calibri" w:cs="Calibri"/>
                <w:sz w:val="20"/>
              </w:rPr>
              <w:t>.</w:t>
            </w:r>
            <w:r w:rsidRPr="00E3144A">
              <w:rPr>
                <w:sz w:val="20"/>
                <w:szCs w:val="20"/>
              </w:rPr>
              <w:t xml:space="preserve"> 39 877</w:t>
            </w:r>
          </w:p>
        </w:tc>
      </w:tr>
      <w:tr w:rsidR="007B64C5" w:rsidRPr="00E3144A" w14:paraId="66D7A169"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tcPr>
          <w:p w14:paraId="48D9FBD0" w14:textId="7096150C" w:rsidR="007B64C5" w:rsidRPr="00E3144A" w:rsidRDefault="00303CC8" w:rsidP="009D2144">
            <w:pPr>
              <w:spacing w:after="0"/>
              <w:rPr>
                <w:rFonts w:ascii="Calibri" w:hAnsi="Calibri" w:cs="Calibri"/>
                <w:sz w:val="20"/>
              </w:rPr>
            </w:pPr>
            <w:r>
              <w:rPr>
                <w:rFonts w:ascii="Calibri" w:hAnsi="Calibri" w:cs="Calibri"/>
                <w:sz w:val="20"/>
              </w:rPr>
              <w:t>V</w:t>
            </w:r>
            <w:r w:rsidR="007B64C5" w:rsidRPr="00E3144A">
              <w:rPr>
                <w:rFonts w:ascii="Calibri" w:hAnsi="Calibri" w:cs="Calibri"/>
                <w:sz w:val="20"/>
              </w:rPr>
              <w:t xml:space="preserve">ýše rezervního fondu dle </w:t>
            </w:r>
            <w:r>
              <w:rPr>
                <w:rFonts w:ascii="Calibri" w:hAnsi="Calibri" w:cs="Calibri"/>
                <w:sz w:val="20"/>
              </w:rPr>
              <w:t>účetní</w:t>
            </w:r>
            <w:r w:rsidR="00182081">
              <w:rPr>
                <w:rFonts w:ascii="Calibri" w:hAnsi="Calibri" w:cs="Calibri"/>
                <w:sz w:val="20"/>
              </w:rPr>
              <w:t>ch</w:t>
            </w:r>
            <w:r>
              <w:rPr>
                <w:rFonts w:ascii="Calibri" w:hAnsi="Calibri" w:cs="Calibri"/>
                <w:sz w:val="20"/>
              </w:rPr>
              <w:t xml:space="preserve"> závěr</w:t>
            </w:r>
            <w:r w:rsidR="00182081">
              <w:rPr>
                <w:rFonts w:ascii="Calibri" w:hAnsi="Calibri" w:cs="Calibri"/>
                <w:sz w:val="20"/>
              </w:rPr>
              <w:t>e</w:t>
            </w:r>
            <w:r>
              <w:rPr>
                <w:rFonts w:ascii="Calibri" w:hAnsi="Calibri" w:cs="Calibri"/>
                <w:sz w:val="20"/>
              </w:rPr>
              <w:t>k</w:t>
            </w:r>
            <w:r w:rsidR="007B64C5" w:rsidRPr="00E3144A">
              <w:rPr>
                <w:rFonts w:ascii="Calibri" w:hAnsi="Calibri" w:cs="Calibri"/>
                <w:sz w:val="20"/>
              </w:rPr>
              <w:t xml:space="preserve"> TZÚS v obd</w:t>
            </w:r>
            <w:r>
              <w:rPr>
                <w:rFonts w:ascii="Calibri" w:hAnsi="Calibri" w:cs="Calibri"/>
                <w:sz w:val="20"/>
              </w:rPr>
              <w:t>obí</w:t>
            </w:r>
            <w:r w:rsidR="007B64C5" w:rsidRPr="00E3144A">
              <w:rPr>
                <w:rFonts w:ascii="Calibri" w:hAnsi="Calibri" w:cs="Calibri"/>
                <w:sz w:val="20"/>
              </w:rPr>
              <w:t xml:space="preserve"> 2018 až 2023</w:t>
            </w:r>
          </w:p>
        </w:tc>
        <w:tc>
          <w:tcPr>
            <w:tcW w:w="3139" w:type="pct"/>
            <w:gridSpan w:val="2"/>
            <w:tcBorders>
              <w:top w:val="nil"/>
              <w:left w:val="nil"/>
              <w:bottom w:val="single" w:sz="4" w:space="0" w:color="auto"/>
              <w:right w:val="single" w:sz="4" w:space="0" w:color="auto"/>
            </w:tcBorders>
            <w:shd w:val="clear" w:color="auto" w:fill="auto"/>
            <w:noWrap/>
            <w:vAlign w:val="center"/>
          </w:tcPr>
          <w:p w14:paraId="6D9E23FD" w14:textId="77777777" w:rsidR="007B64C5" w:rsidRPr="00E3144A" w:rsidRDefault="007B64C5" w:rsidP="009D2144">
            <w:pPr>
              <w:spacing w:after="0"/>
              <w:jc w:val="center"/>
              <w:rPr>
                <w:rFonts w:ascii="Calibri" w:hAnsi="Calibri" w:cs="Calibri"/>
                <w:sz w:val="20"/>
              </w:rPr>
            </w:pPr>
            <w:r w:rsidRPr="00E3144A">
              <w:rPr>
                <w:rFonts w:ascii="Calibri" w:hAnsi="Calibri" w:cs="Calibri"/>
                <w:sz w:val="20"/>
              </w:rPr>
              <w:t>41 418</w:t>
            </w:r>
          </w:p>
        </w:tc>
      </w:tr>
      <w:tr w:rsidR="007B64C5" w:rsidRPr="00E3144A" w14:paraId="50CA1FC7"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14:paraId="795826C3" w14:textId="77777777" w:rsidR="007B64C5" w:rsidRPr="00E3144A" w:rsidRDefault="007B64C5" w:rsidP="009D2144">
            <w:pPr>
              <w:spacing w:after="0"/>
              <w:rPr>
                <w:rFonts w:ascii="Calibri" w:hAnsi="Calibri" w:cs="Calibri"/>
                <w:sz w:val="20"/>
              </w:rPr>
            </w:pPr>
            <w:r w:rsidRPr="00E3144A">
              <w:rPr>
                <w:rFonts w:ascii="Calibri" w:hAnsi="Calibri" w:cs="Calibri"/>
                <w:sz w:val="20"/>
              </w:rPr>
              <w:t xml:space="preserve">Majetek státu, s nímž má státní podnik právo hospodařit </w:t>
            </w:r>
          </w:p>
          <w:p w14:paraId="45D3FD14" w14:textId="77777777" w:rsidR="007B64C5" w:rsidRPr="00E3144A" w:rsidRDefault="007B64C5" w:rsidP="009D2144">
            <w:pPr>
              <w:spacing w:after="0"/>
              <w:rPr>
                <w:rFonts w:ascii="Calibri" w:hAnsi="Calibri" w:cs="Calibri"/>
                <w:sz w:val="20"/>
              </w:rPr>
            </w:pPr>
            <w:r w:rsidRPr="00E3144A">
              <w:rPr>
                <w:rFonts w:ascii="Calibri" w:hAnsi="Calibri" w:cs="Calibri"/>
                <w:sz w:val="20"/>
              </w:rPr>
              <w:t>V tom:</w:t>
            </w:r>
          </w:p>
        </w:tc>
        <w:tc>
          <w:tcPr>
            <w:tcW w:w="1553" w:type="pct"/>
            <w:tcBorders>
              <w:top w:val="nil"/>
              <w:left w:val="nil"/>
              <w:bottom w:val="single" w:sz="4" w:space="0" w:color="auto"/>
              <w:right w:val="single" w:sz="4" w:space="0" w:color="auto"/>
            </w:tcBorders>
            <w:shd w:val="clear" w:color="auto" w:fill="auto"/>
            <w:noWrap/>
            <w:vAlign w:val="center"/>
          </w:tcPr>
          <w:p w14:paraId="70A0B404" w14:textId="77777777" w:rsidR="007B64C5" w:rsidRPr="00E3144A" w:rsidRDefault="007B64C5" w:rsidP="00C84557">
            <w:pPr>
              <w:spacing w:after="0"/>
              <w:jc w:val="right"/>
              <w:rPr>
                <w:rFonts w:ascii="Calibri" w:hAnsi="Calibri" w:cs="Calibri"/>
                <w:sz w:val="20"/>
              </w:rPr>
            </w:pPr>
            <w:r w:rsidRPr="00E3144A">
              <w:rPr>
                <w:rFonts w:ascii="Calibri" w:hAnsi="Calibri" w:cs="Calibri"/>
                <w:sz w:val="20"/>
              </w:rPr>
              <w:t>578 457</w:t>
            </w:r>
          </w:p>
        </w:tc>
        <w:tc>
          <w:tcPr>
            <w:tcW w:w="1585" w:type="pct"/>
            <w:tcBorders>
              <w:top w:val="nil"/>
              <w:left w:val="nil"/>
              <w:bottom w:val="single" w:sz="4" w:space="0" w:color="auto"/>
              <w:right w:val="single" w:sz="4" w:space="0" w:color="auto"/>
            </w:tcBorders>
            <w:shd w:val="clear" w:color="auto" w:fill="auto"/>
            <w:noWrap/>
            <w:vAlign w:val="center"/>
          </w:tcPr>
          <w:p w14:paraId="6026EFCB" w14:textId="77777777" w:rsidR="007B64C5" w:rsidRPr="00E3144A" w:rsidRDefault="007B64C5" w:rsidP="00C84557">
            <w:pPr>
              <w:spacing w:after="0"/>
              <w:jc w:val="right"/>
              <w:rPr>
                <w:rFonts w:ascii="Calibri" w:hAnsi="Calibri" w:cs="Calibri"/>
                <w:sz w:val="20"/>
              </w:rPr>
            </w:pPr>
            <w:r w:rsidRPr="00E3144A">
              <w:rPr>
                <w:rFonts w:ascii="Calibri" w:hAnsi="Calibri" w:cs="Calibri"/>
                <w:sz w:val="20"/>
              </w:rPr>
              <w:t>612 708</w:t>
            </w:r>
          </w:p>
        </w:tc>
      </w:tr>
      <w:tr w:rsidR="007B64C5" w:rsidRPr="00E3144A" w14:paraId="4F4A5E74"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tcPr>
          <w:p w14:paraId="7531F7BF" w14:textId="77777777" w:rsidR="007B64C5" w:rsidRPr="00E3144A" w:rsidRDefault="007B64C5" w:rsidP="009D2144">
            <w:pPr>
              <w:pStyle w:val="Odstavecseseznamem"/>
              <w:widowControl/>
              <w:numPr>
                <w:ilvl w:val="0"/>
                <w:numId w:val="3"/>
              </w:numPr>
              <w:jc w:val="left"/>
              <w:rPr>
                <w:rFonts w:ascii="Calibri" w:hAnsi="Calibri" w:cs="Calibri"/>
                <w:sz w:val="20"/>
              </w:rPr>
            </w:pPr>
            <w:r w:rsidRPr="00E3144A">
              <w:rPr>
                <w:rFonts w:ascii="Calibri" w:hAnsi="Calibri" w:cs="Calibri"/>
                <w:sz w:val="20"/>
              </w:rPr>
              <w:t>pozemky</w:t>
            </w:r>
          </w:p>
        </w:tc>
        <w:tc>
          <w:tcPr>
            <w:tcW w:w="1553" w:type="pct"/>
            <w:tcBorders>
              <w:top w:val="nil"/>
              <w:left w:val="nil"/>
              <w:bottom w:val="single" w:sz="4" w:space="0" w:color="auto"/>
              <w:right w:val="single" w:sz="4" w:space="0" w:color="auto"/>
            </w:tcBorders>
            <w:shd w:val="clear" w:color="auto" w:fill="auto"/>
            <w:noWrap/>
            <w:vAlign w:val="bottom"/>
          </w:tcPr>
          <w:p w14:paraId="18FA4E27"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100 909</w:t>
            </w:r>
          </w:p>
        </w:tc>
        <w:tc>
          <w:tcPr>
            <w:tcW w:w="1585" w:type="pct"/>
            <w:tcBorders>
              <w:top w:val="nil"/>
              <w:left w:val="nil"/>
              <w:bottom w:val="single" w:sz="4" w:space="0" w:color="auto"/>
              <w:right w:val="single" w:sz="4" w:space="0" w:color="auto"/>
            </w:tcBorders>
            <w:shd w:val="clear" w:color="auto" w:fill="auto"/>
            <w:noWrap/>
            <w:vAlign w:val="bottom"/>
          </w:tcPr>
          <w:p w14:paraId="5594FA12"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100 997</w:t>
            </w:r>
          </w:p>
        </w:tc>
      </w:tr>
      <w:tr w:rsidR="007B64C5" w:rsidRPr="00E3144A" w14:paraId="634AF9FF"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tcPr>
          <w:p w14:paraId="731660C7" w14:textId="77777777" w:rsidR="007B64C5" w:rsidRPr="00E3144A" w:rsidRDefault="007B64C5" w:rsidP="009D2144">
            <w:pPr>
              <w:pStyle w:val="Odstavecseseznamem"/>
              <w:widowControl/>
              <w:numPr>
                <w:ilvl w:val="0"/>
                <w:numId w:val="3"/>
              </w:numPr>
              <w:jc w:val="left"/>
              <w:rPr>
                <w:rFonts w:ascii="Calibri" w:hAnsi="Calibri" w:cs="Calibri"/>
                <w:sz w:val="20"/>
                <w:szCs w:val="22"/>
              </w:rPr>
            </w:pPr>
            <w:r w:rsidRPr="00E3144A">
              <w:rPr>
                <w:rFonts w:ascii="Calibri" w:hAnsi="Calibri" w:cs="Calibri"/>
                <w:sz w:val="20"/>
                <w:szCs w:val="22"/>
              </w:rPr>
              <w:t>budovy a jiné stavby, které nejsou součástí pozemků</w:t>
            </w:r>
          </w:p>
        </w:tc>
        <w:tc>
          <w:tcPr>
            <w:tcW w:w="1553" w:type="pct"/>
            <w:tcBorders>
              <w:top w:val="nil"/>
              <w:left w:val="nil"/>
              <w:bottom w:val="single" w:sz="4" w:space="0" w:color="auto"/>
              <w:right w:val="single" w:sz="4" w:space="0" w:color="auto"/>
            </w:tcBorders>
            <w:shd w:val="clear" w:color="auto" w:fill="auto"/>
            <w:noWrap/>
            <w:vAlign w:val="bottom"/>
          </w:tcPr>
          <w:p w14:paraId="3C8BADED"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199 770</w:t>
            </w:r>
          </w:p>
        </w:tc>
        <w:tc>
          <w:tcPr>
            <w:tcW w:w="1585" w:type="pct"/>
            <w:tcBorders>
              <w:top w:val="nil"/>
              <w:left w:val="nil"/>
              <w:bottom w:val="single" w:sz="4" w:space="0" w:color="auto"/>
              <w:right w:val="single" w:sz="4" w:space="0" w:color="auto"/>
            </w:tcBorders>
            <w:shd w:val="clear" w:color="auto" w:fill="auto"/>
            <w:noWrap/>
            <w:vAlign w:val="bottom"/>
          </w:tcPr>
          <w:p w14:paraId="559C2BD9"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222 589</w:t>
            </w:r>
          </w:p>
        </w:tc>
      </w:tr>
      <w:tr w:rsidR="007B64C5" w:rsidRPr="00E3144A" w14:paraId="4354630A"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tcPr>
          <w:p w14:paraId="4E65A77E" w14:textId="77777777" w:rsidR="007B64C5" w:rsidRPr="00E3144A" w:rsidRDefault="007B64C5" w:rsidP="009D2144">
            <w:pPr>
              <w:pStyle w:val="Odstavecseseznamem"/>
              <w:widowControl/>
              <w:numPr>
                <w:ilvl w:val="0"/>
                <w:numId w:val="3"/>
              </w:numPr>
              <w:jc w:val="left"/>
              <w:rPr>
                <w:rFonts w:ascii="Calibri" w:hAnsi="Calibri" w:cs="Calibri"/>
                <w:sz w:val="20"/>
                <w:szCs w:val="22"/>
              </w:rPr>
            </w:pPr>
            <w:r w:rsidRPr="00E3144A">
              <w:rPr>
                <w:rFonts w:ascii="Calibri" w:hAnsi="Calibri" w:cs="Calibri"/>
                <w:sz w:val="20"/>
                <w:szCs w:val="22"/>
              </w:rPr>
              <w:t>samostatný movitý majetek</w:t>
            </w:r>
          </w:p>
        </w:tc>
        <w:tc>
          <w:tcPr>
            <w:tcW w:w="1553" w:type="pct"/>
            <w:tcBorders>
              <w:top w:val="nil"/>
              <w:left w:val="nil"/>
              <w:bottom w:val="single" w:sz="4" w:space="0" w:color="auto"/>
              <w:right w:val="single" w:sz="4" w:space="0" w:color="auto"/>
            </w:tcBorders>
            <w:shd w:val="clear" w:color="auto" w:fill="auto"/>
            <w:noWrap/>
            <w:vAlign w:val="bottom"/>
          </w:tcPr>
          <w:p w14:paraId="2CD77048"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276 969</w:t>
            </w:r>
          </w:p>
        </w:tc>
        <w:tc>
          <w:tcPr>
            <w:tcW w:w="1585" w:type="pct"/>
            <w:tcBorders>
              <w:top w:val="nil"/>
              <w:left w:val="nil"/>
              <w:bottom w:val="single" w:sz="4" w:space="0" w:color="auto"/>
              <w:right w:val="single" w:sz="4" w:space="0" w:color="auto"/>
            </w:tcBorders>
            <w:shd w:val="clear" w:color="auto" w:fill="auto"/>
            <w:noWrap/>
            <w:vAlign w:val="bottom"/>
          </w:tcPr>
          <w:p w14:paraId="5FFB3606"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288 313</w:t>
            </w:r>
          </w:p>
        </w:tc>
      </w:tr>
      <w:tr w:rsidR="007B64C5" w:rsidRPr="00E3144A" w14:paraId="01417182"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tcPr>
          <w:p w14:paraId="17684ED4" w14:textId="77777777" w:rsidR="007B64C5" w:rsidRPr="00E3144A" w:rsidRDefault="007B64C5" w:rsidP="009D2144">
            <w:pPr>
              <w:pStyle w:val="Odstavecseseznamem"/>
              <w:widowControl/>
              <w:numPr>
                <w:ilvl w:val="0"/>
                <w:numId w:val="3"/>
              </w:numPr>
              <w:jc w:val="left"/>
              <w:rPr>
                <w:rFonts w:ascii="Calibri" w:hAnsi="Calibri" w:cs="Calibri"/>
                <w:sz w:val="20"/>
                <w:szCs w:val="22"/>
              </w:rPr>
            </w:pPr>
            <w:r w:rsidRPr="00E3144A">
              <w:rPr>
                <w:rFonts w:ascii="Calibri" w:hAnsi="Calibri" w:cs="Calibri"/>
                <w:sz w:val="20"/>
                <w:szCs w:val="22"/>
              </w:rPr>
              <w:t>jiný dlouhodobý hmotný majetek (umělecká díla)</w:t>
            </w:r>
          </w:p>
        </w:tc>
        <w:tc>
          <w:tcPr>
            <w:tcW w:w="1553" w:type="pct"/>
            <w:tcBorders>
              <w:top w:val="nil"/>
              <w:left w:val="nil"/>
              <w:bottom w:val="single" w:sz="4" w:space="0" w:color="auto"/>
              <w:right w:val="single" w:sz="4" w:space="0" w:color="auto"/>
            </w:tcBorders>
            <w:shd w:val="clear" w:color="auto" w:fill="auto"/>
            <w:noWrap/>
            <w:vAlign w:val="bottom"/>
          </w:tcPr>
          <w:p w14:paraId="17A4C67A"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809</w:t>
            </w:r>
          </w:p>
        </w:tc>
        <w:tc>
          <w:tcPr>
            <w:tcW w:w="1585" w:type="pct"/>
            <w:tcBorders>
              <w:top w:val="nil"/>
              <w:left w:val="nil"/>
              <w:bottom w:val="single" w:sz="4" w:space="0" w:color="auto"/>
              <w:right w:val="single" w:sz="4" w:space="0" w:color="auto"/>
            </w:tcBorders>
            <w:shd w:val="clear" w:color="auto" w:fill="auto"/>
            <w:noWrap/>
            <w:vAlign w:val="bottom"/>
          </w:tcPr>
          <w:p w14:paraId="275EF749"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809</w:t>
            </w:r>
          </w:p>
        </w:tc>
      </w:tr>
      <w:tr w:rsidR="007B64C5" w:rsidRPr="00E3144A" w14:paraId="22330E3D" w14:textId="77777777" w:rsidTr="00BC4E43">
        <w:trPr>
          <w:trHeight w:val="300"/>
        </w:trPr>
        <w:tc>
          <w:tcPr>
            <w:tcW w:w="1861" w:type="pct"/>
            <w:tcBorders>
              <w:top w:val="nil"/>
              <w:left w:val="single" w:sz="4" w:space="0" w:color="auto"/>
              <w:bottom w:val="single" w:sz="4" w:space="0" w:color="auto"/>
              <w:right w:val="single" w:sz="4" w:space="0" w:color="auto"/>
            </w:tcBorders>
            <w:shd w:val="clear" w:color="auto" w:fill="auto"/>
            <w:noWrap/>
            <w:vAlign w:val="bottom"/>
            <w:hideMark/>
          </w:tcPr>
          <w:p w14:paraId="46AC2E5D" w14:textId="48B25104" w:rsidR="007B64C5" w:rsidRPr="00E3144A" w:rsidRDefault="007B64C5" w:rsidP="009D2144">
            <w:pPr>
              <w:spacing w:after="0"/>
              <w:rPr>
                <w:rFonts w:ascii="Calibri" w:hAnsi="Calibri" w:cs="Calibri"/>
                <w:sz w:val="20"/>
              </w:rPr>
            </w:pPr>
            <w:r w:rsidRPr="00E3144A">
              <w:rPr>
                <w:rFonts w:ascii="Calibri" w:hAnsi="Calibri" w:cs="Calibri"/>
                <w:sz w:val="20"/>
              </w:rPr>
              <w:t xml:space="preserve">Z toho určený majetek </w:t>
            </w:r>
          </w:p>
        </w:tc>
        <w:tc>
          <w:tcPr>
            <w:tcW w:w="1553" w:type="pct"/>
            <w:tcBorders>
              <w:top w:val="nil"/>
              <w:left w:val="nil"/>
              <w:bottom w:val="single" w:sz="4" w:space="0" w:color="auto"/>
              <w:right w:val="single" w:sz="4" w:space="0" w:color="auto"/>
            </w:tcBorders>
            <w:shd w:val="clear" w:color="auto" w:fill="auto"/>
            <w:noWrap/>
            <w:vAlign w:val="bottom"/>
          </w:tcPr>
          <w:p w14:paraId="567B9115"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280 001</w:t>
            </w:r>
          </w:p>
        </w:tc>
        <w:tc>
          <w:tcPr>
            <w:tcW w:w="1585" w:type="pct"/>
            <w:tcBorders>
              <w:top w:val="nil"/>
              <w:left w:val="nil"/>
              <w:bottom w:val="single" w:sz="4" w:space="0" w:color="auto"/>
              <w:right w:val="single" w:sz="4" w:space="0" w:color="auto"/>
            </w:tcBorders>
            <w:shd w:val="clear" w:color="auto" w:fill="auto"/>
            <w:noWrap/>
            <w:vAlign w:val="bottom"/>
          </w:tcPr>
          <w:p w14:paraId="5D79BC20" w14:textId="77777777" w:rsidR="007B64C5" w:rsidRPr="00E3144A" w:rsidRDefault="007B64C5" w:rsidP="009D2144">
            <w:pPr>
              <w:spacing w:after="0"/>
              <w:jc w:val="right"/>
              <w:rPr>
                <w:rFonts w:ascii="Calibri" w:hAnsi="Calibri" w:cs="Calibri"/>
                <w:sz w:val="20"/>
              </w:rPr>
            </w:pPr>
            <w:r w:rsidRPr="00E3144A">
              <w:rPr>
                <w:rFonts w:ascii="Calibri" w:hAnsi="Calibri" w:cs="Calibri"/>
                <w:sz w:val="20"/>
              </w:rPr>
              <w:t>302 868</w:t>
            </w:r>
          </w:p>
        </w:tc>
      </w:tr>
    </w:tbl>
    <w:p w14:paraId="3080D453" w14:textId="147A0A57" w:rsidR="007B64C5" w:rsidRPr="007B64C5" w:rsidRDefault="00A72E41" w:rsidP="00BC4E43">
      <w:pPr>
        <w:spacing w:after="0"/>
        <w:ind w:left="567" w:hanging="567"/>
        <w:jc w:val="both"/>
        <w:rPr>
          <w:sz w:val="24"/>
          <w:szCs w:val="20"/>
        </w:rPr>
      </w:pPr>
      <w:r w:rsidRPr="00BC4E43">
        <w:rPr>
          <w:rFonts w:ascii="Calibri" w:eastAsia="Calibri" w:hAnsi="Calibri"/>
          <w:b/>
          <w:bCs/>
          <w:sz w:val="20"/>
        </w:rPr>
        <w:t>Z</w:t>
      </w:r>
      <w:r w:rsidR="007B64C5" w:rsidRPr="00BC4E43">
        <w:rPr>
          <w:rFonts w:ascii="Calibri" w:eastAsia="Calibri" w:hAnsi="Calibri"/>
          <w:b/>
          <w:bCs/>
          <w:sz w:val="20"/>
        </w:rPr>
        <w:t>droj:</w:t>
      </w:r>
      <w:r w:rsidR="007B64C5" w:rsidRPr="00A72E41">
        <w:rPr>
          <w:rFonts w:ascii="Calibri" w:eastAsia="Calibri" w:hAnsi="Calibri"/>
          <w:sz w:val="20"/>
        </w:rPr>
        <w:t xml:space="preserve"> </w:t>
      </w:r>
      <w:r w:rsidR="00C84557">
        <w:rPr>
          <w:rFonts w:ascii="Calibri" w:eastAsia="Calibri" w:hAnsi="Calibri"/>
          <w:sz w:val="20"/>
        </w:rPr>
        <w:tab/>
        <w:t>z</w:t>
      </w:r>
      <w:r w:rsidR="007B64C5" w:rsidRPr="00A72E41">
        <w:rPr>
          <w:rFonts w:ascii="Calibri" w:eastAsia="Calibri" w:hAnsi="Calibri"/>
          <w:sz w:val="20"/>
        </w:rPr>
        <w:t xml:space="preserve">akládací listina vydaná rozhodnutím ministryně průmyslu a obchodu č. 25/2018 ze dne 30. listopadu 2018, </w:t>
      </w:r>
      <w:r w:rsidR="00C84557">
        <w:rPr>
          <w:rFonts w:ascii="Calibri" w:eastAsia="Calibri" w:hAnsi="Calibri"/>
          <w:sz w:val="20"/>
        </w:rPr>
        <w:t>r</w:t>
      </w:r>
      <w:r w:rsidR="007B64C5" w:rsidRPr="00A72E41">
        <w:rPr>
          <w:rFonts w:ascii="Calibri" w:eastAsia="Calibri" w:hAnsi="Calibri"/>
          <w:sz w:val="20"/>
        </w:rPr>
        <w:t>ozhodnutí ministra průmyslu a obchodu č. 141/2019 a 142/2019 ze dne 18. prosince 2019, účetní deníky a</w:t>
      </w:r>
      <w:r>
        <w:rPr>
          <w:rFonts w:ascii="Calibri" w:eastAsia="Calibri" w:hAnsi="Calibri"/>
          <w:sz w:val="20"/>
        </w:rPr>
        <w:t> </w:t>
      </w:r>
      <w:r w:rsidR="007B64C5" w:rsidRPr="00A72E41">
        <w:rPr>
          <w:rFonts w:ascii="Calibri" w:eastAsia="Calibri" w:hAnsi="Calibri"/>
          <w:sz w:val="20"/>
        </w:rPr>
        <w:t>účetnictví TZÚS.</w:t>
      </w:r>
    </w:p>
    <w:sectPr w:rsidR="007B64C5" w:rsidRPr="007B64C5" w:rsidSect="009316BE">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842BA8" w16cex:dateUtc="2024-09-19T13:25:00Z"/>
  <w16cex:commentExtensible w16cex:durableId="0D1C3E2D" w16cex:dateUtc="2024-09-19T13:34:00Z"/>
  <w16cex:commentExtensible w16cex:durableId="4C330E90" w16cex:dateUtc="2024-09-19T13:38:00Z"/>
  <w16cex:commentExtensible w16cex:durableId="46945C25" w16cex:dateUtc="2024-09-19T13:50:00Z"/>
  <w16cex:commentExtensible w16cex:durableId="515DB717" w16cex:dateUtc="2024-09-19T14:44:00Z"/>
  <w16cex:commentExtensible w16cex:durableId="3E8F33F9" w16cex:dateUtc="2024-09-19T14:35:00Z"/>
  <w16cex:commentExtensible w16cex:durableId="17FC64EA" w16cex:dateUtc="2024-09-19T15:03:00Z"/>
  <w16cex:commentExtensible w16cex:durableId="4E1E4F03" w16cex:dateUtc="2024-09-19T20:35:00Z"/>
  <w16cex:commentExtensible w16cex:durableId="0F12C611" w16cex:dateUtc="2024-09-19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9AD4" w14:textId="77777777" w:rsidR="007E6246" w:rsidRDefault="007E6246" w:rsidP="00BA1F29">
      <w:pPr>
        <w:spacing w:after="0" w:line="240" w:lineRule="auto"/>
      </w:pPr>
      <w:r>
        <w:separator/>
      </w:r>
    </w:p>
  </w:endnote>
  <w:endnote w:type="continuationSeparator" w:id="0">
    <w:p w14:paraId="3022EF09" w14:textId="77777777" w:rsidR="007E6246" w:rsidRDefault="007E6246" w:rsidP="00BA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58085"/>
      <w:docPartObj>
        <w:docPartGallery w:val="Page Numbers (Bottom of Page)"/>
        <w:docPartUnique/>
      </w:docPartObj>
    </w:sdtPr>
    <w:sdtEndPr/>
    <w:sdtContent>
      <w:p w14:paraId="7A212204" w14:textId="77777777" w:rsidR="007E6246" w:rsidRDefault="007E6246">
        <w:pPr>
          <w:pStyle w:val="Zpat"/>
          <w:jc w:val="center"/>
        </w:pPr>
        <w:r w:rsidRPr="00BC4E43">
          <w:rPr>
            <w:sz w:val="24"/>
            <w:szCs w:val="24"/>
          </w:rPr>
          <w:fldChar w:fldCharType="begin"/>
        </w:r>
        <w:r w:rsidRPr="00BC4E43">
          <w:rPr>
            <w:sz w:val="24"/>
            <w:szCs w:val="24"/>
          </w:rPr>
          <w:instrText>PAGE   \* MERGEFORMAT</w:instrText>
        </w:r>
        <w:r w:rsidRPr="00BC4E43">
          <w:rPr>
            <w:sz w:val="24"/>
            <w:szCs w:val="24"/>
          </w:rPr>
          <w:fldChar w:fldCharType="separate"/>
        </w:r>
        <w:r w:rsidRPr="00BC4E43">
          <w:rPr>
            <w:sz w:val="24"/>
            <w:szCs w:val="24"/>
          </w:rPr>
          <w:t>2</w:t>
        </w:r>
        <w:r w:rsidRPr="00BC4E43">
          <w:rPr>
            <w:sz w:val="24"/>
            <w:szCs w:val="24"/>
          </w:rPr>
          <w:fldChar w:fldCharType="end"/>
        </w:r>
      </w:p>
    </w:sdtContent>
  </w:sdt>
  <w:p w14:paraId="6422FF58" w14:textId="77777777" w:rsidR="007E6246" w:rsidRDefault="007E62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D18E" w14:textId="77777777" w:rsidR="007E6246" w:rsidRDefault="007E6246" w:rsidP="00BA1F29">
      <w:pPr>
        <w:spacing w:after="0" w:line="240" w:lineRule="auto"/>
      </w:pPr>
      <w:r>
        <w:separator/>
      </w:r>
    </w:p>
  </w:footnote>
  <w:footnote w:type="continuationSeparator" w:id="0">
    <w:p w14:paraId="40BD609E" w14:textId="77777777" w:rsidR="007E6246" w:rsidRDefault="007E6246" w:rsidP="00BA1F29">
      <w:pPr>
        <w:spacing w:after="0" w:line="240" w:lineRule="auto"/>
      </w:pPr>
      <w:r>
        <w:continuationSeparator/>
      </w:r>
    </w:p>
  </w:footnote>
  <w:footnote w:id="1">
    <w:p w14:paraId="325764B6" w14:textId="13884DCE" w:rsidR="007E6246" w:rsidRDefault="007E6246" w:rsidP="00756EC8">
      <w:pPr>
        <w:pStyle w:val="Textpoznpodarou"/>
        <w:ind w:left="284" w:hanging="284"/>
        <w:jc w:val="both"/>
      </w:pPr>
      <w:r>
        <w:rPr>
          <w:rStyle w:val="Znakapoznpodarou"/>
        </w:rPr>
        <w:footnoteRef/>
      </w:r>
      <w:r>
        <w:t xml:space="preserve"> </w:t>
      </w:r>
      <w:r>
        <w:tab/>
        <w:t>Ustanovení § 14 odst. 1 písm. b) zákona č. 77/1997 Sb., o státním podniku (dále také „ZSP“).</w:t>
      </w:r>
    </w:p>
  </w:footnote>
  <w:footnote w:id="2">
    <w:p w14:paraId="0D0A1310" w14:textId="53AAAF01" w:rsidR="007E6246" w:rsidRDefault="007E6246" w:rsidP="009316BE">
      <w:pPr>
        <w:pStyle w:val="Textpoznpodarou"/>
        <w:ind w:left="284" w:hanging="284"/>
        <w:jc w:val="both"/>
      </w:pPr>
      <w:r>
        <w:rPr>
          <w:rStyle w:val="Znakapoznpodarou"/>
        </w:rPr>
        <w:footnoteRef/>
      </w:r>
      <w:r>
        <w:t xml:space="preserve"> </w:t>
      </w:r>
      <w:r>
        <w:tab/>
        <w:t>Ustanovení § 15 odst. 1 písm. g), h) a l) zákona č. 77/1997 Sb., o státním podniku.</w:t>
      </w:r>
      <w:bookmarkStart w:id="2" w:name="_GoBack"/>
      <w:bookmarkEnd w:id="2"/>
    </w:p>
  </w:footnote>
  <w:footnote w:id="3">
    <w:p w14:paraId="0723F421" w14:textId="03DA97C7" w:rsidR="007E6246" w:rsidRPr="00983B8B" w:rsidRDefault="007E6246" w:rsidP="009316BE">
      <w:pPr>
        <w:pStyle w:val="Textpoznpodarou"/>
        <w:ind w:left="284" w:hanging="284"/>
        <w:jc w:val="both"/>
      </w:pPr>
      <w:r>
        <w:rPr>
          <w:rStyle w:val="Znakapoznpodarou"/>
        </w:rPr>
        <w:footnoteRef/>
      </w:r>
      <w:r>
        <w:t xml:space="preserve"> </w:t>
      </w:r>
      <w:r>
        <w:tab/>
        <w:t xml:space="preserve">Ustanovení § 11 odst. 2 a § 66 písm. a) zákona č. 304/2013 Sb., </w:t>
      </w:r>
      <w:r w:rsidRPr="00983B8B">
        <w:t>o veřejných rejstřících právnických a fyzických osob a o evidenci svěřenských fondů</w:t>
      </w:r>
      <w:r>
        <w:t>.</w:t>
      </w:r>
    </w:p>
  </w:footnote>
  <w:footnote w:id="4">
    <w:p w14:paraId="57EC3DC1" w14:textId="73FD6D47" w:rsidR="007E6246" w:rsidRDefault="007E6246" w:rsidP="009316BE">
      <w:pPr>
        <w:pStyle w:val="Textpoznpodarou"/>
        <w:ind w:left="284" w:hanging="284"/>
        <w:jc w:val="both"/>
      </w:pPr>
      <w:r>
        <w:rPr>
          <w:rStyle w:val="Znakapoznpodarou"/>
        </w:rPr>
        <w:footnoteRef/>
      </w:r>
      <w:r>
        <w:t xml:space="preserve"> </w:t>
      </w:r>
      <w:r>
        <w:tab/>
        <w:t>NKÚ nemá pravomoc kontrolovat hospodaření akciových společností, i když většinový podíl akcií je vlastněn státním podnikem.</w:t>
      </w:r>
    </w:p>
  </w:footnote>
  <w:footnote w:id="5">
    <w:p w14:paraId="7A6AE921" w14:textId="7BDBCACD" w:rsidR="007E6246" w:rsidRDefault="007E6246" w:rsidP="009316BE">
      <w:pPr>
        <w:pStyle w:val="Textpoznpodarou"/>
        <w:ind w:left="284" w:hanging="284"/>
        <w:jc w:val="both"/>
      </w:pPr>
      <w:r>
        <w:rPr>
          <w:rStyle w:val="Znakapoznpodarou"/>
        </w:rPr>
        <w:footnoteRef/>
      </w:r>
      <w:r>
        <w:t xml:space="preserve"> </w:t>
      </w:r>
      <w:r>
        <w:tab/>
        <w:t xml:space="preserve">Usnesení vlády ČR ze dne 19. listopadu 2008 č. 1456, o </w:t>
      </w:r>
      <w:r w:rsidRPr="009316BE">
        <w:rPr>
          <w:i/>
          <w:iCs/>
        </w:rPr>
        <w:t>postupu privatizace majetku vybraných státních podniků</w:t>
      </w:r>
      <w:r>
        <w:t>.</w:t>
      </w:r>
    </w:p>
  </w:footnote>
  <w:footnote w:id="6">
    <w:p w14:paraId="727E8E92" w14:textId="26DACCD2" w:rsidR="007E6246" w:rsidRDefault="007E6246" w:rsidP="009316BE">
      <w:pPr>
        <w:pStyle w:val="Textpoznpodarou"/>
        <w:ind w:left="284" w:hanging="284"/>
        <w:jc w:val="both"/>
      </w:pPr>
      <w:r>
        <w:rPr>
          <w:rStyle w:val="Znakapoznpodarou"/>
        </w:rPr>
        <w:footnoteRef/>
      </w:r>
      <w:r>
        <w:t xml:space="preserve"> </w:t>
      </w:r>
      <w:r>
        <w:tab/>
      </w:r>
      <w:r>
        <w:rPr>
          <w:rFonts w:cstheme="minorHAnsi"/>
        </w:rPr>
        <w:t xml:space="preserve">Usnesení vlády ČR ze dne 24. srpna 2011 č. 640, </w:t>
      </w:r>
      <w:r w:rsidRPr="009316BE">
        <w:rPr>
          <w:rFonts w:cstheme="minorHAnsi"/>
          <w:i/>
          <w:iCs/>
        </w:rPr>
        <w:t>o vyjmutí majetku státu, ke kterému mají právo hospodařit některé státní podniky z privatizace podle zákona č. 92/1991 Sb., o podmínkách převodu majetku státu na jiné osoby, ve znění pozdějších předpisů</w:t>
      </w:r>
      <w:r>
        <w:rPr>
          <w:rFonts w:cstheme="minorHAnsi"/>
        </w:rPr>
        <w:t>.</w:t>
      </w:r>
    </w:p>
  </w:footnote>
  <w:footnote w:id="7">
    <w:p w14:paraId="7C307357" w14:textId="465D4DB2" w:rsidR="007E6246" w:rsidRDefault="007E6246" w:rsidP="00AA15F5">
      <w:pPr>
        <w:pStyle w:val="Textpoznpodarou"/>
        <w:ind w:left="284" w:hanging="284"/>
      </w:pPr>
      <w:r>
        <w:rPr>
          <w:rStyle w:val="Znakapoznpodarou"/>
        </w:rPr>
        <w:footnoteRef/>
      </w:r>
      <w:r>
        <w:t xml:space="preserve"> </w:t>
      </w:r>
      <w:r>
        <w:tab/>
      </w:r>
      <w:r>
        <w:rPr>
          <w:rFonts w:eastAsia="Times New Roman" w:cs="Calibri"/>
        </w:rPr>
        <w:t>Z</w:t>
      </w:r>
      <w:r w:rsidRPr="00E158BE">
        <w:rPr>
          <w:rFonts w:eastAsia="Times New Roman" w:cs="Calibri"/>
        </w:rPr>
        <w:t>ákon č. 90/2012 Sb.</w:t>
      </w:r>
      <w:r>
        <w:rPr>
          <w:rFonts w:eastAsia="Times New Roman" w:cs="Calibri"/>
        </w:rPr>
        <w:t>,</w:t>
      </w:r>
      <w:r w:rsidRPr="00E158BE">
        <w:rPr>
          <w:rFonts w:eastAsia="Times New Roman" w:cs="Calibri"/>
        </w:rPr>
        <w:t xml:space="preserve"> o obchodních společnostech a družstvech (zákon o obchodních korporacích)</w:t>
      </w:r>
      <w:r>
        <w:rPr>
          <w:rFonts w:eastAsia="Times New Roman" w:cs="Calibri"/>
        </w:rPr>
        <w:t>.</w:t>
      </w:r>
    </w:p>
  </w:footnote>
  <w:footnote w:id="8">
    <w:p w14:paraId="686307BB" w14:textId="00D13ED8" w:rsidR="007E6246" w:rsidRDefault="007E6246" w:rsidP="00DD3BE9">
      <w:pPr>
        <w:pStyle w:val="Textpoznpodarou"/>
        <w:ind w:left="284" w:hanging="284"/>
        <w:jc w:val="both"/>
      </w:pPr>
      <w:r>
        <w:rPr>
          <w:rStyle w:val="Znakapoznpodarou"/>
        </w:rPr>
        <w:footnoteRef/>
      </w:r>
      <w:r>
        <w:t xml:space="preserve"> </w:t>
      </w:r>
      <w:r>
        <w:tab/>
      </w:r>
      <w:r>
        <w:rPr>
          <w:rFonts w:cstheme="minorHAnsi"/>
        </w:rPr>
        <w:t>Zákon č. 253/2016 Sb., kterým se mění zákon č. 77/1997 Sb., o státním podniku, ve znění pozdějších předpisů.</w:t>
      </w:r>
    </w:p>
  </w:footnote>
  <w:footnote w:id="9">
    <w:p w14:paraId="3A2C7FFB" w14:textId="56972E1F" w:rsidR="007E6246" w:rsidRDefault="007E6246" w:rsidP="00DD3BE9">
      <w:pPr>
        <w:pStyle w:val="Textpoznpodarou"/>
        <w:ind w:left="284" w:hanging="284"/>
        <w:jc w:val="both"/>
      </w:pPr>
      <w:r>
        <w:rPr>
          <w:rStyle w:val="Znakapoznpodarou"/>
        </w:rPr>
        <w:footnoteRef/>
      </w:r>
      <w:r>
        <w:t xml:space="preserve"> </w:t>
      </w:r>
      <w:r>
        <w:tab/>
        <w:t>Ustanovení § 12a odst. 1 a § 13 odst. 7 zákona č. 77/1997 Sb.</w:t>
      </w:r>
    </w:p>
  </w:footnote>
  <w:footnote w:id="10">
    <w:p w14:paraId="58369201" w14:textId="0AB005C0" w:rsidR="007E6246" w:rsidRDefault="007E6246" w:rsidP="00DD3BE9">
      <w:pPr>
        <w:pStyle w:val="Textpoznpodarou"/>
        <w:ind w:left="284" w:hanging="284"/>
      </w:pPr>
      <w:r>
        <w:rPr>
          <w:rStyle w:val="Znakapoznpodarou"/>
        </w:rPr>
        <w:footnoteRef/>
      </w:r>
      <w:r>
        <w:t xml:space="preserve"> </w:t>
      </w:r>
      <w:r>
        <w:tab/>
        <w:t>V roce 2017 nebyly uhrazeny žádné peněžní prostředky související s touto investicí.</w:t>
      </w:r>
    </w:p>
  </w:footnote>
  <w:footnote w:id="11">
    <w:p w14:paraId="1001FA8E" w14:textId="789136CC" w:rsidR="007E6246" w:rsidRDefault="007E6246" w:rsidP="00D22539">
      <w:pPr>
        <w:pStyle w:val="Textpoznpodarou"/>
        <w:ind w:left="284" w:hanging="284"/>
        <w:jc w:val="both"/>
      </w:pPr>
      <w:r>
        <w:rPr>
          <w:rStyle w:val="Znakapoznpodarou"/>
        </w:rPr>
        <w:footnoteRef/>
      </w:r>
      <w:r>
        <w:t xml:space="preserve"> </w:t>
      </w:r>
      <w:r>
        <w:tab/>
        <w:t>Opatření ministra průmyslu a obchodu č. 24/2016, kterým se upravuje metodický postup při výkonu zakladatelské funkce Ministerstva průmyslu a obchodu vůči státním podnikům, novelizované postupně opatřením ministra průmyslu a obchodu č. 16/2017, opatřením ministra průmyslu a obchodu č. 5/2019 a opatřením ministra průmyslu a obchodu č. 21/2019. Opatření ministra průmyslu a obchodu č. 5/2023, kterým se upravuje metodický postup při výkonu zakladatelské funkce Ministerstva průmyslu a obchodu vůči státním podnikům.</w:t>
      </w:r>
    </w:p>
  </w:footnote>
  <w:footnote w:id="12">
    <w:p w14:paraId="36F5D202" w14:textId="11F77E38" w:rsidR="007E6246" w:rsidRDefault="007E6246" w:rsidP="008103D8">
      <w:pPr>
        <w:pStyle w:val="Textpoznpodarou"/>
        <w:ind w:left="284" w:hanging="284"/>
        <w:jc w:val="both"/>
      </w:pPr>
      <w:r>
        <w:rPr>
          <w:rStyle w:val="Znakapoznpodarou"/>
        </w:rPr>
        <w:footnoteRef/>
      </w:r>
      <w:r>
        <w:t xml:space="preserve"> </w:t>
      </w:r>
      <w:r>
        <w:tab/>
        <w:t>Snížení kmenového jmění proběhlo z důvodu vydání majetku v rámci církevních restitucí, se kterým měl právo hospodařit TZÚS.</w:t>
      </w:r>
    </w:p>
  </w:footnote>
  <w:footnote w:id="13">
    <w:p w14:paraId="0F8667F4" w14:textId="1AF6B451" w:rsidR="007E6246" w:rsidRDefault="007E6246" w:rsidP="008103D8">
      <w:pPr>
        <w:pStyle w:val="Textpoznpodarou"/>
        <w:ind w:left="284" w:hanging="284"/>
        <w:jc w:val="both"/>
      </w:pPr>
      <w:r>
        <w:rPr>
          <w:rStyle w:val="Znakapoznpodarou"/>
        </w:rPr>
        <w:footnoteRef/>
      </w:r>
      <w:r>
        <w:t xml:space="preserve"> </w:t>
      </w:r>
      <w:r>
        <w:tab/>
        <w:t>Rozhodnutí ministra průmyslu a obchodu č. 141/2019 a 142/2019 ze dne 18. prosince 2019.</w:t>
      </w:r>
    </w:p>
  </w:footnote>
  <w:footnote w:id="14">
    <w:p w14:paraId="3987D989" w14:textId="562E663A" w:rsidR="007E6246" w:rsidRDefault="007E6246" w:rsidP="00D22539">
      <w:pPr>
        <w:pStyle w:val="Textpoznpodarou"/>
        <w:ind w:left="284" w:hanging="284"/>
        <w:jc w:val="both"/>
      </w:pPr>
      <w:r>
        <w:rPr>
          <w:rStyle w:val="Znakapoznpodarou"/>
        </w:rPr>
        <w:footnoteRef/>
      </w:r>
      <w:r>
        <w:t xml:space="preserve"> </w:t>
      </w:r>
      <w:r>
        <w:tab/>
        <w:t>Souhlas zakladatele s nabytím majetkové účasti v jiných právnických osobách byl zaveden zákonem č. 253/2016 Sb., kterým se mění zákon č. 77/1997 Sb., o státním podniku, ve znění pozdějších předpisů, s účinností od 1. ledna 2017.</w:t>
      </w:r>
    </w:p>
  </w:footnote>
  <w:footnote w:id="15">
    <w:p w14:paraId="2BB121C8" w14:textId="3F1991DC" w:rsidR="007E6246" w:rsidRDefault="007E6246" w:rsidP="008B1672">
      <w:pPr>
        <w:pStyle w:val="Textpoznpodarou"/>
        <w:ind w:left="284" w:hanging="284"/>
        <w:jc w:val="both"/>
      </w:pPr>
      <w:r>
        <w:rPr>
          <w:rStyle w:val="Znakapoznpodarou"/>
        </w:rPr>
        <w:footnoteRef/>
      </w:r>
      <w:r>
        <w:t xml:space="preserve"> </w:t>
      </w:r>
      <w:r>
        <w:tab/>
      </w:r>
      <w:r w:rsidRPr="008B1672">
        <w:rPr>
          <w:i/>
          <w:iCs/>
        </w:rPr>
        <w:t>Strategie vlastnické politiky státu</w:t>
      </w:r>
      <w:r>
        <w:t xml:space="preserve"> byla schválena usnesením vlády ČR ze dne 17. února 2020 č. 115, </w:t>
      </w:r>
      <w:r w:rsidRPr="008B1672">
        <w:rPr>
          <w:i/>
          <w:iCs/>
        </w:rPr>
        <w:t>o Strategii vlastnické politiky státu</w:t>
      </w:r>
      <w:r>
        <w:t>.</w:t>
      </w:r>
    </w:p>
  </w:footnote>
  <w:footnote w:id="16">
    <w:p w14:paraId="4569B44C" w14:textId="5F308B6E" w:rsidR="007E6246" w:rsidRDefault="007E6246" w:rsidP="008B1672">
      <w:pPr>
        <w:pStyle w:val="Textpoznpodarou"/>
        <w:ind w:left="284" w:hanging="284"/>
        <w:jc w:val="both"/>
      </w:pPr>
      <w:r>
        <w:rPr>
          <w:rStyle w:val="Znakapoznpodarou"/>
        </w:rPr>
        <w:footnoteRef/>
      </w:r>
      <w:r>
        <w:t xml:space="preserve"> </w:t>
      </w:r>
      <w:r>
        <w:tab/>
      </w:r>
      <w:r w:rsidRPr="008B1672">
        <w:rPr>
          <w:i/>
          <w:iCs/>
        </w:rPr>
        <w:t>Zpráva o plnění opatření vyplývajících ze Strategie vlastnické politiky státu k 31. 12. 2022</w:t>
      </w:r>
      <w:r>
        <w:t>, zpráva byla projednána vládou dne 8. listopadu 2023 bez usnesení.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825"/>
    <w:multiLevelType w:val="hybridMultilevel"/>
    <w:tmpl w:val="6D7A762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7A373AF"/>
    <w:multiLevelType w:val="hybridMultilevel"/>
    <w:tmpl w:val="DA0CB6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34445FEC"/>
    <w:multiLevelType w:val="hybridMultilevel"/>
    <w:tmpl w:val="AED82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7E3C2C"/>
    <w:multiLevelType w:val="hybridMultilevel"/>
    <w:tmpl w:val="960486EE"/>
    <w:lvl w:ilvl="0" w:tplc="BA20E932">
      <w:start w:val="321"/>
      <w:numFmt w:val="bullet"/>
      <w:lvlText w:val="-"/>
      <w:lvlJc w:val="left"/>
      <w:pPr>
        <w:ind w:left="718" w:hanging="360"/>
      </w:pPr>
      <w:rPr>
        <w:rFonts w:ascii="Calibri" w:eastAsia="Times New Roman" w:hAnsi="Calibri" w:cs="Calibri" w:hint="default"/>
      </w:rPr>
    </w:lvl>
    <w:lvl w:ilvl="1" w:tplc="E8C0C03A" w:tentative="1">
      <w:start w:val="1"/>
      <w:numFmt w:val="bullet"/>
      <w:lvlText w:val="o"/>
      <w:lvlJc w:val="left"/>
      <w:pPr>
        <w:ind w:left="1438" w:hanging="360"/>
      </w:pPr>
      <w:rPr>
        <w:rFonts w:ascii="Courier New" w:hAnsi="Courier New" w:cs="Courier New" w:hint="default"/>
      </w:rPr>
    </w:lvl>
    <w:lvl w:ilvl="2" w:tplc="EEEA28CC" w:tentative="1">
      <w:start w:val="1"/>
      <w:numFmt w:val="bullet"/>
      <w:lvlText w:val=""/>
      <w:lvlJc w:val="left"/>
      <w:pPr>
        <w:ind w:left="2158" w:hanging="360"/>
      </w:pPr>
      <w:rPr>
        <w:rFonts w:ascii="Wingdings" w:hAnsi="Wingdings" w:hint="default"/>
      </w:rPr>
    </w:lvl>
    <w:lvl w:ilvl="3" w:tplc="A68A794C" w:tentative="1">
      <w:start w:val="1"/>
      <w:numFmt w:val="bullet"/>
      <w:lvlText w:val=""/>
      <w:lvlJc w:val="left"/>
      <w:pPr>
        <w:ind w:left="2878" w:hanging="360"/>
      </w:pPr>
      <w:rPr>
        <w:rFonts w:ascii="Symbol" w:hAnsi="Symbol" w:hint="default"/>
      </w:rPr>
    </w:lvl>
    <w:lvl w:ilvl="4" w:tplc="EFD21324" w:tentative="1">
      <w:start w:val="1"/>
      <w:numFmt w:val="bullet"/>
      <w:lvlText w:val="o"/>
      <w:lvlJc w:val="left"/>
      <w:pPr>
        <w:ind w:left="3598" w:hanging="360"/>
      </w:pPr>
      <w:rPr>
        <w:rFonts w:ascii="Courier New" w:hAnsi="Courier New" w:cs="Courier New" w:hint="default"/>
      </w:rPr>
    </w:lvl>
    <w:lvl w:ilvl="5" w:tplc="A5A42F66" w:tentative="1">
      <w:start w:val="1"/>
      <w:numFmt w:val="bullet"/>
      <w:lvlText w:val=""/>
      <w:lvlJc w:val="left"/>
      <w:pPr>
        <w:ind w:left="4318" w:hanging="360"/>
      </w:pPr>
      <w:rPr>
        <w:rFonts w:ascii="Wingdings" w:hAnsi="Wingdings" w:hint="default"/>
      </w:rPr>
    </w:lvl>
    <w:lvl w:ilvl="6" w:tplc="C76C306A" w:tentative="1">
      <w:start w:val="1"/>
      <w:numFmt w:val="bullet"/>
      <w:lvlText w:val=""/>
      <w:lvlJc w:val="left"/>
      <w:pPr>
        <w:ind w:left="5038" w:hanging="360"/>
      </w:pPr>
      <w:rPr>
        <w:rFonts w:ascii="Symbol" w:hAnsi="Symbol" w:hint="default"/>
      </w:rPr>
    </w:lvl>
    <w:lvl w:ilvl="7" w:tplc="BA222600" w:tentative="1">
      <w:start w:val="1"/>
      <w:numFmt w:val="bullet"/>
      <w:lvlText w:val="o"/>
      <w:lvlJc w:val="left"/>
      <w:pPr>
        <w:ind w:left="5758" w:hanging="360"/>
      </w:pPr>
      <w:rPr>
        <w:rFonts w:ascii="Courier New" w:hAnsi="Courier New" w:cs="Courier New" w:hint="default"/>
      </w:rPr>
    </w:lvl>
    <w:lvl w:ilvl="8" w:tplc="27B26434" w:tentative="1">
      <w:start w:val="1"/>
      <w:numFmt w:val="bullet"/>
      <w:lvlText w:val=""/>
      <w:lvlJc w:val="left"/>
      <w:pPr>
        <w:ind w:left="6478" w:hanging="360"/>
      </w:pPr>
      <w:rPr>
        <w:rFonts w:ascii="Wingdings" w:hAnsi="Wingdings" w:hint="default"/>
      </w:rPr>
    </w:lvl>
  </w:abstractNum>
  <w:abstractNum w:abstractNumId="4" w15:restartNumberingAfterBreak="0">
    <w:nsid w:val="54080EF7"/>
    <w:multiLevelType w:val="hybridMultilevel"/>
    <w:tmpl w:val="83A48B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570C2E58"/>
    <w:multiLevelType w:val="hybridMultilevel"/>
    <w:tmpl w:val="6BA0462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51"/>
    <w:rsid w:val="00002119"/>
    <w:rsid w:val="000031AC"/>
    <w:rsid w:val="00013C60"/>
    <w:rsid w:val="0002254F"/>
    <w:rsid w:val="00023382"/>
    <w:rsid w:val="000248F3"/>
    <w:rsid w:val="000433AF"/>
    <w:rsid w:val="00045BDA"/>
    <w:rsid w:val="00046883"/>
    <w:rsid w:val="00050991"/>
    <w:rsid w:val="000530D5"/>
    <w:rsid w:val="000638A8"/>
    <w:rsid w:val="00064DAB"/>
    <w:rsid w:val="00073C9B"/>
    <w:rsid w:val="00073D72"/>
    <w:rsid w:val="00077AAF"/>
    <w:rsid w:val="00080000"/>
    <w:rsid w:val="00094670"/>
    <w:rsid w:val="000A30E3"/>
    <w:rsid w:val="000A6F6B"/>
    <w:rsid w:val="000B17BF"/>
    <w:rsid w:val="000B28F1"/>
    <w:rsid w:val="000C5796"/>
    <w:rsid w:val="000D4F8D"/>
    <w:rsid w:val="000D5427"/>
    <w:rsid w:val="000E1DF5"/>
    <w:rsid w:val="000E2014"/>
    <w:rsid w:val="000E393B"/>
    <w:rsid w:val="000E4011"/>
    <w:rsid w:val="000F7842"/>
    <w:rsid w:val="00103154"/>
    <w:rsid w:val="001050F9"/>
    <w:rsid w:val="0010777A"/>
    <w:rsid w:val="00112B43"/>
    <w:rsid w:val="00116265"/>
    <w:rsid w:val="00116B63"/>
    <w:rsid w:val="00127D96"/>
    <w:rsid w:val="001328DE"/>
    <w:rsid w:val="001477D7"/>
    <w:rsid w:val="00163271"/>
    <w:rsid w:val="00163304"/>
    <w:rsid w:val="00171FD7"/>
    <w:rsid w:val="001749B3"/>
    <w:rsid w:val="001758B5"/>
    <w:rsid w:val="0018094A"/>
    <w:rsid w:val="00182081"/>
    <w:rsid w:val="00193F91"/>
    <w:rsid w:val="0019680B"/>
    <w:rsid w:val="00197832"/>
    <w:rsid w:val="001A1B10"/>
    <w:rsid w:val="001C0261"/>
    <w:rsid w:val="001C147E"/>
    <w:rsid w:val="001D5C35"/>
    <w:rsid w:val="001E31D7"/>
    <w:rsid w:val="001E420A"/>
    <w:rsid w:val="001E5C2D"/>
    <w:rsid w:val="001F38E3"/>
    <w:rsid w:val="002073AC"/>
    <w:rsid w:val="00210F41"/>
    <w:rsid w:val="00221850"/>
    <w:rsid w:val="00247470"/>
    <w:rsid w:val="00257E2E"/>
    <w:rsid w:val="00260CC7"/>
    <w:rsid w:val="00270E2A"/>
    <w:rsid w:val="00274B42"/>
    <w:rsid w:val="00277BA5"/>
    <w:rsid w:val="00281767"/>
    <w:rsid w:val="0028482E"/>
    <w:rsid w:val="00286DFA"/>
    <w:rsid w:val="002A4DA0"/>
    <w:rsid w:val="002B4142"/>
    <w:rsid w:val="002D09FA"/>
    <w:rsid w:val="002D37E1"/>
    <w:rsid w:val="002D70CE"/>
    <w:rsid w:val="002E3B8A"/>
    <w:rsid w:val="002E7D20"/>
    <w:rsid w:val="0030233B"/>
    <w:rsid w:val="00303CC8"/>
    <w:rsid w:val="00306955"/>
    <w:rsid w:val="00311251"/>
    <w:rsid w:val="003151AC"/>
    <w:rsid w:val="00324414"/>
    <w:rsid w:val="00331536"/>
    <w:rsid w:val="00333E83"/>
    <w:rsid w:val="00334416"/>
    <w:rsid w:val="003346C9"/>
    <w:rsid w:val="003433C3"/>
    <w:rsid w:val="00343E56"/>
    <w:rsid w:val="00343E58"/>
    <w:rsid w:val="003451DD"/>
    <w:rsid w:val="00355B00"/>
    <w:rsid w:val="00361E77"/>
    <w:rsid w:val="003828E4"/>
    <w:rsid w:val="00385988"/>
    <w:rsid w:val="00390DB2"/>
    <w:rsid w:val="0039790A"/>
    <w:rsid w:val="003B283D"/>
    <w:rsid w:val="003C1CCB"/>
    <w:rsid w:val="003C2B1B"/>
    <w:rsid w:val="003D09C2"/>
    <w:rsid w:val="003D1368"/>
    <w:rsid w:val="003D7D46"/>
    <w:rsid w:val="00402C40"/>
    <w:rsid w:val="0040427A"/>
    <w:rsid w:val="00406538"/>
    <w:rsid w:val="004132B9"/>
    <w:rsid w:val="004158E5"/>
    <w:rsid w:val="00417A75"/>
    <w:rsid w:val="00426EF4"/>
    <w:rsid w:val="00445A09"/>
    <w:rsid w:val="00446950"/>
    <w:rsid w:val="004512D1"/>
    <w:rsid w:val="004738BA"/>
    <w:rsid w:val="00474E4A"/>
    <w:rsid w:val="004775F9"/>
    <w:rsid w:val="0048216B"/>
    <w:rsid w:val="004839D5"/>
    <w:rsid w:val="00493182"/>
    <w:rsid w:val="004B7519"/>
    <w:rsid w:val="004C3732"/>
    <w:rsid w:val="004D0C5E"/>
    <w:rsid w:val="004D0CEA"/>
    <w:rsid w:val="004E0370"/>
    <w:rsid w:val="004E2688"/>
    <w:rsid w:val="004F0686"/>
    <w:rsid w:val="004F10F5"/>
    <w:rsid w:val="004F34A4"/>
    <w:rsid w:val="004F620C"/>
    <w:rsid w:val="005021FE"/>
    <w:rsid w:val="005030CA"/>
    <w:rsid w:val="005046FB"/>
    <w:rsid w:val="00525CC7"/>
    <w:rsid w:val="00543017"/>
    <w:rsid w:val="005443DF"/>
    <w:rsid w:val="00583F95"/>
    <w:rsid w:val="005849CA"/>
    <w:rsid w:val="00584C1F"/>
    <w:rsid w:val="00585895"/>
    <w:rsid w:val="0058795B"/>
    <w:rsid w:val="005961ED"/>
    <w:rsid w:val="005A13BD"/>
    <w:rsid w:val="005A2578"/>
    <w:rsid w:val="005C13EB"/>
    <w:rsid w:val="005E1EA8"/>
    <w:rsid w:val="005E4674"/>
    <w:rsid w:val="005F0858"/>
    <w:rsid w:val="005F334E"/>
    <w:rsid w:val="005F3A6E"/>
    <w:rsid w:val="0060466E"/>
    <w:rsid w:val="0062283B"/>
    <w:rsid w:val="00622BDA"/>
    <w:rsid w:val="006250F4"/>
    <w:rsid w:val="00636179"/>
    <w:rsid w:val="00636B00"/>
    <w:rsid w:val="00637DF7"/>
    <w:rsid w:val="00642A0D"/>
    <w:rsid w:val="00650E8D"/>
    <w:rsid w:val="00656991"/>
    <w:rsid w:val="00661815"/>
    <w:rsid w:val="00662361"/>
    <w:rsid w:val="00662866"/>
    <w:rsid w:val="006638A5"/>
    <w:rsid w:val="00672C06"/>
    <w:rsid w:val="00687B51"/>
    <w:rsid w:val="006A0FF2"/>
    <w:rsid w:val="006B0BDA"/>
    <w:rsid w:val="006B1D36"/>
    <w:rsid w:val="006B3A4D"/>
    <w:rsid w:val="006B7F92"/>
    <w:rsid w:val="006C4970"/>
    <w:rsid w:val="006C5E8E"/>
    <w:rsid w:val="006C6004"/>
    <w:rsid w:val="006D2BEB"/>
    <w:rsid w:val="006F04B8"/>
    <w:rsid w:val="00703F1A"/>
    <w:rsid w:val="00716A73"/>
    <w:rsid w:val="007172BB"/>
    <w:rsid w:val="00720660"/>
    <w:rsid w:val="00722E5B"/>
    <w:rsid w:val="00745EC8"/>
    <w:rsid w:val="00751E90"/>
    <w:rsid w:val="00755AFC"/>
    <w:rsid w:val="00756EC8"/>
    <w:rsid w:val="00763DED"/>
    <w:rsid w:val="00772D80"/>
    <w:rsid w:val="00784DF5"/>
    <w:rsid w:val="0079034C"/>
    <w:rsid w:val="00790B01"/>
    <w:rsid w:val="00796801"/>
    <w:rsid w:val="007A2886"/>
    <w:rsid w:val="007A49F4"/>
    <w:rsid w:val="007A59A5"/>
    <w:rsid w:val="007B280B"/>
    <w:rsid w:val="007B64C5"/>
    <w:rsid w:val="007D72A6"/>
    <w:rsid w:val="007E6246"/>
    <w:rsid w:val="007E7379"/>
    <w:rsid w:val="007E7C7D"/>
    <w:rsid w:val="007E7F86"/>
    <w:rsid w:val="007F5AC9"/>
    <w:rsid w:val="0080078D"/>
    <w:rsid w:val="008022B0"/>
    <w:rsid w:val="0080267E"/>
    <w:rsid w:val="0080388E"/>
    <w:rsid w:val="008039F2"/>
    <w:rsid w:val="00805978"/>
    <w:rsid w:val="008065B9"/>
    <w:rsid w:val="0080797D"/>
    <w:rsid w:val="008103D8"/>
    <w:rsid w:val="008416A0"/>
    <w:rsid w:val="0084478B"/>
    <w:rsid w:val="0085132C"/>
    <w:rsid w:val="00856AC0"/>
    <w:rsid w:val="008623F1"/>
    <w:rsid w:val="00863860"/>
    <w:rsid w:val="00864656"/>
    <w:rsid w:val="00865BFD"/>
    <w:rsid w:val="00865D38"/>
    <w:rsid w:val="0088436F"/>
    <w:rsid w:val="00886C06"/>
    <w:rsid w:val="008A1263"/>
    <w:rsid w:val="008B0169"/>
    <w:rsid w:val="008B1672"/>
    <w:rsid w:val="008C308B"/>
    <w:rsid w:val="008D3BF7"/>
    <w:rsid w:val="008F58D9"/>
    <w:rsid w:val="009040F6"/>
    <w:rsid w:val="0090453F"/>
    <w:rsid w:val="00907108"/>
    <w:rsid w:val="009136CD"/>
    <w:rsid w:val="0091405D"/>
    <w:rsid w:val="009244BC"/>
    <w:rsid w:val="009316BE"/>
    <w:rsid w:val="00931CEF"/>
    <w:rsid w:val="00931DAC"/>
    <w:rsid w:val="009360D9"/>
    <w:rsid w:val="009418BB"/>
    <w:rsid w:val="0094263C"/>
    <w:rsid w:val="00962419"/>
    <w:rsid w:val="009753B6"/>
    <w:rsid w:val="00983B8B"/>
    <w:rsid w:val="0098544F"/>
    <w:rsid w:val="00986EF2"/>
    <w:rsid w:val="0099440B"/>
    <w:rsid w:val="009A3881"/>
    <w:rsid w:val="009B0A2F"/>
    <w:rsid w:val="009B76AA"/>
    <w:rsid w:val="009C1D01"/>
    <w:rsid w:val="009C2E26"/>
    <w:rsid w:val="009D2144"/>
    <w:rsid w:val="009D796F"/>
    <w:rsid w:val="009E3F73"/>
    <w:rsid w:val="009F33BB"/>
    <w:rsid w:val="00A06BE0"/>
    <w:rsid w:val="00A13C88"/>
    <w:rsid w:val="00A322E2"/>
    <w:rsid w:val="00A3373C"/>
    <w:rsid w:val="00A36B57"/>
    <w:rsid w:val="00A3727B"/>
    <w:rsid w:val="00A42F88"/>
    <w:rsid w:val="00A56F09"/>
    <w:rsid w:val="00A57BE7"/>
    <w:rsid w:val="00A65DA9"/>
    <w:rsid w:val="00A717B8"/>
    <w:rsid w:val="00A72E41"/>
    <w:rsid w:val="00A77F61"/>
    <w:rsid w:val="00A81863"/>
    <w:rsid w:val="00A827F4"/>
    <w:rsid w:val="00A9374B"/>
    <w:rsid w:val="00A95F7A"/>
    <w:rsid w:val="00A96AEC"/>
    <w:rsid w:val="00AA15F5"/>
    <w:rsid w:val="00AA5726"/>
    <w:rsid w:val="00AC1C4B"/>
    <w:rsid w:val="00AC285B"/>
    <w:rsid w:val="00AC3E67"/>
    <w:rsid w:val="00AC41BE"/>
    <w:rsid w:val="00AC61AE"/>
    <w:rsid w:val="00AC6776"/>
    <w:rsid w:val="00AD5C53"/>
    <w:rsid w:val="00AE19D7"/>
    <w:rsid w:val="00AF1506"/>
    <w:rsid w:val="00B05A1F"/>
    <w:rsid w:val="00B12B2F"/>
    <w:rsid w:val="00B1629D"/>
    <w:rsid w:val="00B20F9C"/>
    <w:rsid w:val="00B36C47"/>
    <w:rsid w:val="00B42D29"/>
    <w:rsid w:val="00B43A93"/>
    <w:rsid w:val="00B67C9B"/>
    <w:rsid w:val="00B72097"/>
    <w:rsid w:val="00B82C01"/>
    <w:rsid w:val="00B82F06"/>
    <w:rsid w:val="00B845AD"/>
    <w:rsid w:val="00B845E7"/>
    <w:rsid w:val="00B96CD2"/>
    <w:rsid w:val="00BA1F29"/>
    <w:rsid w:val="00BA6900"/>
    <w:rsid w:val="00BA6BFD"/>
    <w:rsid w:val="00BB2BCB"/>
    <w:rsid w:val="00BC4E43"/>
    <w:rsid w:val="00BD7290"/>
    <w:rsid w:val="00BE4228"/>
    <w:rsid w:val="00BE6654"/>
    <w:rsid w:val="00BE6799"/>
    <w:rsid w:val="00BF28CD"/>
    <w:rsid w:val="00C00C73"/>
    <w:rsid w:val="00C01F6C"/>
    <w:rsid w:val="00C11F2F"/>
    <w:rsid w:val="00C14DA9"/>
    <w:rsid w:val="00C17E90"/>
    <w:rsid w:val="00C2154B"/>
    <w:rsid w:val="00C23DBD"/>
    <w:rsid w:val="00C23F5E"/>
    <w:rsid w:val="00C26770"/>
    <w:rsid w:val="00C3370B"/>
    <w:rsid w:val="00C33BBC"/>
    <w:rsid w:val="00C35091"/>
    <w:rsid w:val="00C36DBB"/>
    <w:rsid w:val="00C42B86"/>
    <w:rsid w:val="00C42EDC"/>
    <w:rsid w:val="00C43CA8"/>
    <w:rsid w:val="00C4566F"/>
    <w:rsid w:val="00C61666"/>
    <w:rsid w:val="00C62E14"/>
    <w:rsid w:val="00C64B21"/>
    <w:rsid w:val="00C67EA1"/>
    <w:rsid w:val="00C84557"/>
    <w:rsid w:val="00C94F8A"/>
    <w:rsid w:val="00CA0FCE"/>
    <w:rsid w:val="00CA6866"/>
    <w:rsid w:val="00CB0EBF"/>
    <w:rsid w:val="00CB11AC"/>
    <w:rsid w:val="00CB41EE"/>
    <w:rsid w:val="00CB7C2E"/>
    <w:rsid w:val="00CC30A2"/>
    <w:rsid w:val="00CC568B"/>
    <w:rsid w:val="00CC5978"/>
    <w:rsid w:val="00CC7EA5"/>
    <w:rsid w:val="00CF0D2E"/>
    <w:rsid w:val="00CF2FA9"/>
    <w:rsid w:val="00CF55B1"/>
    <w:rsid w:val="00CF7467"/>
    <w:rsid w:val="00D05B37"/>
    <w:rsid w:val="00D10ADE"/>
    <w:rsid w:val="00D22539"/>
    <w:rsid w:val="00D25D61"/>
    <w:rsid w:val="00D31DCE"/>
    <w:rsid w:val="00D77DB7"/>
    <w:rsid w:val="00D86ADE"/>
    <w:rsid w:val="00DA430D"/>
    <w:rsid w:val="00DA7043"/>
    <w:rsid w:val="00DB018D"/>
    <w:rsid w:val="00DB1C60"/>
    <w:rsid w:val="00DB50C1"/>
    <w:rsid w:val="00DD2A42"/>
    <w:rsid w:val="00DD3BE9"/>
    <w:rsid w:val="00DD6F0E"/>
    <w:rsid w:val="00DD72E9"/>
    <w:rsid w:val="00DE1816"/>
    <w:rsid w:val="00DE32B3"/>
    <w:rsid w:val="00DE3372"/>
    <w:rsid w:val="00DF13CC"/>
    <w:rsid w:val="00DF6070"/>
    <w:rsid w:val="00E066E8"/>
    <w:rsid w:val="00E158BE"/>
    <w:rsid w:val="00E22EBB"/>
    <w:rsid w:val="00E3144A"/>
    <w:rsid w:val="00E344C6"/>
    <w:rsid w:val="00E3649D"/>
    <w:rsid w:val="00E44A6C"/>
    <w:rsid w:val="00E46448"/>
    <w:rsid w:val="00E54EAF"/>
    <w:rsid w:val="00E60A5F"/>
    <w:rsid w:val="00E6177A"/>
    <w:rsid w:val="00E62184"/>
    <w:rsid w:val="00E750C0"/>
    <w:rsid w:val="00E77104"/>
    <w:rsid w:val="00E77C77"/>
    <w:rsid w:val="00E819E4"/>
    <w:rsid w:val="00E827AD"/>
    <w:rsid w:val="00E82FCA"/>
    <w:rsid w:val="00E866DA"/>
    <w:rsid w:val="00EA6678"/>
    <w:rsid w:val="00EC1AD1"/>
    <w:rsid w:val="00EC2861"/>
    <w:rsid w:val="00EC3743"/>
    <w:rsid w:val="00EC3DFE"/>
    <w:rsid w:val="00EC5772"/>
    <w:rsid w:val="00ED64BC"/>
    <w:rsid w:val="00ED7702"/>
    <w:rsid w:val="00EE4CC3"/>
    <w:rsid w:val="00EF54E6"/>
    <w:rsid w:val="00F027D1"/>
    <w:rsid w:val="00F1062C"/>
    <w:rsid w:val="00F122AF"/>
    <w:rsid w:val="00F20E6C"/>
    <w:rsid w:val="00F31DB0"/>
    <w:rsid w:val="00F6660C"/>
    <w:rsid w:val="00F72991"/>
    <w:rsid w:val="00F72A25"/>
    <w:rsid w:val="00F7435D"/>
    <w:rsid w:val="00F74EF0"/>
    <w:rsid w:val="00F819A3"/>
    <w:rsid w:val="00F830AF"/>
    <w:rsid w:val="00F97E8A"/>
    <w:rsid w:val="00FA1D1B"/>
    <w:rsid w:val="00FA4ADD"/>
    <w:rsid w:val="00FA6CE2"/>
    <w:rsid w:val="00FB10DA"/>
    <w:rsid w:val="00FB586F"/>
    <w:rsid w:val="00FC10BB"/>
    <w:rsid w:val="00FD077F"/>
    <w:rsid w:val="00FD3B4A"/>
    <w:rsid w:val="00FD3EBA"/>
    <w:rsid w:val="00FF2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B352"/>
  <w15:chartTrackingRefBased/>
  <w15:docId w15:val="{E00E6E51-9E09-4B41-8A78-CD7E71E4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12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 Char,Boston 10,Char,Char Char Char1,Char1,Font: Geneva 9,Fußnotentextf,Geneva 9,Podrozdzia3,Podrozdział,Schriftart: 10 pt,Schriftart: 8 pt,Schriftart: 9 pt,Text pozn. pod čarou1,Text poznámky pod čiarou 007,f,fn,ft,o"/>
    <w:basedOn w:val="Normln"/>
    <w:link w:val="TextpoznpodarouChar"/>
    <w:uiPriority w:val="99"/>
    <w:unhideWhenUsed/>
    <w:qFormat/>
    <w:rsid w:val="00BA1F29"/>
    <w:pPr>
      <w:spacing w:after="0" w:line="240" w:lineRule="auto"/>
    </w:pPr>
    <w:rPr>
      <w:rFonts w:ascii="Calibri" w:eastAsia="Calibri" w:hAnsi="Calibri" w:cs="Times New Roman"/>
      <w:sz w:val="20"/>
      <w:szCs w:val="20"/>
    </w:rPr>
  </w:style>
  <w:style w:type="character" w:customStyle="1" w:styleId="TextpoznpodarouChar">
    <w:name w:val="Text pozn. pod čarou Char"/>
    <w:aliases w:val="Char Char Char,Boston 10 Char,Char Char1,Char Char Char1 Char,Char1 Char,Font: Geneva 9 Char,Fußnotentextf Char,Geneva 9 Char,Podrozdzia3 Char,Podrozdział Char,Schriftart: 10 pt Char,Schriftart: 8 pt Char,Schriftart: 9 pt Char"/>
    <w:basedOn w:val="Standardnpsmoodstavce"/>
    <w:link w:val="Textpoznpodarou"/>
    <w:uiPriority w:val="99"/>
    <w:qFormat/>
    <w:rsid w:val="00BA1F29"/>
    <w:rPr>
      <w:rFonts w:ascii="Calibri" w:eastAsia="Calibri" w:hAnsi="Calibri" w:cs="Times New Roman"/>
      <w:sz w:val="20"/>
      <w:szCs w:val="20"/>
    </w:rPr>
  </w:style>
  <w:style w:type="character" w:styleId="Znakapoznpodarou">
    <w:name w:val="footnote reference"/>
    <w:aliases w:val="12 b.,Appel note de bas de p,Appel note de bas de page,BVI fnr,Char Car Car Car Car,Footnote,Footnote Reference Superscript,Footnote call,Footnote symbol,Légende,PGI Fußnote Ziffer,PGI Fußnote Ziffer + Times New Roman,Zúžené o ..."/>
    <w:basedOn w:val="Standardnpsmoodstavce"/>
    <w:uiPriority w:val="99"/>
    <w:unhideWhenUsed/>
    <w:qFormat/>
    <w:rsid w:val="00BA1F29"/>
    <w:rPr>
      <w:vertAlign w:val="superscript"/>
    </w:rPr>
  </w:style>
  <w:style w:type="paragraph" w:customStyle="1" w:styleId="Default">
    <w:name w:val="Default"/>
    <w:rsid w:val="00CF7467"/>
    <w:pPr>
      <w:autoSpaceDE w:val="0"/>
      <w:autoSpaceDN w:val="0"/>
      <w:adjustRightInd w:val="0"/>
      <w:spacing w:after="0" w:line="240" w:lineRule="auto"/>
    </w:pPr>
    <w:rPr>
      <w:rFonts w:ascii="Calibri" w:hAnsi="Calibri" w:cs="Calibri"/>
      <w:color w:val="000000"/>
      <w:sz w:val="24"/>
      <w:szCs w:val="24"/>
    </w:rPr>
  </w:style>
  <w:style w:type="paragraph" w:customStyle="1" w:styleId="normlnodstavec">
    <w:name w:val="normální odstavec"/>
    <w:basedOn w:val="Normln"/>
    <w:link w:val="normlnodstavecChar"/>
    <w:qFormat/>
    <w:rsid w:val="00EF54E6"/>
    <w:pPr>
      <w:widowControl w:val="0"/>
      <w:spacing w:before="240" w:after="240" w:line="240" w:lineRule="auto"/>
      <w:jc w:val="both"/>
    </w:pPr>
    <w:rPr>
      <w:rFonts w:eastAsia="Arial Unicode MS" w:cs="Arial Unicode MS"/>
      <w:color w:val="000000"/>
      <w:sz w:val="24"/>
      <w:szCs w:val="24"/>
      <w:lang w:eastAsia="cs-CZ" w:bidi="cs-CZ"/>
    </w:rPr>
  </w:style>
  <w:style w:type="character" w:customStyle="1" w:styleId="normlnodstavecChar">
    <w:name w:val="normální odstavec Char"/>
    <w:basedOn w:val="Standardnpsmoodstavce"/>
    <w:link w:val="normlnodstavec"/>
    <w:rsid w:val="00EF54E6"/>
    <w:rPr>
      <w:rFonts w:eastAsia="Arial Unicode MS" w:cs="Arial Unicode MS"/>
      <w:color w:val="000000"/>
      <w:sz w:val="24"/>
      <w:szCs w:val="24"/>
      <w:lang w:eastAsia="cs-CZ" w:bidi="cs-CZ"/>
    </w:rPr>
  </w:style>
  <w:style w:type="table" w:styleId="Mkatabulky">
    <w:name w:val="Table Grid"/>
    <w:basedOn w:val="Normlntabulka"/>
    <w:uiPriority w:val="39"/>
    <w:rsid w:val="00EF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List Paragraph_0,Odstavec se seznamem1,Odstavec v text,tab obr,tabulka,List Paragraph,List Paragraph1,List Paragraph2,Nad,Nad1,Nad2,Nadpis pro KZ,Odstavec_muj,Odstavec_muj1,Odstavec_muj2,Odstavec_muj3,Odstavec_muj4,Odstavec_muj5"/>
    <w:basedOn w:val="Normln"/>
    <w:link w:val="OdstavecseseznamemChar"/>
    <w:uiPriority w:val="34"/>
    <w:qFormat/>
    <w:rsid w:val="00E3144A"/>
    <w:pPr>
      <w:widowControl w:val="0"/>
      <w:spacing w:after="0" w:line="240" w:lineRule="auto"/>
      <w:ind w:left="720"/>
      <w:contextualSpacing/>
      <w:jc w:val="both"/>
    </w:pPr>
    <w:rPr>
      <w:rFonts w:eastAsia="Arial Unicode MS" w:cs="Arial Unicode MS"/>
      <w:color w:val="000000"/>
      <w:sz w:val="24"/>
      <w:szCs w:val="24"/>
      <w:lang w:eastAsia="cs-CZ" w:bidi="cs-CZ"/>
    </w:rPr>
  </w:style>
  <w:style w:type="character" w:customStyle="1" w:styleId="OdstavecseseznamemChar">
    <w:name w:val="Odstavec se seznamem Char"/>
    <w:aliases w:val="List Paragraph_0 Char,Odstavec se seznamem1 Char,Odstavec v text Char,tab obr Char,tabulka Char,List Paragraph Char,List Paragraph1 Char,List Paragraph2 Char,Nad Char,Nad1 Char,Nad2 Char,Nadpis pro KZ Char,Odstavec_muj Char"/>
    <w:basedOn w:val="Standardnpsmoodstavce"/>
    <w:link w:val="Odstavecseseznamem"/>
    <w:uiPriority w:val="34"/>
    <w:rsid w:val="00E3144A"/>
    <w:rPr>
      <w:rFonts w:eastAsia="Arial Unicode MS" w:cs="Arial Unicode MS"/>
      <w:color w:val="000000"/>
      <w:sz w:val="24"/>
      <w:szCs w:val="24"/>
      <w:lang w:eastAsia="cs-CZ" w:bidi="cs-CZ"/>
    </w:rPr>
  </w:style>
  <w:style w:type="paragraph" w:styleId="Zhlav">
    <w:name w:val="header"/>
    <w:basedOn w:val="Normln"/>
    <w:link w:val="ZhlavChar"/>
    <w:uiPriority w:val="99"/>
    <w:unhideWhenUsed/>
    <w:rsid w:val="00E314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44A"/>
  </w:style>
  <w:style w:type="paragraph" w:styleId="Zpat">
    <w:name w:val="footer"/>
    <w:basedOn w:val="Normln"/>
    <w:link w:val="ZpatChar"/>
    <w:uiPriority w:val="99"/>
    <w:unhideWhenUsed/>
    <w:rsid w:val="00E3144A"/>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44A"/>
  </w:style>
  <w:style w:type="paragraph" w:styleId="Textbubliny">
    <w:name w:val="Balloon Text"/>
    <w:basedOn w:val="Normln"/>
    <w:link w:val="TextbublinyChar"/>
    <w:uiPriority w:val="99"/>
    <w:semiHidden/>
    <w:unhideWhenUsed/>
    <w:rsid w:val="008C30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308B"/>
    <w:rPr>
      <w:rFonts w:ascii="Segoe UI" w:hAnsi="Segoe UI" w:cs="Segoe UI"/>
      <w:sz w:val="18"/>
      <w:szCs w:val="18"/>
    </w:rPr>
  </w:style>
  <w:style w:type="paragraph" w:styleId="Nzev">
    <w:name w:val="Title"/>
    <w:basedOn w:val="Normln"/>
    <w:link w:val="NzevChar"/>
    <w:qFormat/>
    <w:rsid w:val="009D796F"/>
    <w:pPr>
      <w:spacing w:after="0" w:line="240" w:lineRule="auto"/>
      <w:jc w:val="center"/>
    </w:pPr>
    <w:rPr>
      <w:rFonts w:ascii="Arial" w:eastAsia="Times New Roman" w:hAnsi="Arial" w:cs="Times New Roman"/>
      <w:b/>
      <w:szCs w:val="20"/>
      <w:lang w:eastAsia="cs-CZ"/>
    </w:rPr>
  </w:style>
  <w:style w:type="character" w:customStyle="1" w:styleId="NzevChar">
    <w:name w:val="Název Char"/>
    <w:basedOn w:val="Standardnpsmoodstavce"/>
    <w:link w:val="Nzev"/>
    <w:rsid w:val="009D796F"/>
    <w:rPr>
      <w:rFonts w:ascii="Arial" w:eastAsia="Times New Roman" w:hAnsi="Arial" w:cs="Times New Roman"/>
      <w:b/>
      <w:szCs w:val="20"/>
      <w:lang w:eastAsia="cs-CZ"/>
    </w:rPr>
  </w:style>
  <w:style w:type="paragraph" w:customStyle="1" w:styleId="NormlnKZ">
    <w:name w:val="Normální KZ"/>
    <w:basedOn w:val="Normln"/>
    <w:rsid w:val="009D796F"/>
    <w:pPr>
      <w:spacing w:after="120" w:line="240" w:lineRule="auto"/>
      <w:ind w:firstLine="425"/>
      <w:jc w:val="both"/>
    </w:pPr>
    <w:rPr>
      <w:rFonts w:ascii="Arial" w:eastAsia="Times New Roman" w:hAnsi="Arial" w:cs="Times New Roman"/>
      <w:szCs w:val="24"/>
      <w:lang w:eastAsia="cs-CZ"/>
    </w:rPr>
  </w:style>
  <w:style w:type="character" w:styleId="Odkaznakoment">
    <w:name w:val="annotation reference"/>
    <w:basedOn w:val="Standardnpsmoodstavce"/>
    <w:uiPriority w:val="99"/>
    <w:semiHidden/>
    <w:unhideWhenUsed/>
    <w:rsid w:val="009C2E26"/>
    <w:rPr>
      <w:sz w:val="16"/>
      <w:szCs w:val="16"/>
    </w:rPr>
  </w:style>
  <w:style w:type="paragraph" w:styleId="Textkomente">
    <w:name w:val="annotation text"/>
    <w:basedOn w:val="Normln"/>
    <w:link w:val="TextkomenteChar"/>
    <w:uiPriority w:val="99"/>
    <w:semiHidden/>
    <w:unhideWhenUsed/>
    <w:rsid w:val="009C2E26"/>
    <w:pPr>
      <w:spacing w:line="240" w:lineRule="auto"/>
    </w:pPr>
    <w:rPr>
      <w:sz w:val="20"/>
      <w:szCs w:val="20"/>
    </w:rPr>
  </w:style>
  <w:style w:type="character" w:customStyle="1" w:styleId="TextkomenteChar">
    <w:name w:val="Text komentáře Char"/>
    <w:basedOn w:val="Standardnpsmoodstavce"/>
    <w:link w:val="Textkomente"/>
    <w:uiPriority w:val="99"/>
    <w:semiHidden/>
    <w:rsid w:val="009C2E26"/>
    <w:rPr>
      <w:sz w:val="20"/>
      <w:szCs w:val="20"/>
    </w:rPr>
  </w:style>
  <w:style w:type="paragraph" w:styleId="Pedmtkomente">
    <w:name w:val="annotation subject"/>
    <w:basedOn w:val="Textkomente"/>
    <w:next w:val="Textkomente"/>
    <w:link w:val="PedmtkomenteChar"/>
    <w:uiPriority w:val="99"/>
    <w:semiHidden/>
    <w:unhideWhenUsed/>
    <w:rsid w:val="009C2E26"/>
    <w:rPr>
      <w:b/>
      <w:bCs/>
    </w:rPr>
  </w:style>
  <w:style w:type="character" w:customStyle="1" w:styleId="PedmtkomenteChar">
    <w:name w:val="Předmět komentáře Char"/>
    <w:basedOn w:val="TextkomenteChar"/>
    <w:link w:val="Pedmtkomente"/>
    <w:uiPriority w:val="99"/>
    <w:semiHidden/>
    <w:rsid w:val="009C2E26"/>
    <w:rPr>
      <w:b/>
      <w:bCs/>
      <w:sz w:val="20"/>
      <w:szCs w:val="20"/>
    </w:rPr>
  </w:style>
  <w:style w:type="table" w:customStyle="1" w:styleId="Mkatabulky1">
    <w:name w:val="Mřížka tabulky1"/>
    <w:basedOn w:val="Normlntabulka"/>
    <w:next w:val="Mkatabulky"/>
    <w:uiPriority w:val="39"/>
    <w:rsid w:val="00077AA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CC5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8165">
      <w:bodyDiv w:val="1"/>
      <w:marLeft w:val="0"/>
      <w:marRight w:val="0"/>
      <w:marTop w:val="0"/>
      <w:marBottom w:val="0"/>
      <w:divBdr>
        <w:top w:val="none" w:sz="0" w:space="0" w:color="auto"/>
        <w:left w:val="none" w:sz="0" w:space="0" w:color="auto"/>
        <w:bottom w:val="none" w:sz="0" w:space="0" w:color="auto"/>
        <w:right w:val="none" w:sz="0" w:space="0" w:color="auto"/>
      </w:divBdr>
    </w:div>
    <w:div w:id="1304775132">
      <w:bodyDiv w:val="1"/>
      <w:marLeft w:val="0"/>
      <w:marRight w:val="0"/>
      <w:marTop w:val="0"/>
      <w:marBottom w:val="0"/>
      <w:divBdr>
        <w:top w:val="none" w:sz="0" w:space="0" w:color="auto"/>
        <w:left w:val="none" w:sz="0" w:space="0" w:color="auto"/>
        <w:bottom w:val="none" w:sz="0" w:space="0" w:color="auto"/>
        <w:right w:val="none" w:sz="0" w:space="0" w:color="auto"/>
      </w:divBdr>
    </w:div>
    <w:div w:id="1410689269">
      <w:bodyDiv w:val="1"/>
      <w:marLeft w:val="0"/>
      <w:marRight w:val="0"/>
      <w:marTop w:val="0"/>
      <w:marBottom w:val="0"/>
      <w:divBdr>
        <w:top w:val="none" w:sz="0" w:space="0" w:color="auto"/>
        <w:left w:val="none" w:sz="0" w:space="0" w:color="auto"/>
        <w:bottom w:val="none" w:sz="0" w:space="0" w:color="auto"/>
        <w:right w:val="none" w:sz="0" w:space="0" w:color="auto"/>
      </w:divBdr>
    </w:div>
    <w:div w:id="1555502683">
      <w:bodyDiv w:val="1"/>
      <w:marLeft w:val="0"/>
      <w:marRight w:val="0"/>
      <w:marTop w:val="0"/>
      <w:marBottom w:val="0"/>
      <w:divBdr>
        <w:top w:val="none" w:sz="0" w:space="0" w:color="auto"/>
        <w:left w:val="none" w:sz="0" w:space="0" w:color="auto"/>
        <w:bottom w:val="none" w:sz="0" w:space="0" w:color="auto"/>
        <w:right w:val="none" w:sz="0" w:space="0" w:color="auto"/>
      </w:divBdr>
    </w:div>
    <w:div w:id="2011786227">
      <w:bodyDiv w:val="1"/>
      <w:marLeft w:val="0"/>
      <w:marRight w:val="0"/>
      <w:marTop w:val="0"/>
      <w:marBottom w:val="0"/>
      <w:divBdr>
        <w:top w:val="none" w:sz="0" w:space="0" w:color="auto"/>
        <w:left w:val="none" w:sz="0" w:space="0" w:color="auto"/>
        <w:bottom w:val="none" w:sz="0" w:space="0" w:color="auto"/>
        <w:right w:val="none" w:sz="0" w:space="0" w:color="auto"/>
      </w:divBdr>
      <w:divsChild>
        <w:div w:id="639961291">
          <w:marLeft w:val="0"/>
          <w:marRight w:val="0"/>
          <w:marTop w:val="96"/>
          <w:marBottom w:val="96"/>
          <w:divBdr>
            <w:top w:val="none" w:sz="0" w:space="0" w:color="auto"/>
            <w:left w:val="none" w:sz="0" w:space="0" w:color="auto"/>
            <w:bottom w:val="none" w:sz="0" w:space="0" w:color="auto"/>
            <w:right w:val="none" w:sz="0" w:space="0" w:color="auto"/>
          </w:divBdr>
        </w:div>
        <w:div w:id="1417937102">
          <w:marLeft w:val="0"/>
          <w:marRight w:val="0"/>
          <w:marTop w:val="96"/>
          <w:marBottom w:val="96"/>
          <w:divBdr>
            <w:top w:val="none" w:sz="0" w:space="0" w:color="auto"/>
            <w:left w:val="none" w:sz="0" w:space="0" w:color="auto"/>
            <w:bottom w:val="none" w:sz="0" w:space="0" w:color="auto"/>
            <w:right w:val="none" w:sz="0" w:space="0" w:color="auto"/>
          </w:divBdr>
        </w:div>
      </w:divsChild>
    </w:div>
    <w:div w:id="20716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9D71-5C9A-40ED-A4DD-DD05DB58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5836</Words>
  <Characters>34433</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Kontrolní závěr z kontrolní akce NKÚ č. 23/28 - Majetek a peněžní prostředky státu, s nimiž mají právo hospodařit vybrané zkušební ústavy v působnosti Ministerstva průmyslu a obchodu</vt:lpstr>
    </vt:vector>
  </TitlesOfParts>
  <Company>NKÚ</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23/28 - Majetek a peněžní prostředky státu, s nimiž mají právo hospodařit vybrané zkušební ústavy v působnosti Ministerstva průmyslu a obchodu</dc:title>
  <dc:subject>Kontrolní závěr z kontrolní akce NKÚ č. 23/28 - Majetek a peněžní prostředky státu, s nimiž mají právo hospodařit vybrané zkušební ústavy v působnosti Ministerstva průmyslu a obchodu</dc:subject>
  <dc:creator>Nejvyšší kontrolní úřad</dc:creator>
  <cp:keywords>kontrolní závěr; zkušební ústavy; Ministerstvo průmyslu a obchodu; MPO</cp:keywords>
  <dc:description/>
  <cp:lastModifiedBy>KOKRDA Daniel</cp:lastModifiedBy>
  <cp:revision>4</cp:revision>
  <cp:lastPrinted>2024-10-07T06:21:00Z</cp:lastPrinted>
  <dcterms:created xsi:type="dcterms:W3CDTF">2024-10-07T06:20:00Z</dcterms:created>
  <dcterms:modified xsi:type="dcterms:W3CDTF">2024-10-07T06:30:00Z</dcterms:modified>
</cp:coreProperties>
</file>