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08DD" w:rsidRPr="0069391C" w:rsidRDefault="00CE4C30" w:rsidP="006308DD">
      <w:pPr>
        <w:spacing w:after="0" w:line="240" w:lineRule="auto"/>
        <w:jc w:val="center"/>
        <w:rPr>
          <w:rFonts w:cstheme="minorHAnsi"/>
          <w:sz w:val="24"/>
          <w:szCs w:val="24"/>
        </w:rPr>
      </w:pPr>
      <w:bookmarkStart w:id="0" w:name="_Hlk176263571"/>
      <w:bookmarkStart w:id="1" w:name="_Hlk177371779"/>
      <w:bookmarkStart w:id="2" w:name="_Hlk177299566"/>
      <w:bookmarkStart w:id="3" w:name="_Hlk177371808"/>
      <w:bookmarkStart w:id="4" w:name="_Toc256000003"/>
      <w:bookmarkEnd w:id="0"/>
      <w:r w:rsidRPr="003B67E0">
        <w:rPr>
          <w:rFonts w:cstheme="minorHAnsi"/>
          <w:noProof/>
          <w:lang w:eastAsia="cs-CZ"/>
        </w:rPr>
        <w:drawing>
          <wp:inline distT="0" distB="0" distL="0" distR="0" wp14:anchorId="2ECBA851" wp14:editId="5604E50B">
            <wp:extent cx="828000" cy="713874"/>
            <wp:effectExtent l="0" t="0" r="0" b="0"/>
            <wp:docPr id="4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KU_logoCZ-text01-transp-rgb72dpi"/>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828000" cy="713874"/>
                    </a:xfrm>
                    <a:prstGeom prst="rect">
                      <a:avLst/>
                    </a:prstGeom>
                    <a:noFill/>
                    <a:ln>
                      <a:noFill/>
                    </a:ln>
                  </pic:spPr>
                </pic:pic>
              </a:graphicData>
            </a:graphic>
          </wp:inline>
        </w:drawing>
      </w:r>
    </w:p>
    <w:p w:rsidR="006308DD" w:rsidRPr="0069391C" w:rsidRDefault="006308DD" w:rsidP="006308DD">
      <w:pPr>
        <w:spacing w:after="0" w:line="240" w:lineRule="auto"/>
        <w:jc w:val="center"/>
        <w:rPr>
          <w:rFonts w:cstheme="minorHAnsi"/>
          <w:sz w:val="24"/>
          <w:szCs w:val="24"/>
        </w:rPr>
      </w:pPr>
    </w:p>
    <w:p w:rsidR="006308DD" w:rsidRPr="0069391C" w:rsidRDefault="006308DD" w:rsidP="006308DD">
      <w:pPr>
        <w:spacing w:after="0" w:line="240" w:lineRule="auto"/>
        <w:jc w:val="center"/>
        <w:rPr>
          <w:rFonts w:cstheme="minorHAnsi"/>
          <w:sz w:val="24"/>
          <w:szCs w:val="24"/>
        </w:rPr>
      </w:pPr>
    </w:p>
    <w:p w:rsidR="006308DD" w:rsidRPr="006308DD" w:rsidRDefault="006308DD" w:rsidP="006308DD">
      <w:pPr>
        <w:spacing w:after="0" w:line="240" w:lineRule="auto"/>
        <w:jc w:val="center"/>
        <w:rPr>
          <w:rFonts w:cstheme="minorHAnsi"/>
          <w:b/>
          <w:sz w:val="32"/>
          <w:szCs w:val="32"/>
        </w:rPr>
      </w:pPr>
      <w:bookmarkStart w:id="5" w:name="_Hlk146007675"/>
      <w:r w:rsidRPr="006308DD">
        <w:rPr>
          <w:rFonts w:cstheme="minorHAnsi"/>
          <w:b/>
          <w:sz w:val="28"/>
          <w:szCs w:val="28"/>
        </w:rPr>
        <w:t>Kontrolní závěr z kontrolní akce</w:t>
      </w:r>
    </w:p>
    <w:p w:rsidR="006308DD" w:rsidRPr="006308DD" w:rsidRDefault="006308DD" w:rsidP="006308DD">
      <w:pPr>
        <w:spacing w:after="0" w:line="240" w:lineRule="auto"/>
        <w:jc w:val="center"/>
        <w:rPr>
          <w:rFonts w:cstheme="minorHAnsi"/>
        </w:rPr>
      </w:pPr>
    </w:p>
    <w:p w:rsidR="006308DD" w:rsidRPr="006308DD" w:rsidRDefault="006308DD" w:rsidP="006308DD">
      <w:pPr>
        <w:spacing w:after="0" w:line="240" w:lineRule="auto"/>
        <w:jc w:val="center"/>
        <w:rPr>
          <w:rFonts w:cstheme="minorHAnsi"/>
          <w:b/>
          <w:sz w:val="28"/>
          <w:szCs w:val="28"/>
        </w:rPr>
      </w:pPr>
      <w:r w:rsidRPr="006308DD">
        <w:rPr>
          <w:rFonts w:cstheme="minorHAnsi"/>
          <w:b/>
          <w:sz w:val="28"/>
          <w:szCs w:val="28"/>
        </w:rPr>
        <w:t>2</w:t>
      </w:r>
      <w:r>
        <w:rPr>
          <w:rFonts w:cstheme="minorHAnsi"/>
          <w:b/>
          <w:sz w:val="28"/>
          <w:szCs w:val="28"/>
        </w:rPr>
        <w:t>4</w:t>
      </w:r>
      <w:r w:rsidRPr="006308DD">
        <w:rPr>
          <w:rFonts w:cstheme="minorHAnsi"/>
          <w:b/>
          <w:sz w:val="28"/>
          <w:szCs w:val="28"/>
        </w:rPr>
        <w:t>/</w:t>
      </w:r>
      <w:r>
        <w:rPr>
          <w:rFonts w:cstheme="minorHAnsi"/>
          <w:b/>
          <w:sz w:val="28"/>
          <w:szCs w:val="28"/>
        </w:rPr>
        <w:t>01</w:t>
      </w:r>
    </w:p>
    <w:p w:rsidR="006308DD" w:rsidRPr="006308DD" w:rsidRDefault="006308DD" w:rsidP="006308DD">
      <w:pPr>
        <w:spacing w:after="0" w:line="240" w:lineRule="auto"/>
        <w:jc w:val="center"/>
        <w:rPr>
          <w:rFonts w:cstheme="minorHAnsi"/>
        </w:rPr>
      </w:pPr>
    </w:p>
    <w:p w:rsidR="006308DD" w:rsidRPr="006308DD" w:rsidRDefault="006308DD" w:rsidP="006308DD">
      <w:pPr>
        <w:spacing w:line="252" w:lineRule="auto"/>
        <w:contextualSpacing/>
        <w:jc w:val="center"/>
        <w:rPr>
          <w:rFonts w:eastAsia="Calibri" w:cstheme="minorHAnsi"/>
          <w:b/>
          <w:color w:val="000000"/>
          <w:sz w:val="28"/>
          <w:szCs w:val="28"/>
          <w:lang w:eastAsia="cs-CZ"/>
        </w:rPr>
      </w:pPr>
      <w:r w:rsidRPr="006308DD">
        <w:rPr>
          <w:rFonts w:eastAsia="Calibri" w:cstheme="minorHAnsi"/>
          <w:b/>
          <w:color w:val="000000"/>
          <w:sz w:val="28"/>
          <w:szCs w:val="28"/>
          <w:lang w:eastAsia="cs-CZ"/>
        </w:rPr>
        <w:t xml:space="preserve">Peněžní prostředky státu a Evropské unie </w:t>
      </w:r>
    </w:p>
    <w:p w:rsidR="006308DD" w:rsidRPr="006308DD" w:rsidRDefault="006308DD" w:rsidP="006308DD">
      <w:pPr>
        <w:spacing w:line="252" w:lineRule="auto"/>
        <w:contextualSpacing/>
        <w:jc w:val="center"/>
        <w:rPr>
          <w:rFonts w:eastAsia="Calibri" w:cstheme="minorHAnsi"/>
          <w:b/>
          <w:color w:val="000000"/>
          <w:sz w:val="28"/>
          <w:szCs w:val="28"/>
          <w:lang w:eastAsia="cs-CZ"/>
        </w:rPr>
      </w:pPr>
      <w:r w:rsidRPr="006308DD">
        <w:rPr>
          <w:rFonts w:eastAsia="Calibri" w:cstheme="minorHAnsi"/>
          <w:b/>
          <w:color w:val="000000"/>
          <w:sz w:val="28"/>
          <w:szCs w:val="28"/>
          <w:lang w:eastAsia="cs-CZ"/>
        </w:rPr>
        <w:t>určené na výstavbu a rekonstrukce komunikací pro pěší</w:t>
      </w:r>
    </w:p>
    <w:p w:rsidR="006308DD" w:rsidRPr="006308DD" w:rsidRDefault="006308DD" w:rsidP="006308DD">
      <w:pPr>
        <w:pStyle w:val="Default"/>
        <w:spacing w:line="252" w:lineRule="auto"/>
        <w:contextualSpacing/>
        <w:jc w:val="both"/>
        <w:rPr>
          <w:rFonts w:asciiTheme="minorHAnsi" w:hAnsiTheme="minorHAnsi" w:cstheme="minorHAnsi"/>
        </w:rPr>
      </w:pPr>
    </w:p>
    <w:p w:rsidR="006308DD" w:rsidRPr="006308DD" w:rsidRDefault="006308DD" w:rsidP="006308DD">
      <w:pPr>
        <w:pStyle w:val="KPnormalni"/>
        <w:spacing w:line="252" w:lineRule="auto"/>
        <w:contextualSpacing/>
        <w:rPr>
          <w:rFonts w:asciiTheme="minorHAnsi" w:hAnsiTheme="minorHAnsi" w:cstheme="minorHAnsi"/>
        </w:rPr>
      </w:pPr>
    </w:p>
    <w:p w:rsidR="006308DD" w:rsidRPr="006308DD" w:rsidRDefault="006308DD" w:rsidP="006308DD">
      <w:pPr>
        <w:pStyle w:val="KPnormalni"/>
        <w:spacing w:line="252" w:lineRule="auto"/>
        <w:contextualSpacing/>
        <w:rPr>
          <w:rFonts w:asciiTheme="minorHAnsi" w:hAnsiTheme="minorHAnsi" w:cstheme="minorHAnsi"/>
        </w:rPr>
      </w:pPr>
      <w:r w:rsidRPr="006308DD">
        <w:rPr>
          <w:rFonts w:asciiTheme="minorHAnsi" w:hAnsiTheme="minorHAnsi" w:cstheme="minorHAnsi"/>
        </w:rPr>
        <w:t>Kontrolní akce byla zařazena do plánu kontrolní činnosti Nejvyššího kontrolního úřadu (dále také „NKÚ“) na rok 202</w:t>
      </w:r>
      <w:r>
        <w:rPr>
          <w:rFonts w:asciiTheme="minorHAnsi" w:hAnsiTheme="minorHAnsi" w:cstheme="minorHAnsi"/>
        </w:rPr>
        <w:t>4</w:t>
      </w:r>
      <w:r w:rsidRPr="006308DD">
        <w:rPr>
          <w:rFonts w:asciiTheme="minorHAnsi" w:hAnsiTheme="minorHAnsi" w:cstheme="minorHAnsi"/>
        </w:rPr>
        <w:t xml:space="preserve"> pod číslem 2</w:t>
      </w:r>
      <w:r>
        <w:rPr>
          <w:rFonts w:asciiTheme="minorHAnsi" w:hAnsiTheme="minorHAnsi" w:cstheme="minorHAnsi"/>
        </w:rPr>
        <w:t>4</w:t>
      </w:r>
      <w:r w:rsidRPr="006308DD">
        <w:rPr>
          <w:rFonts w:asciiTheme="minorHAnsi" w:hAnsiTheme="minorHAnsi" w:cstheme="minorHAnsi"/>
        </w:rPr>
        <w:t>/</w:t>
      </w:r>
      <w:r>
        <w:rPr>
          <w:rFonts w:asciiTheme="minorHAnsi" w:hAnsiTheme="minorHAnsi" w:cstheme="minorHAnsi"/>
        </w:rPr>
        <w:t>01</w:t>
      </w:r>
      <w:r w:rsidRPr="006308DD">
        <w:rPr>
          <w:rFonts w:asciiTheme="minorHAnsi" w:hAnsiTheme="minorHAnsi" w:cstheme="minorHAnsi"/>
        </w:rPr>
        <w:t>. Kontrolní akci řídil a kontrolní závěr vypracoval člen NKÚ Ing. Jan Kinšt.</w:t>
      </w:r>
    </w:p>
    <w:p w:rsidR="006308DD" w:rsidRPr="006308DD" w:rsidRDefault="006308DD" w:rsidP="006308DD">
      <w:pPr>
        <w:pStyle w:val="KPnormalni"/>
        <w:spacing w:line="252" w:lineRule="auto"/>
        <w:contextualSpacing/>
        <w:rPr>
          <w:rFonts w:asciiTheme="minorHAnsi" w:hAnsiTheme="minorHAnsi" w:cstheme="minorHAnsi"/>
        </w:rPr>
      </w:pPr>
    </w:p>
    <w:p w:rsidR="006308DD" w:rsidRPr="006308DD" w:rsidRDefault="006308DD" w:rsidP="006308DD">
      <w:pPr>
        <w:spacing w:after="0" w:line="252" w:lineRule="auto"/>
        <w:contextualSpacing/>
        <w:jc w:val="both"/>
        <w:rPr>
          <w:rFonts w:cstheme="minorHAnsi"/>
          <w:sz w:val="24"/>
          <w:szCs w:val="24"/>
        </w:rPr>
      </w:pPr>
      <w:r w:rsidRPr="006308DD">
        <w:rPr>
          <w:rFonts w:cstheme="minorHAnsi"/>
          <w:sz w:val="24"/>
          <w:szCs w:val="24"/>
        </w:rPr>
        <w:t xml:space="preserve">Cílem kontroly bylo prověřit, zda jsou peněžní prostředky státu a Evropské unie určené na výstavbu a rekonstrukce komunikací pro pěší vynakládány účelně, hospodárně a v souladu </w:t>
      </w:r>
      <w:r w:rsidRPr="006308DD">
        <w:rPr>
          <w:rFonts w:cstheme="minorHAnsi"/>
          <w:sz w:val="24"/>
          <w:szCs w:val="24"/>
        </w:rPr>
        <w:br/>
        <w:t>s právními předpisy.</w:t>
      </w:r>
    </w:p>
    <w:p w:rsidR="006308DD" w:rsidRPr="006308DD" w:rsidRDefault="006308DD" w:rsidP="006308DD">
      <w:pPr>
        <w:pStyle w:val="Default"/>
        <w:spacing w:line="252" w:lineRule="auto"/>
        <w:contextualSpacing/>
        <w:jc w:val="both"/>
        <w:rPr>
          <w:rFonts w:asciiTheme="minorHAnsi" w:hAnsiTheme="minorHAnsi" w:cstheme="minorHAnsi"/>
          <w:bCs/>
        </w:rPr>
      </w:pPr>
    </w:p>
    <w:p w:rsidR="006308DD" w:rsidRPr="006308DD" w:rsidRDefault="006308DD" w:rsidP="006308DD">
      <w:pPr>
        <w:spacing w:after="0" w:line="252" w:lineRule="auto"/>
        <w:contextualSpacing/>
        <w:jc w:val="both"/>
        <w:rPr>
          <w:rFonts w:cstheme="minorHAnsi"/>
          <w:b/>
          <w:sz w:val="24"/>
          <w:szCs w:val="24"/>
        </w:rPr>
      </w:pPr>
      <w:r w:rsidRPr="006308DD">
        <w:rPr>
          <w:rFonts w:cstheme="minorHAnsi"/>
          <w:b/>
          <w:sz w:val="24"/>
          <w:szCs w:val="24"/>
        </w:rPr>
        <w:t>Kontrolované osoby:</w:t>
      </w:r>
    </w:p>
    <w:p w:rsidR="006308DD" w:rsidRPr="006308DD" w:rsidRDefault="006308DD" w:rsidP="006308DD">
      <w:pPr>
        <w:pStyle w:val="KPnormalni"/>
        <w:spacing w:line="252" w:lineRule="auto"/>
        <w:contextualSpacing/>
        <w:rPr>
          <w:rFonts w:asciiTheme="minorHAnsi" w:hAnsiTheme="minorHAnsi" w:cstheme="minorHAnsi"/>
        </w:rPr>
      </w:pPr>
      <w:r w:rsidRPr="006308DD">
        <w:rPr>
          <w:rFonts w:asciiTheme="minorHAnsi" w:hAnsiTheme="minorHAnsi" w:cstheme="minorHAnsi"/>
        </w:rPr>
        <w:t>Ministerstvo dopravy (dále také „MD“);</w:t>
      </w:r>
    </w:p>
    <w:p w:rsidR="006308DD" w:rsidRDefault="006308DD" w:rsidP="006308DD">
      <w:pPr>
        <w:pStyle w:val="KPnormalni"/>
        <w:spacing w:line="252" w:lineRule="auto"/>
        <w:contextualSpacing/>
        <w:rPr>
          <w:rFonts w:asciiTheme="minorHAnsi" w:hAnsiTheme="minorHAnsi" w:cstheme="minorHAnsi"/>
          <w:noProof/>
          <w:color w:val="000000"/>
        </w:rPr>
      </w:pPr>
      <w:r w:rsidRPr="00B11E1A">
        <w:rPr>
          <w:rFonts w:asciiTheme="minorHAnsi" w:hAnsiTheme="minorHAnsi" w:cstheme="minorHAnsi"/>
          <w:noProof/>
          <w:color w:val="000000"/>
        </w:rPr>
        <w:t>Ministerstvo pro místní rozvoj (dále také „MMR</w:t>
      </w:r>
      <w:r w:rsidR="008D3EC1">
        <w:rPr>
          <w:rFonts w:asciiTheme="minorHAnsi" w:hAnsiTheme="minorHAnsi" w:cstheme="minorHAnsi"/>
          <w:noProof/>
          <w:color w:val="000000"/>
        </w:rPr>
        <w:t>“</w:t>
      </w:r>
      <w:r w:rsidRPr="00B11E1A">
        <w:rPr>
          <w:rFonts w:asciiTheme="minorHAnsi" w:hAnsiTheme="minorHAnsi" w:cstheme="minorHAnsi"/>
          <w:noProof/>
          <w:color w:val="000000"/>
        </w:rPr>
        <w:t>)</w:t>
      </w:r>
      <w:r>
        <w:rPr>
          <w:rFonts w:asciiTheme="minorHAnsi" w:hAnsiTheme="minorHAnsi" w:cstheme="minorHAnsi"/>
          <w:noProof/>
          <w:color w:val="000000"/>
        </w:rPr>
        <w:t>;</w:t>
      </w:r>
    </w:p>
    <w:p w:rsidR="006308DD" w:rsidRPr="00CB537A" w:rsidRDefault="006308DD" w:rsidP="006308DD">
      <w:pPr>
        <w:pStyle w:val="KPnormalni"/>
        <w:spacing w:line="252" w:lineRule="auto"/>
        <w:contextualSpacing/>
        <w:rPr>
          <w:rFonts w:asciiTheme="minorHAnsi" w:hAnsiTheme="minorHAnsi" w:cstheme="minorHAnsi"/>
          <w:noProof/>
        </w:rPr>
      </w:pPr>
      <w:r w:rsidRPr="00B11E1A">
        <w:rPr>
          <w:rFonts w:asciiTheme="minorHAnsi" w:hAnsiTheme="minorHAnsi" w:cstheme="minorHAnsi"/>
          <w:noProof/>
          <w:color w:val="000000"/>
        </w:rPr>
        <w:t>Státní</w:t>
      </w:r>
      <w:r w:rsidR="008D3EC1">
        <w:rPr>
          <w:rFonts w:asciiTheme="minorHAnsi" w:hAnsiTheme="minorHAnsi" w:cstheme="minorHAnsi"/>
          <w:noProof/>
          <w:color w:val="000000"/>
        </w:rPr>
        <w:t xml:space="preserve"> </w:t>
      </w:r>
      <w:r w:rsidRPr="00B11E1A">
        <w:rPr>
          <w:rFonts w:asciiTheme="minorHAnsi" w:hAnsiTheme="minorHAnsi" w:cstheme="minorHAnsi"/>
          <w:noProof/>
          <w:color w:val="000000"/>
        </w:rPr>
        <w:t>fond</w:t>
      </w:r>
      <w:r w:rsidR="008D3EC1">
        <w:rPr>
          <w:rFonts w:asciiTheme="minorHAnsi" w:hAnsiTheme="minorHAnsi" w:cstheme="minorHAnsi"/>
          <w:noProof/>
          <w:color w:val="000000"/>
        </w:rPr>
        <w:t xml:space="preserve"> </w:t>
      </w:r>
      <w:r w:rsidRPr="00B11E1A">
        <w:rPr>
          <w:rFonts w:asciiTheme="minorHAnsi" w:hAnsiTheme="minorHAnsi" w:cstheme="minorHAnsi"/>
          <w:noProof/>
          <w:color w:val="000000"/>
        </w:rPr>
        <w:t>dopravní</w:t>
      </w:r>
      <w:r w:rsidR="008D3EC1">
        <w:rPr>
          <w:rFonts w:asciiTheme="minorHAnsi" w:hAnsiTheme="minorHAnsi" w:cstheme="minorHAnsi"/>
          <w:noProof/>
          <w:color w:val="000000"/>
        </w:rPr>
        <w:t xml:space="preserve"> </w:t>
      </w:r>
      <w:r w:rsidRPr="00CB537A">
        <w:rPr>
          <w:rFonts w:asciiTheme="minorHAnsi" w:hAnsiTheme="minorHAnsi" w:cstheme="minorHAnsi"/>
          <w:noProof/>
        </w:rPr>
        <w:t>infrastruktury</w:t>
      </w:r>
      <w:r w:rsidR="00A570C6" w:rsidRPr="00CB537A">
        <w:rPr>
          <w:rFonts w:asciiTheme="minorHAnsi" w:hAnsiTheme="minorHAnsi" w:cstheme="minorHAnsi"/>
          <w:noProof/>
        </w:rPr>
        <w:t>, Praha</w:t>
      </w:r>
      <w:r w:rsidRPr="00CB537A">
        <w:rPr>
          <w:rFonts w:asciiTheme="minorHAnsi" w:hAnsiTheme="minorHAnsi" w:cstheme="minorHAnsi"/>
          <w:noProof/>
        </w:rPr>
        <w:t xml:space="preserve"> (dále také „SFDI</w:t>
      </w:r>
      <w:r w:rsidR="008D3EC1">
        <w:rPr>
          <w:rFonts w:asciiTheme="minorHAnsi" w:hAnsiTheme="minorHAnsi" w:cstheme="minorHAnsi"/>
          <w:noProof/>
        </w:rPr>
        <w:t>“</w:t>
      </w:r>
      <w:r w:rsidRPr="00CB537A">
        <w:rPr>
          <w:rFonts w:asciiTheme="minorHAnsi" w:hAnsiTheme="minorHAnsi" w:cstheme="minorHAnsi"/>
          <w:noProof/>
        </w:rPr>
        <w:t>);</w:t>
      </w:r>
    </w:p>
    <w:p w:rsidR="006308DD" w:rsidRPr="00CB537A" w:rsidRDefault="006308DD" w:rsidP="006308DD">
      <w:pPr>
        <w:pStyle w:val="KPnormalni"/>
        <w:spacing w:line="252" w:lineRule="auto"/>
        <w:contextualSpacing/>
        <w:rPr>
          <w:rFonts w:asciiTheme="minorHAnsi" w:hAnsiTheme="minorHAnsi" w:cstheme="minorHAnsi"/>
        </w:rPr>
      </w:pPr>
      <w:r w:rsidRPr="00CB537A">
        <w:rPr>
          <w:rFonts w:asciiTheme="minorHAnsi" w:hAnsiTheme="minorHAnsi" w:cstheme="minorHAnsi"/>
          <w:noProof/>
        </w:rPr>
        <w:t>Centrum</w:t>
      </w:r>
      <w:r w:rsidR="008D3EC1">
        <w:rPr>
          <w:rFonts w:asciiTheme="minorHAnsi" w:hAnsiTheme="minorHAnsi" w:cstheme="minorHAnsi"/>
          <w:noProof/>
        </w:rPr>
        <w:t xml:space="preserve"> </w:t>
      </w:r>
      <w:r w:rsidRPr="00CB537A">
        <w:rPr>
          <w:rFonts w:asciiTheme="minorHAnsi" w:hAnsiTheme="minorHAnsi" w:cstheme="minorHAnsi"/>
          <w:noProof/>
        </w:rPr>
        <w:t>pro</w:t>
      </w:r>
      <w:r w:rsidR="008D3EC1">
        <w:rPr>
          <w:rFonts w:asciiTheme="minorHAnsi" w:hAnsiTheme="minorHAnsi" w:cstheme="minorHAnsi"/>
          <w:noProof/>
        </w:rPr>
        <w:t xml:space="preserve"> </w:t>
      </w:r>
      <w:r w:rsidRPr="00CB537A">
        <w:rPr>
          <w:rFonts w:asciiTheme="minorHAnsi" w:hAnsiTheme="minorHAnsi" w:cstheme="minorHAnsi"/>
          <w:noProof/>
        </w:rPr>
        <w:t>regionální</w:t>
      </w:r>
      <w:r w:rsidR="008D3EC1">
        <w:rPr>
          <w:rFonts w:asciiTheme="minorHAnsi" w:hAnsiTheme="minorHAnsi" w:cstheme="minorHAnsi"/>
          <w:noProof/>
        </w:rPr>
        <w:t xml:space="preserve"> </w:t>
      </w:r>
      <w:r w:rsidRPr="00CB537A">
        <w:rPr>
          <w:rFonts w:asciiTheme="minorHAnsi" w:hAnsiTheme="minorHAnsi" w:cstheme="minorHAnsi"/>
          <w:noProof/>
        </w:rPr>
        <w:t>rozvoj</w:t>
      </w:r>
      <w:r w:rsidR="008D3EC1">
        <w:rPr>
          <w:rFonts w:asciiTheme="minorHAnsi" w:hAnsiTheme="minorHAnsi" w:cstheme="minorHAnsi"/>
          <w:noProof/>
        </w:rPr>
        <w:t xml:space="preserve"> </w:t>
      </w:r>
      <w:r w:rsidRPr="00CB537A">
        <w:rPr>
          <w:rFonts w:asciiTheme="minorHAnsi" w:hAnsiTheme="minorHAnsi" w:cstheme="minorHAnsi"/>
          <w:noProof/>
        </w:rPr>
        <w:t>České</w:t>
      </w:r>
      <w:r w:rsidR="008D3EC1">
        <w:rPr>
          <w:rFonts w:asciiTheme="minorHAnsi" w:hAnsiTheme="minorHAnsi" w:cstheme="minorHAnsi"/>
          <w:noProof/>
        </w:rPr>
        <w:t xml:space="preserve"> </w:t>
      </w:r>
      <w:r w:rsidRPr="00CB537A">
        <w:rPr>
          <w:rFonts w:asciiTheme="minorHAnsi" w:hAnsiTheme="minorHAnsi" w:cstheme="minorHAnsi"/>
          <w:noProof/>
        </w:rPr>
        <w:t>republiky</w:t>
      </w:r>
      <w:r w:rsidR="00A570C6" w:rsidRPr="00CB537A">
        <w:rPr>
          <w:rFonts w:asciiTheme="minorHAnsi" w:hAnsiTheme="minorHAnsi" w:cstheme="minorHAnsi"/>
          <w:noProof/>
        </w:rPr>
        <w:t xml:space="preserve">, Praha </w:t>
      </w:r>
      <w:r w:rsidRPr="00CB537A">
        <w:rPr>
          <w:rFonts w:asciiTheme="minorHAnsi" w:hAnsiTheme="minorHAnsi" w:cstheme="minorHAnsi"/>
          <w:noProof/>
        </w:rPr>
        <w:t>(dále také „CRR</w:t>
      </w:r>
      <w:r w:rsidR="008D3EC1">
        <w:rPr>
          <w:rFonts w:asciiTheme="minorHAnsi" w:hAnsiTheme="minorHAnsi" w:cstheme="minorHAnsi"/>
          <w:noProof/>
        </w:rPr>
        <w:t>“</w:t>
      </w:r>
      <w:r w:rsidRPr="00CB537A">
        <w:rPr>
          <w:rFonts w:asciiTheme="minorHAnsi" w:hAnsiTheme="minorHAnsi" w:cstheme="minorHAnsi"/>
          <w:noProof/>
        </w:rPr>
        <w:t>)</w:t>
      </w:r>
      <w:r w:rsidRPr="00CB537A">
        <w:rPr>
          <w:rFonts w:asciiTheme="minorHAnsi" w:hAnsiTheme="minorHAnsi" w:cstheme="minorHAnsi"/>
        </w:rPr>
        <w:t>.</w:t>
      </w:r>
    </w:p>
    <w:p w:rsidR="006308DD" w:rsidRPr="00CB537A" w:rsidRDefault="006308DD" w:rsidP="006308DD">
      <w:pPr>
        <w:pStyle w:val="KPnormalni"/>
        <w:spacing w:line="252" w:lineRule="auto"/>
        <w:contextualSpacing/>
        <w:rPr>
          <w:rFonts w:asciiTheme="minorHAnsi" w:hAnsiTheme="minorHAnsi" w:cstheme="minorHAnsi"/>
        </w:rPr>
      </w:pPr>
    </w:p>
    <w:p w:rsidR="006308DD" w:rsidRPr="006308DD" w:rsidRDefault="006308DD" w:rsidP="006308DD">
      <w:pPr>
        <w:pStyle w:val="KPnormalni"/>
        <w:spacing w:line="252" w:lineRule="auto"/>
        <w:contextualSpacing/>
        <w:rPr>
          <w:rFonts w:asciiTheme="minorHAnsi" w:hAnsiTheme="minorHAnsi" w:cstheme="minorHAnsi"/>
        </w:rPr>
      </w:pPr>
      <w:r w:rsidRPr="006308DD">
        <w:rPr>
          <w:rFonts w:asciiTheme="minorHAnsi" w:hAnsiTheme="minorHAnsi" w:cstheme="minorHAnsi"/>
        </w:rPr>
        <w:t>Kontrolováno bylo období od roku 201</w:t>
      </w:r>
      <w:r>
        <w:rPr>
          <w:rFonts w:asciiTheme="minorHAnsi" w:hAnsiTheme="minorHAnsi" w:cstheme="minorHAnsi"/>
        </w:rPr>
        <w:t>4</w:t>
      </w:r>
      <w:r w:rsidRPr="006308DD">
        <w:rPr>
          <w:rFonts w:asciiTheme="minorHAnsi" w:hAnsiTheme="minorHAnsi" w:cstheme="minorHAnsi"/>
        </w:rPr>
        <w:t xml:space="preserve"> do roku 202</w:t>
      </w:r>
      <w:r>
        <w:rPr>
          <w:rFonts w:asciiTheme="minorHAnsi" w:hAnsiTheme="minorHAnsi" w:cstheme="minorHAnsi"/>
        </w:rPr>
        <w:t>3</w:t>
      </w:r>
      <w:r w:rsidRPr="006308DD">
        <w:rPr>
          <w:rFonts w:asciiTheme="minorHAnsi" w:hAnsiTheme="minorHAnsi" w:cstheme="minorHAnsi"/>
        </w:rPr>
        <w:t>, v případě věcných souvislostí i období předcházející a následující.</w:t>
      </w:r>
    </w:p>
    <w:p w:rsidR="006308DD" w:rsidRPr="006308DD" w:rsidRDefault="006308DD" w:rsidP="006308DD">
      <w:pPr>
        <w:pStyle w:val="KPnormalni"/>
        <w:spacing w:line="252" w:lineRule="auto"/>
        <w:contextualSpacing/>
        <w:rPr>
          <w:rFonts w:asciiTheme="minorHAnsi" w:hAnsiTheme="minorHAnsi" w:cstheme="minorHAnsi"/>
        </w:rPr>
      </w:pPr>
    </w:p>
    <w:p w:rsidR="006308DD" w:rsidRPr="006308DD" w:rsidRDefault="006308DD" w:rsidP="006308DD">
      <w:pPr>
        <w:pStyle w:val="KPnormalni"/>
        <w:spacing w:line="252" w:lineRule="auto"/>
        <w:contextualSpacing/>
        <w:rPr>
          <w:rFonts w:asciiTheme="minorHAnsi" w:hAnsiTheme="minorHAnsi" w:cstheme="minorHAnsi"/>
        </w:rPr>
      </w:pPr>
      <w:r w:rsidRPr="006308DD">
        <w:rPr>
          <w:rFonts w:asciiTheme="minorHAnsi" w:hAnsiTheme="minorHAnsi" w:cstheme="minorHAnsi"/>
        </w:rPr>
        <w:t>Kontrola byla prováděna u kontrolovaných osob v době od l</w:t>
      </w:r>
      <w:r>
        <w:rPr>
          <w:rFonts w:asciiTheme="minorHAnsi" w:hAnsiTheme="minorHAnsi" w:cstheme="minorHAnsi"/>
        </w:rPr>
        <w:t>edna</w:t>
      </w:r>
      <w:r w:rsidRPr="006308DD">
        <w:rPr>
          <w:rFonts w:asciiTheme="minorHAnsi" w:hAnsiTheme="minorHAnsi" w:cstheme="minorHAnsi"/>
        </w:rPr>
        <w:t xml:space="preserve"> 202</w:t>
      </w:r>
      <w:r>
        <w:rPr>
          <w:rFonts w:asciiTheme="minorHAnsi" w:hAnsiTheme="minorHAnsi" w:cstheme="minorHAnsi"/>
        </w:rPr>
        <w:t>4</w:t>
      </w:r>
      <w:r w:rsidRPr="006308DD">
        <w:rPr>
          <w:rFonts w:asciiTheme="minorHAnsi" w:hAnsiTheme="minorHAnsi" w:cstheme="minorHAnsi"/>
        </w:rPr>
        <w:t xml:space="preserve"> do červ</w:t>
      </w:r>
      <w:r>
        <w:rPr>
          <w:rFonts w:asciiTheme="minorHAnsi" w:hAnsiTheme="minorHAnsi" w:cstheme="minorHAnsi"/>
        </w:rPr>
        <w:t>ence</w:t>
      </w:r>
      <w:r w:rsidRPr="006308DD">
        <w:rPr>
          <w:rFonts w:asciiTheme="minorHAnsi" w:hAnsiTheme="minorHAnsi" w:cstheme="minorHAnsi"/>
        </w:rPr>
        <w:t xml:space="preserve"> 202</w:t>
      </w:r>
      <w:r>
        <w:rPr>
          <w:rFonts w:asciiTheme="minorHAnsi" w:hAnsiTheme="minorHAnsi" w:cstheme="minorHAnsi"/>
        </w:rPr>
        <w:t>4</w:t>
      </w:r>
      <w:r w:rsidRPr="006308DD">
        <w:rPr>
          <w:rFonts w:asciiTheme="minorHAnsi" w:hAnsiTheme="minorHAnsi" w:cstheme="minorHAnsi"/>
        </w:rPr>
        <w:t>.</w:t>
      </w:r>
    </w:p>
    <w:bookmarkEnd w:id="5"/>
    <w:p w:rsidR="006308DD" w:rsidRDefault="006308DD" w:rsidP="006308DD">
      <w:pPr>
        <w:pStyle w:val="KPnormalni"/>
        <w:rPr>
          <w:rFonts w:asciiTheme="minorHAnsi" w:hAnsiTheme="minorHAnsi" w:cstheme="minorHAnsi"/>
        </w:rPr>
      </w:pPr>
    </w:p>
    <w:p w:rsidR="00211B0C" w:rsidRPr="006308DD" w:rsidRDefault="00211B0C" w:rsidP="006308DD">
      <w:pPr>
        <w:pStyle w:val="KPnormalni"/>
        <w:rPr>
          <w:rFonts w:asciiTheme="minorHAnsi" w:hAnsiTheme="minorHAnsi" w:cstheme="minorHAnsi"/>
        </w:rPr>
      </w:pPr>
    </w:p>
    <w:p w:rsidR="006308DD" w:rsidRPr="003C7D9D" w:rsidRDefault="006308DD" w:rsidP="006308DD">
      <w:pPr>
        <w:spacing w:line="240" w:lineRule="auto"/>
        <w:jc w:val="both"/>
        <w:rPr>
          <w:rFonts w:cstheme="minorHAnsi"/>
          <w:sz w:val="24"/>
          <w:szCs w:val="24"/>
        </w:rPr>
      </w:pPr>
      <w:r w:rsidRPr="006308DD">
        <w:rPr>
          <w:rFonts w:cstheme="minorHAnsi"/>
          <w:b/>
          <w:bCs/>
          <w:i/>
          <w:iCs/>
          <w:spacing w:val="60"/>
          <w:sz w:val="24"/>
          <w:szCs w:val="24"/>
        </w:rPr>
        <w:t>Kolegium</w:t>
      </w:r>
      <w:r w:rsidRPr="006308DD">
        <w:rPr>
          <w:rFonts w:cstheme="minorHAnsi"/>
          <w:b/>
          <w:bCs/>
          <w:i/>
          <w:iCs/>
          <w:sz w:val="24"/>
          <w:szCs w:val="24"/>
        </w:rPr>
        <w:t xml:space="preserve">   </w:t>
      </w:r>
      <w:r w:rsidRPr="006308DD">
        <w:rPr>
          <w:rFonts w:cstheme="minorHAnsi"/>
          <w:b/>
          <w:bCs/>
          <w:i/>
          <w:iCs/>
          <w:spacing w:val="60"/>
          <w:sz w:val="24"/>
          <w:szCs w:val="24"/>
        </w:rPr>
        <w:t>NKÚ</w:t>
      </w:r>
      <w:r w:rsidRPr="006308DD">
        <w:rPr>
          <w:rFonts w:cstheme="minorHAnsi"/>
          <w:sz w:val="24"/>
          <w:szCs w:val="24"/>
        </w:rPr>
        <w:t xml:space="preserve">   na </w:t>
      </w:r>
      <w:r w:rsidRPr="003C7D9D">
        <w:rPr>
          <w:rFonts w:cstheme="minorHAnsi"/>
          <w:sz w:val="24"/>
          <w:szCs w:val="24"/>
        </w:rPr>
        <w:t>svém X</w:t>
      </w:r>
      <w:r w:rsidR="003C7D9D" w:rsidRPr="003C7D9D">
        <w:rPr>
          <w:rFonts w:cstheme="minorHAnsi"/>
          <w:sz w:val="24"/>
          <w:szCs w:val="24"/>
        </w:rPr>
        <w:t xml:space="preserve">VI. </w:t>
      </w:r>
      <w:r w:rsidRPr="003C7D9D">
        <w:rPr>
          <w:rFonts w:cstheme="minorHAnsi"/>
          <w:sz w:val="24"/>
          <w:szCs w:val="24"/>
        </w:rPr>
        <w:t xml:space="preserve">jednání, které se konalo dne </w:t>
      </w:r>
      <w:r w:rsidR="003C7D9D" w:rsidRPr="003C7D9D">
        <w:rPr>
          <w:rFonts w:cstheme="minorHAnsi"/>
          <w:sz w:val="24"/>
          <w:szCs w:val="24"/>
        </w:rPr>
        <w:t>11. listopadu 2024</w:t>
      </w:r>
      <w:r w:rsidRPr="003C7D9D">
        <w:rPr>
          <w:rFonts w:cstheme="minorHAnsi"/>
          <w:sz w:val="24"/>
          <w:szCs w:val="24"/>
        </w:rPr>
        <w:t>,</w:t>
      </w:r>
    </w:p>
    <w:p w:rsidR="006308DD" w:rsidRPr="006308DD" w:rsidRDefault="006308DD" w:rsidP="006308DD">
      <w:pPr>
        <w:spacing w:line="240" w:lineRule="auto"/>
        <w:jc w:val="both"/>
        <w:rPr>
          <w:rFonts w:cstheme="minorHAnsi"/>
          <w:sz w:val="24"/>
          <w:szCs w:val="24"/>
        </w:rPr>
      </w:pPr>
      <w:r w:rsidRPr="003C7D9D">
        <w:rPr>
          <w:rFonts w:cstheme="minorHAnsi"/>
          <w:b/>
          <w:bCs/>
          <w:i/>
          <w:iCs/>
          <w:spacing w:val="60"/>
          <w:sz w:val="24"/>
          <w:szCs w:val="24"/>
        </w:rPr>
        <w:t>schválilo</w:t>
      </w:r>
      <w:r w:rsidRPr="003C7D9D">
        <w:rPr>
          <w:rFonts w:cstheme="minorHAnsi"/>
          <w:sz w:val="24"/>
          <w:szCs w:val="24"/>
        </w:rPr>
        <w:t xml:space="preserve">   usnesením č. </w:t>
      </w:r>
      <w:r w:rsidR="00362375">
        <w:rPr>
          <w:rFonts w:cstheme="minorHAnsi"/>
          <w:sz w:val="24"/>
          <w:szCs w:val="24"/>
        </w:rPr>
        <w:t>5</w:t>
      </w:r>
      <w:r w:rsidR="003C7D9D" w:rsidRPr="003C7D9D">
        <w:rPr>
          <w:rFonts w:cstheme="minorHAnsi"/>
          <w:sz w:val="24"/>
          <w:szCs w:val="24"/>
        </w:rPr>
        <w:t>/XVI/</w:t>
      </w:r>
      <w:r w:rsidR="003C7D9D">
        <w:rPr>
          <w:rFonts w:cstheme="minorHAnsi"/>
          <w:sz w:val="24"/>
          <w:szCs w:val="24"/>
        </w:rPr>
        <w:t>2024</w:t>
      </w:r>
    </w:p>
    <w:p w:rsidR="006308DD" w:rsidRPr="006308DD" w:rsidRDefault="006308DD" w:rsidP="006308DD">
      <w:pPr>
        <w:spacing w:line="240" w:lineRule="auto"/>
        <w:jc w:val="both"/>
        <w:rPr>
          <w:rFonts w:cstheme="minorHAnsi"/>
          <w:sz w:val="24"/>
          <w:szCs w:val="24"/>
        </w:rPr>
      </w:pPr>
      <w:r w:rsidRPr="006308DD">
        <w:rPr>
          <w:rFonts w:cstheme="minorHAnsi"/>
          <w:b/>
          <w:bCs/>
          <w:i/>
          <w:iCs/>
          <w:spacing w:val="60"/>
          <w:sz w:val="24"/>
          <w:szCs w:val="24"/>
        </w:rPr>
        <w:t>kontrolní</w:t>
      </w:r>
      <w:r w:rsidRPr="006308DD">
        <w:rPr>
          <w:rFonts w:cstheme="minorHAnsi"/>
          <w:b/>
          <w:bCs/>
          <w:i/>
          <w:iCs/>
          <w:sz w:val="24"/>
          <w:szCs w:val="24"/>
        </w:rPr>
        <w:t xml:space="preserve">   </w:t>
      </w:r>
      <w:r w:rsidRPr="006308DD">
        <w:rPr>
          <w:rFonts w:cstheme="minorHAnsi"/>
          <w:b/>
          <w:bCs/>
          <w:i/>
          <w:iCs/>
          <w:spacing w:val="60"/>
          <w:sz w:val="24"/>
          <w:szCs w:val="24"/>
        </w:rPr>
        <w:t>závěr</w:t>
      </w:r>
      <w:r w:rsidRPr="006308DD">
        <w:rPr>
          <w:rFonts w:cstheme="minorHAnsi"/>
          <w:sz w:val="24"/>
          <w:szCs w:val="24"/>
        </w:rPr>
        <w:t xml:space="preserve">   v tomto znění:</w:t>
      </w:r>
    </w:p>
    <w:p w:rsidR="006308DD" w:rsidRPr="006308DD" w:rsidRDefault="006308DD" w:rsidP="006308DD">
      <w:pPr>
        <w:rPr>
          <w:rFonts w:cstheme="minorHAnsi"/>
          <w:sz w:val="24"/>
          <w:szCs w:val="24"/>
        </w:rPr>
      </w:pPr>
      <w:r w:rsidRPr="006308DD">
        <w:rPr>
          <w:rFonts w:cstheme="minorHAnsi"/>
          <w:sz w:val="24"/>
          <w:szCs w:val="24"/>
        </w:rPr>
        <w:br w:type="page"/>
      </w:r>
    </w:p>
    <w:p w:rsidR="00CE4C30" w:rsidRDefault="00CE4C30" w:rsidP="00CE4C30">
      <w:pPr>
        <w:spacing w:after="0" w:line="240" w:lineRule="auto"/>
        <w:contextualSpacing/>
        <w:jc w:val="center"/>
        <w:rPr>
          <w:rStyle w:val="A4"/>
          <w:rFonts w:ascii="Calibri" w:hAnsi="Calibri" w:cs="Calibri"/>
          <w:b/>
          <w:sz w:val="32"/>
          <w:szCs w:val="32"/>
        </w:rPr>
      </w:pPr>
      <w:r>
        <w:rPr>
          <w:rStyle w:val="A4"/>
          <w:rFonts w:ascii="Calibri" w:hAnsi="Calibri" w:cs="Calibri"/>
          <w:b/>
          <w:sz w:val="32"/>
          <w:szCs w:val="32"/>
        </w:rPr>
        <w:lastRenderedPageBreak/>
        <w:t>Peněžní prostředky</w:t>
      </w:r>
      <w:r w:rsidRPr="00B839A2">
        <w:rPr>
          <w:rStyle w:val="A4"/>
          <w:rFonts w:ascii="Calibri" w:hAnsi="Calibri" w:cs="Calibri"/>
          <w:b/>
          <w:sz w:val="32"/>
          <w:szCs w:val="32"/>
        </w:rPr>
        <w:t xml:space="preserve"> státu a Evropské unie </w:t>
      </w:r>
      <w:r>
        <w:rPr>
          <w:rStyle w:val="A4"/>
          <w:rFonts w:ascii="Calibri" w:hAnsi="Calibri" w:cs="Calibri"/>
          <w:b/>
          <w:sz w:val="32"/>
          <w:szCs w:val="32"/>
        </w:rPr>
        <w:t xml:space="preserve">vynaložené </w:t>
      </w:r>
    </w:p>
    <w:p w:rsidR="00CE4C30" w:rsidRDefault="00CE4C30" w:rsidP="00CE4C30">
      <w:pPr>
        <w:spacing w:after="0" w:line="240" w:lineRule="auto"/>
        <w:contextualSpacing/>
        <w:jc w:val="center"/>
        <w:rPr>
          <w:rStyle w:val="A4"/>
          <w:rFonts w:ascii="Calibri" w:hAnsi="Calibri" w:cs="Calibri"/>
          <w:b/>
          <w:sz w:val="32"/>
          <w:szCs w:val="32"/>
        </w:rPr>
      </w:pPr>
      <w:r>
        <w:rPr>
          <w:rStyle w:val="A4"/>
          <w:rFonts w:ascii="Calibri" w:hAnsi="Calibri" w:cs="Calibri"/>
          <w:b/>
          <w:sz w:val="32"/>
          <w:szCs w:val="32"/>
        </w:rPr>
        <w:t>na podporu</w:t>
      </w:r>
      <w:r w:rsidRPr="00B839A2">
        <w:rPr>
          <w:rStyle w:val="A4"/>
          <w:rFonts w:ascii="Calibri" w:hAnsi="Calibri" w:cs="Calibri"/>
          <w:b/>
          <w:sz w:val="32"/>
          <w:szCs w:val="32"/>
        </w:rPr>
        <w:t xml:space="preserve"> výstavby a rekonstrukc</w:t>
      </w:r>
      <w:r>
        <w:rPr>
          <w:rStyle w:val="A4"/>
          <w:rFonts w:ascii="Calibri" w:hAnsi="Calibri" w:cs="Calibri"/>
          <w:b/>
          <w:sz w:val="32"/>
          <w:szCs w:val="32"/>
        </w:rPr>
        <w:t>í</w:t>
      </w:r>
      <w:r w:rsidRPr="00B839A2">
        <w:rPr>
          <w:rStyle w:val="A4"/>
          <w:rFonts w:ascii="Calibri" w:hAnsi="Calibri" w:cs="Calibri"/>
          <w:b/>
          <w:sz w:val="32"/>
          <w:szCs w:val="32"/>
        </w:rPr>
        <w:t xml:space="preserve"> komunikací pro pěší</w:t>
      </w:r>
    </w:p>
    <w:p w:rsidR="00CE4C30" w:rsidRPr="00191FA0" w:rsidRDefault="00CE4C30" w:rsidP="00CE4C30">
      <w:pPr>
        <w:spacing w:after="0" w:line="240" w:lineRule="auto"/>
        <w:contextualSpacing/>
        <w:jc w:val="center"/>
        <w:rPr>
          <w:rStyle w:val="A4"/>
          <w:rFonts w:ascii="Calibri" w:hAnsi="Calibri" w:cs="Calibri"/>
          <w:b/>
          <w:sz w:val="12"/>
          <w:szCs w:val="12"/>
        </w:rPr>
      </w:pPr>
    </w:p>
    <w:p w:rsidR="00CE4C30" w:rsidRPr="00E06AAB" w:rsidRDefault="007E2C12" w:rsidP="00CE4C30">
      <w:pPr>
        <w:tabs>
          <w:tab w:val="left" w:pos="1115"/>
        </w:tabs>
        <w:ind w:left="1416" w:hanging="1416"/>
        <w:jc w:val="center"/>
        <w:rPr>
          <w:caps/>
        </w:rPr>
      </w:pPr>
      <w:r w:rsidRPr="00E06AAB">
        <w:rPr>
          <w:b/>
          <w:noProof/>
          <w:sz w:val="28"/>
          <w:lang w:eastAsia="cs-CZ"/>
        </w:rPr>
        <mc:AlternateContent>
          <mc:Choice Requires="wps">
            <w:drawing>
              <wp:anchor distT="0" distB="0" distL="114300" distR="114300" simplePos="0" relativeHeight="251668480" behindDoc="0" locked="0" layoutInCell="1" allowOverlap="1" wp14:anchorId="6C536343" wp14:editId="5613E957">
                <wp:simplePos x="0" y="0"/>
                <wp:positionH relativeFrom="margin">
                  <wp:posOffset>3435350</wp:posOffset>
                </wp:positionH>
                <wp:positionV relativeFrom="paragraph">
                  <wp:posOffset>89204</wp:posOffset>
                </wp:positionV>
                <wp:extent cx="2305050" cy="0"/>
                <wp:effectExtent l="0" t="0" r="0" b="0"/>
                <wp:wrapNone/>
                <wp:docPr id="42" name="Přímá spojnice 42"/>
                <wp:cNvGraphicFramePr/>
                <a:graphic xmlns:a="http://schemas.openxmlformats.org/drawingml/2006/main">
                  <a:graphicData uri="http://schemas.microsoft.com/office/word/2010/wordprocessingShape">
                    <wps:wsp>
                      <wps:cNvCnPr/>
                      <wps:spPr>
                        <a:xfrm>
                          <a:off x="0" y="0"/>
                          <a:ext cx="23050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7AEF97" id="Přímá spojnice 42" o:spid="_x0000_s1026" style="position:absolute;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70.5pt,7pt" to="452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" strokecolor="black [3213]" strokeweight=".5pt">
                <v:stroke joinstyle="miter"/>
                <w10:wrap anchorx="margin"/>
              </v:line>
            </w:pict>
          </mc:Fallback>
        </mc:AlternateContent>
      </w:r>
      <w:r w:rsidRPr="00E06AAB">
        <w:rPr>
          <w:b/>
          <w:noProof/>
          <w:sz w:val="28"/>
          <w:lang w:eastAsia="cs-CZ"/>
        </w:rPr>
        <mc:AlternateContent>
          <mc:Choice Requires="wps">
            <w:drawing>
              <wp:anchor distT="0" distB="0" distL="114300" distR="114300" simplePos="0" relativeHeight="251667456" behindDoc="0" locked="0" layoutInCell="1" allowOverlap="1" wp14:anchorId="54EB8CF0" wp14:editId="6B8AC753">
                <wp:simplePos x="0" y="0"/>
                <wp:positionH relativeFrom="column">
                  <wp:posOffset>-29845</wp:posOffset>
                </wp:positionH>
                <wp:positionV relativeFrom="paragraph">
                  <wp:posOffset>92379</wp:posOffset>
                </wp:positionV>
                <wp:extent cx="2305050" cy="0"/>
                <wp:effectExtent l="0" t="0" r="0" b="0"/>
                <wp:wrapNone/>
                <wp:docPr id="43" name="Přímá spojnice 43"/>
                <wp:cNvGraphicFramePr/>
                <a:graphic xmlns:a="http://schemas.openxmlformats.org/drawingml/2006/main">
                  <a:graphicData uri="http://schemas.microsoft.com/office/word/2010/wordprocessingShape">
                    <wps:wsp>
                      <wps:cNvCnPr/>
                      <wps:spPr>
                        <a:xfrm>
                          <a:off x="0" y="0"/>
                          <a:ext cx="23050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696A88" id="Přímá spojnice 4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7.25pt" to="179.1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" strokecolor="black [3213]" strokeweight=".5pt">
                <v:stroke joinstyle="miter"/>
              </v:line>
            </w:pict>
          </mc:Fallback>
        </mc:AlternateContent>
      </w:r>
      <w:r w:rsidR="00CE4C30">
        <w:rPr>
          <w:noProof/>
        </w:rPr>
        <mc:AlternateContent>
          <mc:Choice Requires="wps">
            <w:drawing>
              <wp:anchor distT="0" distB="0" distL="114300" distR="114300" simplePos="0" relativeHeight="251660288" behindDoc="0" locked="0" layoutInCell="1" allowOverlap="1" wp14:anchorId="14D3CAFD" wp14:editId="1C1F0648">
                <wp:simplePos x="0" y="0"/>
                <wp:positionH relativeFrom="column">
                  <wp:posOffset>2935605</wp:posOffset>
                </wp:positionH>
                <wp:positionV relativeFrom="paragraph">
                  <wp:posOffset>335280</wp:posOffset>
                </wp:positionV>
                <wp:extent cx="2762885" cy="1008000"/>
                <wp:effectExtent l="0" t="0" r="18415" b="20955"/>
                <wp:wrapNone/>
                <wp:docPr id="22" name="Obdélník: se zakulacenými rohy 22"/>
                <wp:cNvGraphicFramePr/>
                <a:graphic xmlns:a="http://schemas.openxmlformats.org/drawingml/2006/main">
                  <a:graphicData uri="http://schemas.microsoft.com/office/word/2010/wordprocessingShape">
                    <wps:wsp>
                      <wps:cNvSpPr/>
                      <wps:spPr>
                        <a:xfrm>
                          <a:off x="0" y="0"/>
                          <a:ext cx="2762885" cy="1008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34054D" w:rsidRDefault="00BF5E07" w:rsidP="00CE4C30">
                            <w:pPr>
                              <w:spacing w:after="120"/>
                              <w:jc w:val="center"/>
                              <w:rPr>
                                <w:b/>
                                <w:sz w:val="30"/>
                                <w:szCs w:val="30"/>
                              </w:rPr>
                            </w:pPr>
                            <w:r w:rsidRPr="0034054D">
                              <w:rPr>
                                <w:b/>
                                <w:sz w:val="30"/>
                                <w:szCs w:val="30"/>
                              </w:rPr>
                              <w:t>3 185</w:t>
                            </w:r>
                          </w:p>
                          <w:p w:rsidR="00BF5E07" w:rsidRPr="00605949" w:rsidRDefault="00BF5E07" w:rsidP="00CE4C30">
                            <w:pPr>
                              <w:spacing w:after="120"/>
                              <w:jc w:val="center"/>
                              <w:rPr>
                                <w:sz w:val="24"/>
                                <w:szCs w:val="24"/>
                              </w:rPr>
                            </w:pPr>
                            <w:r>
                              <w:rPr>
                                <w:sz w:val="24"/>
                                <w:szCs w:val="24"/>
                              </w:rPr>
                              <w:t>p</w:t>
                            </w:r>
                            <w:r w:rsidRPr="00713999">
                              <w:rPr>
                                <w:sz w:val="24"/>
                                <w:szCs w:val="24"/>
                              </w:rPr>
                              <w:t xml:space="preserve">odpořených projektů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D3CAFD" id="Obdélník: se zakulacenými rohy 22" o:spid="_x0000_s1026" style="position:absolute;left:0;text-align:left;margin-left:231.15pt;margin-top:26.4pt;width:217.55pt;height:79.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" fillcolor="#5b9bd5 [3204]" strokecolor="#1f4d78 [1604]" strokeweight="1pt">
                <v:stroke joinstyle="miter"/>
                <v:textbox>
                  <w:txbxContent>
                    <w:p w:rsidR="00BF5E07" w:rsidRPr="0034054D" w:rsidRDefault="00BF5E07" w:rsidP="00CE4C30">
                      <w:pPr>
                        <w:spacing w:after="120"/>
                        <w:jc w:val="center"/>
                        <w:rPr>
                          <w:b/>
                          <w:sz w:val="30"/>
                          <w:szCs w:val="30"/>
                        </w:rPr>
                      </w:pPr>
                      <w:r w:rsidRPr="0034054D">
                        <w:rPr>
                          <w:b/>
                          <w:sz w:val="30"/>
                          <w:szCs w:val="30"/>
                        </w:rPr>
                        <w:t>3 185</w:t>
                      </w:r>
                    </w:p>
                    <w:p w:rsidR="00BF5E07" w:rsidRPr="00605949" w:rsidRDefault="00BF5E07" w:rsidP="00CE4C30">
                      <w:pPr>
                        <w:spacing w:after="120"/>
                        <w:jc w:val="center"/>
                        <w:rPr>
                          <w:sz w:val="24"/>
                          <w:szCs w:val="24"/>
                        </w:rPr>
                      </w:pPr>
                      <w:r>
                        <w:rPr>
                          <w:sz w:val="24"/>
                          <w:szCs w:val="24"/>
                        </w:rPr>
                        <w:t>p</w:t>
                      </w:r>
                      <w:r w:rsidRPr="00713999">
                        <w:rPr>
                          <w:sz w:val="24"/>
                          <w:szCs w:val="24"/>
                        </w:rPr>
                        <w:t xml:space="preserve">odpořených projektů </w:t>
                      </w:r>
                    </w:p>
                  </w:txbxContent>
                </v:textbox>
              </v:roundrect>
            </w:pict>
          </mc:Fallback>
        </mc:AlternateContent>
      </w:r>
      <w:r w:rsidR="00CE4C30">
        <w:rPr>
          <w:noProof/>
        </w:rPr>
        <mc:AlternateContent>
          <mc:Choice Requires="wps">
            <w:drawing>
              <wp:anchor distT="0" distB="0" distL="114300" distR="114300" simplePos="0" relativeHeight="251659264" behindDoc="0" locked="0" layoutInCell="1" allowOverlap="1" wp14:anchorId="6D40BEBC" wp14:editId="67E2368B">
                <wp:simplePos x="0" y="0"/>
                <wp:positionH relativeFrom="margin">
                  <wp:posOffset>8255</wp:posOffset>
                </wp:positionH>
                <wp:positionV relativeFrom="paragraph">
                  <wp:posOffset>335280</wp:posOffset>
                </wp:positionV>
                <wp:extent cx="2781300" cy="1007745"/>
                <wp:effectExtent l="0" t="0" r="19050" b="20955"/>
                <wp:wrapTopAndBottom/>
                <wp:docPr id="24" name="Obdélník: se zakulacenými rohy 24"/>
                <wp:cNvGraphicFramePr/>
                <a:graphic xmlns:a="http://schemas.openxmlformats.org/drawingml/2006/main">
                  <a:graphicData uri="http://schemas.microsoft.com/office/word/2010/wordprocessingShape">
                    <wps:wsp>
                      <wps:cNvSpPr/>
                      <wps:spPr>
                        <a:xfrm>
                          <a:off x="0" y="0"/>
                          <a:ext cx="2781300" cy="100774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34054D" w:rsidRDefault="00BF5E07" w:rsidP="00CE4C30">
                            <w:pPr>
                              <w:spacing w:after="120"/>
                              <w:jc w:val="center"/>
                              <w:rPr>
                                <w:b/>
                                <w:sz w:val="30"/>
                                <w:szCs w:val="30"/>
                              </w:rPr>
                            </w:pPr>
                            <w:r>
                              <w:rPr>
                                <w:b/>
                                <w:sz w:val="30"/>
                                <w:szCs w:val="30"/>
                              </w:rPr>
                              <w:t>9</w:t>
                            </w:r>
                            <w:r w:rsidRPr="0034054D">
                              <w:rPr>
                                <w:b/>
                                <w:sz w:val="30"/>
                                <w:szCs w:val="30"/>
                              </w:rPr>
                              <w:t> </w:t>
                            </w:r>
                            <w:r>
                              <w:rPr>
                                <w:b/>
                                <w:sz w:val="30"/>
                                <w:szCs w:val="30"/>
                              </w:rPr>
                              <w:t>536</w:t>
                            </w:r>
                            <w:r w:rsidRPr="0034054D">
                              <w:rPr>
                                <w:b/>
                                <w:sz w:val="30"/>
                                <w:szCs w:val="30"/>
                              </w:rPr>
                              <w:t xml:space="preserve"> mil. Kč</w:t>
                            </w:r>
                          </w:p>
                          <w:p w:rsidR="00BF5E07" w:rsidRPr="00713999" w:rsidRDefault="00BF5E07" w:rsidP="00CE4C30">
                            <w:pPr>
                              <w:spacing w:after="120"/>
                              <w:jc w:val="center"/>
                              <w:rPr>
                                <w:sz w:val="24"/>
                                <w:szCs w:val="24"/>
                              </w:rPr>
                            </w:pPr>
                            <w:r>
                              <w:rPr>
                                <w:sz w:val="24"/>
                                <w:szCs w:val="24"/>
                              </w:rPr>
                              <w:t>v</w:t>
                            </w:r>
                            <w:r w:rsidRPr="00713999">
                              <w:rPr>
                                <w:sz w:val="24"/>
                                <w:szCs w:val="24"/>
                              </w:rPr>
                              <w:t xml:space="preserve">ýše podpory </w:t>
                            </w:r>
                            <w:r>
                              <w:rPr>
                                <w:sz w:val="24"/>
                                <w:szCs w:val="24"/>
                              </w:rPr>
                              <w:t>z peněžních prostředků státu a EU</w:t>
                            </w:r>
                            <w:r w:rsidRPr="00713999">
                              <w:rPr>
                                <w:sz w:val="24"/>
                                <w:szCs w:val="24"/>
                              </w:rPr>
                              <w:t xml:space="preserve"> </w:t>
                            </w:r>
                            <w:r>
                              <w:rPr>
                                <w:sz w:val="24"/>
                                <w:szCs w:val="24"/>
                              </w:rPr>
                              <w:t xml:space="preserve">v letech </w:t>
                            </w:r>
                            <w:r w:rsidRPr="00713999">
                              <w:rPr>
                                <w:sz w:val="24"/>
                                <w:szCs w:val="24"/>
                              </w:rPr>
                              <w:t>2014</w:t>
                            </w:r>
                            <w:r>
                              <w:rPr>
                                <w:rFonts w:cstheme="minorHAnsi"/>
                                <w:sz w:val="24"/>
                                <w:szCs w:val="24"/>
                              </w:rPr>
                              <w:t>–</w:t>
                            </w:r>
                            <w:r w:rsidRPr="00713999">
                              <w:rPr>
                                <w:sz w:val="24"/>
                                <w:szCs w:val="24"/>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0BEBC" id="Obdélník: se zakulacenými rohy 24" o:spid="_x0000_s1027" style="position:absolute;left:0;text-align:left;margin-left:.65pt;margin-top:26.4pt;width:219pt;height:79.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" fillcolor="#5b9bd5 [3204]" strokecolor="#1f4d78 [1604]" strokeweight="1pt">
                <v:stroke joinstyle="miter"/>
                <v:textbox>
                  <w:txbxContent>
                    <w:p w:rsidR="00BF5E07" w:rsidRPr="0034054D" w:rsidRDefault="00BF5E07" w:rsidP="00CE4C30">
                      <w:pPr>
                        <w:spacing w:after="120"/>
                        <w:jc w:val="center"/>
                        <w:rPr>
                          <w:b/>
                          <w:sz w:val="30"/>
                          <w:szCs w:val="30"/>
                        </w:rPr>
                      </w:pPr>
                      <w:r>
                        <w:rPr>
                          <w:b/>
                          <w:sz w:val="30"/>
                          <w:szCs w:val="30"/>
                        </w:rPr>
                        <w:t>9</w:t>
                      </w:r>
                      <w:r w:rsidRPr="0034054D">
                        <w:rPr>
                          <w:b/>
                          <w:sz w:val="30"/>
                          <w:szCs w:val="30"/>
                        </w:rPr>
                        <w:t> </w:t>
                      </w:r>
                      <w:r>
                        <w:rPr>
                          <w:b/>
                          <w:sz w:val="30"/>
                          <w:szCs w:val="30"/>
                        </w:rPr>
                        <w:t>536</w:t>
                      </w:r>
                      <w:r w:rsidRPr="0034054D">
                        <w:rPr>
                          <w:b/>
                          <w:sz w:val="30"/>
                          <w:szCs w:val="30"/>
                        </w:rPr>
                        <w:t xml:space="preserve"> mil. Kč</w:t>
                      </w:r>
                    </w:p>
                    <w:p w:rsidR="00BF5E07" w:rsidRPr="00713999" w:rsidRDefault="00BF5E07" w:rsidP="00CE4C30">
                      <w:pPr>
                        <w:spacing w:after="120"/>
                        <w:jc w:val="center"/>
                        <w:rPr>
                          <w:sz w:val="24"/>
                          <w:szCs w:val="24"/>
                        </w:rPr>
                      </w:pPr>
                      <w:r>
                        <w:rPr>
                          <w:sz w:val="24"/>
                          <w:szCs w:val="24"/>
                        </w:rPr>
                        <w:t>v</w:t>
                      </w:r>
                      <w:r w:rsidRPr="00713999">
                        <w:rPr>
                          <w:sz w:val="24"/>
                          <w:szCs w:val="24"/>
                        </w:rPr>
                        <w:t xml:space="preserve">ýše podpory </w:t>
                      </w:r>
                      <w:r>
                        <w:rPr>
                          <w:sz w:val="24"/>
                          <w:szCs w:val="24"/>
                        </w:rPr>
                        <w:t>z peněžních prostředků státu a EU</w:t>
                      </w:r>
                      <w:r w:rsidRPr="00713999">
                        <w:rPr>
                          <w:sz w:val="24"/>
                          <w:szCs w:val="24"/>
                        </w:rPr>
                        <w:t xml:space="preserve"> </w:t>
                      </w:r>
                      <w:r>
                        <w:rPr>
                          <w:sz w:val="24"/>
                          <w:szCs w:val="24"/>
                        </w:rPr>
                        <w:t xml:space="preserve">v letech </w:t>
                      </w:r>
                      <w:r w:rsidRPr="00713999">
                        <w:rPr>
                          <w:sz w:val="24"/>
                          <w:szCs w:val="24"/>
                        </w:rPr>
                        <w:t>2014</w:t>
                      </w:r>
                      <w:r>
                        <w:rPr>
                          <w:rFonts w:cstheme="minorHAnsi"/>
                          <w:sz w:val="24"/>
                          <w:szCs w:val="24"/>
                        </w:rPr>
                        <w:t>–</w:t>
                      </w:r>
                      <w:r w:rsidRPr="00713999">
                        <w:rPr>
                          <w:sz w:val="24"/>
                          <w:szCs w:val="24"/>
                        </w:rPr>
                        <w:t>2023</w:t>
                      </w:r>
                    </w:p>
                  </w:txbxContent>
                </v:textbox>
                <w10:wrap type="topAndBottom" anchorx="margin"/>
              </v:roundrect>
            </w:pict>
          </mc:Fallback>
        </mc:AlternateContent>
      </w:r>
      <w:r w:rsidR="00CE4C30">
        <w:rPr>
          <w:caps/>
        </w:rPr>
        <w:t>základní fakta</w:t>
      </w:r>
      <w:r w:rsidR="00CE4C30" w:rsidRPr="00E06AAB">
        <w:rPr>
          <w:caps/>
        </w:rPr>
        <w:t xml:space="preserve"> </w:t>
      </w:r>
    </w:p>
    <w:p w:rsidR="00CE4C30" w:rsidRPr="00191FA0" w:rsidRDefault="00CE4C30" w:rsidP="00CE4C30">
      <w:pPr>
        <w:jc w:val="center"/>
        <w:rPr>
          <w:sz w:val="12"/>
          <w:szCs w:val="12"/>
        </w:rPr>
      </w:pPr>
    </w:p>
    <w:p w:rsidR="00CE4C30" w:rsidRPr="00E06AAB" w:rsidRDefault="007E2C12" w:rsidP="00CE4C30">
      <w:pPr>
        <w:tabs>
          <w:tab w:val="left" w:pos="1747"/>
          <w:tab w:val="center" w:pos="4536"/>
        </w:tabs>
        <w:rPr>
          <w:caps/>
        </w:rPr>
      </w:pPr>
      <w:r w:rsidRPr="00E06AAB">
        <w:rPr>
          <w:b/>
          <w:noProof/>
          <w:sz w:val="28"/>
          <w:lang w:eastAsia="cs-CZ"/>
        </w:rPr>
        <mc:AlternateContent>
          <mc:Choice Requires="wps">
            <w:drawing>
              <wp:anchor distT="0" distB="0" distL="114300" distR="114300" simplePos="0" relativeHeight="251676672" behindDoc="0" locked="0" layoutInCell="1" allowOverlap="1" wp14:anchorId="34D71460" wp14:editId="3A357EB1">
                <wp:simplePos x="0" y="0"/>
                <wp:positionH relativeFrom="column">
                  <wp:posOffset>3588054</wp:posOffset>
                </wp:positionH>
                <wp:positionV relativeFrom="paragraph">
                  <wp:posOffset>88900</wp:posOffset>
                </wp:positionV>
                <wp:extent cx="2160000" cy="0"/>
                <wp:effectExtent l="0" t="0" r="0" b="0"/>
                <wp:wrapNone/>
                <wp:docPr id="38" name="Přímá spojnice 38"/>
                <wp:cNvGraphicFramePr/>
                <a:graphic xmlns:a="http://schemas.openxmlformats.org/drawingml/2006/main">
                  <a:graphicData uri="http://schemas.microsoft.com/office/word/2010/wordprocessingShape">
                    <wps:wsp>
                      <wps:cNvCnPr/>
                      <wps:spPr>
                        <a:xfrm>
                          <a:off x="0" y="0"/>
                          <a:ext cx="216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36AC37" id="Přímá spojnice 38"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5pt,7pt" to="452.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" strokecolor="black [3213]" strokeweight=".5pt">
                <v:stroke joinstyle="miter"/>
              </v:line>
            </w:pict>
          </mc:Fallback>
        </mc:AlternateContent>
      </w:r>
      <w:r w:rsidRPr="00E06AAB">
        <w:rPr>
          <w:b/>
          <w:noProof/>
          <w:sz w:val="28"/>
          <w:lang w:eastAsia="cs-CZ"/>
        </w:rPr>
        <mc:AlternateContent>
          <mc:Choice Requires="wps">
            <w:drawing>
              <wp:anchor distT="0" distB="0" distL="114300" distR="114300" simplePos="0" relativeHeight="251674624" behindDoc="0" locked="0" layoutInCell="1" allowOverlap="1" wp14:anchorId="006EFF9F" wp14:editId="3D5119FA">
                <wp:simplePos x="0" y="0"/>
                <wp:positionH relativeFrom="column">
                  <wp:posOffset>-20651</wp:posOffset>
                </wp:positionH>
                <wp:positionV relativeFrom="paragraph">
                  <wp:posOffset>83185</wp:posOffset>
                </wp:positionV>
                <wp:extent cx="2160000" cy="0"/>
                <wp:effectExtent l="0" t="0" r="0" b="0"/>
                <wp:wrapNone/>
                <wp:docPr id="5" name="Přímá spojnice 5"/>
                <wp:cNvGraphicFramePr/>
                <a:graphic xmlns:a="http://schemas.openxmlformats.org/drawingml/2006/main">
                  <a:graphicData uri="http://schemas.microsoft.com/office/word/2010/wordprocessingShape">
                    <wps:wsp>
                      <wps:cNvCnPr/>
                      <wps:spPr>
                        <a:xfrm>
                          <a:off x="0" y="0"/>
                          <a:ext cx="216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393722" id="Přímá spojnice 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6.55pt" to="168.4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" strokecolor="black [3213]" strokeweight=".5pt">
                <v:stroke joinstyle="miter"/>
              </v:line>
            </w:pict>
          </mc:Fallback>
        </mc:AlternateContent>
      </w:r>
      <w:r w:rsidR="00CE4C30">
        <w:rPr>
          <w:caps/>
        </w:rPr>
        <w:tab/>
      </w:r>
      <w:r w:rsidR="00CE4C30">
        <w:rPr>
          <w:caps/>
        </w:rPr>
        <w:tab/>
        <w:t>zjištěné skutečnosti</w:t>
      </w:r>
    </w:p>
    <w:p w:rsidR="00CE4C30" w:rsidRPr="00D31A5D" w:rsidRDefault="00CE4C30" w:rsidP="00CE4C30">
      <w:pPr>
        <w:spacing w:after="0" w:line="240" w:lineRule="auto"/>
        <w:contextualSpacing/>
        <w:jc w:val="center"/>
        <w:rPr>
          <w:b/>
          <w:sz w:val="12"/>
          <w:szCs w:val="12"/>
        </w:rPr>
      </w:pPr>
    </w:p>
    <w:p w:rsidR="00CE4C30" w:rsidRPr="00F34AF2" w:rsidRDefault="00CE4C30" w:rsidP="00CE4C30">
      <w:pPr>
        <w:spacing w:after="0" w:line="240" w:lineRule="auto"/>
        <w:contextualSpacing/>
        <w:jc w:val="center"/>
        <w:rPr>
          <w:b/>
          <w:sz w:val="28"/>
          <w:szCs w:val="28"/>
        </w:rPr>
      </w:pPr>
      <w:r w:rsidRPr="00F34AF2">
        <w:rPr>
          <w:b/>
          <w:sz w:val="28"/>
          <w:szCs w:val="28"/>
        </w:rPr>
        <w:t xml:space="preserve">NKÚ při kontrole 23 projektů zjistil, že 17 z nich </w:t>
      </w:r>
      <w:r w:rsidR="00623D44">
        <w:rPr>
          <w:b/>
          <w:sz w:val="28"/>
          <w:szCs w:val="28"/>
        </w:rPr>
        <w:t>vykazuje vážné</w:t>
      </w:r>
      <w:r w:rsidRPr="00F34AF2">
        <w:rPr>
          <w:b/>
          <w:sz w:val="28"/>
          <w:szCs w:val="28"/>
        </w:rPr>
        <w:t xml:space="preserve"> nedostatky.</w:t>
      </w:r>
    </w:p>
    <w:p w:rsidR="00CE4C30" w:rsidRPr="00D31A5D" w:rsidRDefault="00CE4C30" w:rsidP="00CE4C30">
      <w:pPr>
        <w:spacing w:after="0" w:line="240" w:lineRule="auto"/>
        <w:contextualSpacing/>
        <w:jc w:val="both"/>
        <w:rPr>
          <w:b/>
        </w:rPr>
      </w:pPr>
    </w:p>
    <w:p w:rsidR="00CE4C30" w:rsidRDefault="00CE4C30" w:rsidP="00CE4C30">
      <w:pPr>
        <w:spacing w:after="0"/>
        <w:contextualSpacing/>
        <w:jc w:val="center"/>
      </w:pPr>
      <w:r w:rsidRPr="002F0137">
        <w:rPr>
          <w:noProof/>
          <w:color w:val="2EB3A1"/>
          <w:shd w:val="clear" w:color="auto" w:fill="2EB3A1"/>
        </w:rPr>
        <w:drawing>
          <wp:inline distT="0" distB="0" distL="0" distR="0" wp14:anchorId="6D1354D9" wp14:editId="19AAEB84">
            <wp:extent cx="5241290" cy="2476500"/>
            <wp:effectExtent l="0" t="0" r="0" b="0"/>
            <wp:docPr id="41" name="Graf 41">
              <a:extLst xmlns:a="http://schemas.openxmlformats.org/drawingml/2006/main">
                <a:ext uri="{FF2B5EF4-FFF2-40B4-BE49-F238E27FC236}">
                  <a16:creationId xmlns:a16="http://schemas.microsoft.com/office/drawing/2014/main" id="{275287B6-A7F2-4080-8A28-1485CF2592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E4C30" w:rsidRPr="00D31A5D" w:rsidRDefault="00CE4C30" w:rsidP="00CE4C30">
      <w:pPr>
        <w:spacing w:after="0" w:line="253" w:lineRule="auto"/>
        <w:contextualSpacing/>
        <w:rPr>
          <w:b/>
        </w:rPr>
      </w:pPr>
      <w:r w:rsidRPr="002C0446">
        <w:rPr>
          <w:b/>
          <w:noProof/>
          <w:sz w:val="30"/>
          <w:szCs w:val="30"/>
          <w:highlight w:val="red"/>
        </w:rPr>
        <mc:AlternateContent>
          <mc:Choice Requires="wps">
            <w:drawing>
              <wp:anchor distT="0" distB="0" distL="114300" distR="114300" simplePos="0" relativeHeight="251665408" behindDoc="0" locked="0" layoutInCell="1" allowOverlap="1" wp14:anchorId="4D19E2F8" wp14:editId="752530E3">
                <wp:simplePos x="0" y="0"/>
                <wp:positionH relativeFrom="margin">
                  <wp:posOffset>82550</wp:posOffset>
                </wp:positionH>
                <wp:positionV relativeFrom="paragraph">
                  <wp:posOffset>1205230</wp:posOffset>
                </wp:positionV>
                <wp:extent cx="2699385" cy="778510"/>
                <wp:effectExtent l="0" t="0" r="24765" b="21590"/>
                <wp:wrapTopAndBottom/>
                <wp:docPr id="36" name="Obdélník: se zakulacenými rohy 36"/>
                <wp:cNvGraphicFramePr/>
                <a:graphic xmlns:a="http://schemas.openxmlformats.org/drawingml/2006/main">
                  <a:graphicData uri="http://schemas.microsoft.com/office/word/2010/wordprocessingShape">
                    <wps:wsp>
                      <wps:cNvSpPr/>
                      <wps:spPr>
                        <a:xfrm>
                          <a:off x="0" y="0"/>
                          <a:ext cx="2699385" cy="778510"/>
                        </a:xfrm>
                        <a:prstGeom prst="roundRect">
                          <a:avLst/>
                        </a:prstGeom>
                        <a:solidFill>
                          <a:srgbClr val="AF1953"/>
                        </a:solidFill>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713999" w:rsidRDefault="00BF5E07" w:rsidP="00CE4C30">
                            <w:pPr>
                              <w:spacing w:after="0"/>
                              <w:contextualSpacing/>
                              <w:jc w:val="center"/>
                              <w:rPr>
                                <w:sz w:val="24"/>
                                <w:szCs w:val="24"/>
                              </w:rPr>
                            </w:pPr>
                            <w:r>
                              <w:rPr>
                                <w:sz w:val="24"/>
                                <w:szCs w:val="24"/>
                              </w:rPr>
                              <w:t xml:space="preserve">Podmínky podpory dostatečně nemotivují příjemce k jejímu </w:t>
                            </w:r>
                            <w:r>
                              <w:rPr>
                                <w:sz w:val="24"/>
                                <w:szCs w:val="24"/>
                              </w:rPr>
                              <w:br/>
                              <w:t>účelnému a hospodárnému využití.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19E2F8" id="Obdélník: se zakulacenými rohy 36" o:spid="_x0000_s1028" style="position:absolute;margin-left:6.5pt;margin-top:94.9pt;width:212.55pt;height:61.3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" fillcolor="#af1953" strokecolor="#1f4d78 [1604]" strokeweight="1pt">
                <v:stroke joinstyle="miter"/>
                <v:textbox>
                  <w:txbxContent>
                    <w:p w:rsidR="00BF5E07" w:rsidRPr="00713999" w:rsidRDefault="00BF5E07" w:rsidP="00CE4C30">
                      <w:pPr>
                        <w:spacing w:after="0"/>
                        <w:contextualSpacing/>
                        <w:jc w:val="center"/>
                        <w:rPr>
                          <w:sz w:val="24"/>
                          <w:szCs w:val="24"/>
                        </w:rPr>
                      </w:pPr>
                      <w:r>
                        <w:rPr>
                          <w:sz w:val="24"/>
                          <w:szCs w:val="24"/>
                        </w:rPr>
                        <w:t xml:space="preserve">Podmínky podpory dostatečně nemotivují příjemce k jejímu </w:t>
                      </w:r>
                      <w:r>
                        <w:rPr>
                          <w:sz w:val="24"/>
                          <w:szCs w:val="24"/>
                        </w:rPr>
                        <w:br/>
                        <w:t>účelnému a hospodárnému využití.</w:t>
                      </w:r>
                    </w:p>
                  </w:txbxContent>
                </v:textbox>
                <w10:wrap type="topAndBottom" anchorx="margin"/>
              </v:roundrect>
            </w:pict>
          </mc:Fallback>
        </mc:AlternateContent>
      </w:r>
      <w:r w:rsidRPr="002C0446">
        <w:rPr>
          <w:b/>
          <w:noProof/>
          <w:sz w:val="30"/>
          <w:szCs w:val="30"/>
          <w:highlight w:val="red"/>
        </w:rPr>
        <mc:AlternateContent>
          <mc:Choice Requires="wps">
            <w:drawing>
              <wp:anchor distT="0" distB="0" distL="114300" distR="114300" simplePos="0" relativeHeight="251666432" behindDoc="0" locked="0" layoutInCell="1" allowOverlap="1" wp14:anchorId="2ED16AC7" wp14:editId="32FA26F1">
                <wp:simplePos x="0" y="0"/>
                <wp:positionH relativeFrom="column">
                  <wp:posOffset>2936240</wp:posOffset>
                </wp:positionH>
                <wp:positionV relativeFrom="paragraph">
                  <wp:posOffset>1208405</wp:posOffset>
                </wp:positionV>
                <wp:extent cx="2699385" cy="772160"/>
                <wp:effectExtent l="0" t="0" r="24765" b="27940"/>
                <wp:wrapNone/>
                <wp:docPr id="30" name="Obdélník: se zakulacenými rohy 30"/>
                <wp:cNvGraphicFramePr/>
                <a:graphic xmlns:a="http://schemas.openxmlformats.org/drawingml/2006/main">
                  <a:graphicData uri="http://schemas.microsoft.com/office/word/2010/wordprocessingShape">
                    <wps:wsp>
                      <wps:cNvSpPr/>
                      <wps:spPr>
                        <a:xfrm>
                          <a:off x="0" y="0"/>
                          <a:ext cx="2699385" cy="772160"/>
                        </a:xfrm>
                        <a:prstGeom prst="roundRect">
                          <a:avLst/>
                        </a:prstGeom>
                        <a:solidFill>
                          <a:srgbClr val="AF1953"/>
                        </a:solidFill>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4F772D" w:rsidRDefault="00BF5E07" w:rsidP="00F85F3E">
                            <w:pPr>
                              <w:spacing w:after="0"/>
                              <w:contextualSpacing/>
                              <w:jc w:val="center"/>
                              <w:rPr>
                                <w:sz w:val="24"/>
                                <w:szCs w:val="24"/>
                              </w:rPr>
                            </w:pPr>
                            <w:r>
                              <w:rPr>
                                <w:sz w:val="24"/>
                                <w:szCs w:val="24"/>
                              </w:rPr>
                              <w:t>Množství a závažnost zjištěných nedostatků svědčí o špatném fungování systému podpory.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D16AC7" id="Obdélník: se zakulacenými rohy 30" o:spid="_x0000_s1029" style="position:absolute;margin-left:231.2pt;margin-top:95.15pt;width:212.55pt;height:6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" fillcolor="#af1953" strokecolor="#1f4d78 [1604]" strokeweight="1pt">
                <v:stroke joinstyle="miter"/>
                <v:textbox>
                  <w:txbxContent>
                    <w:p w:rsidR="00BF5E07" w:rsidRPr="004F772D" w:rsidRDefault="00BF5E07" w:rsidP="00F85F3E">
                      <w:pPr>
                        <w:spacing w:after="0"/>
                        <w:contextualSpacing/>
                        <w:jc w:val="center"/>
                        <w:rPr>
                          <w:sz w:val="24"/>
                          <w:szCs w:val="24"/>
                        </w:rPr>
                      </w:pPr>
                      <w:r>
                        <w:rPr>
                          <w:sz w:val="24"/>
                          <w:szCs w:val="24"/>
                        </w:rPr>
                        <w:t>Množství a závažnost zjištěných nedostatků svědčí o špatném fungování systému podpory.</w:t>
                      </w:r>
                    </w:p>
                  </w:txbxContent>
                </v:textbox>
              </v:roundrect>
            </w:pict>
          </mc:Fallback>
        </mc:AlternateContent>
      </w:r>
      <w:r w:rsidRPr="002C0446">
        <w:rPr>
          <w:b/>
          <w:noProof/>
          <w:sz w:val="30"/>
          <w:szCs w:val="30"/>
          <w:highlight w:val="red"/>
        </w:rPr>
        <mc:AlternateContent>
          <mc:Choice Requires="wps">
            <w:drawing>
              <wp:anchor distT="0" distB="0" distL="114300" distR="114300" simplePos="0" relativeHeight="251664384" behindDoc="0" locked="0" layoutInCell="1" allowOverlap="1" wp14:anchorId="41B4AC70" wp14:editId="4B482A11">
                <wp:simplePos x="0" y="0"/>
                <wp:positionH relativeFrom="column">
                  <wp:posOffset>2916555</wp:posOffset>
                </wp:positionH>
                <wp:positionV relativeFrom="paragraph">
                  <wp:posOffset>248285</wp:posOffset>
                </wp:positionV>
                <wp:extent cx="2699385" cy="779090"/>
                <wp:effectExtent l="0" t="0" r="24765" b="21590"/>
                <wp:wrapNone/>
                <wp:docPr id="37" name="Obdélník: se zakulacenými rohy 37"/>
                <wp:cNvGraphicFramePr/>
                <a:graphic xmlns:a="http://schemas.openxmlformats.org/drawingml/2006/main">
                  <a:graphicData uri="http://schemas.microsoft.com/office/word/2010/wordprocessingShape">
                    <wps:wsp>
                      <wps:cNvSpPr/>
                      <wps:spPr>
                        <a:xfrm>
                          <a:off x="0" y="0"/>
                          <a:ext cx="2699385" cy="779090"/>
                        </a:xfrm>
                        <a:prstGeom prst="roundRect">
                          <a:avLst/>
                        </a:prstGeom>
                        <a:solidFill>
                          <a:srgbClr val="AF1953"/>
                        </a:solidFill>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605949" w:rsidRDefault="00BF5E07" w:rsidP="001F5E6B">
                            <w:pPr>
                              <w:spacing w:after="0"/>
                              <w:contextualSpacing/>
                              <w:jc w:val="center"/>
                              <w:rPr>
                                <w:sz w:val="24"/>
                                <w:szCs w:val="24"/>
                              </w:rPr>
                            </w:pPr>
                            <w:r>
                              <w:rPr>
                                <w:sz w:val="24"/>
                                <w:szCs w:val="24"/>
                              </w:rPr>
                              <w:t>Podpora nebyla směrována vždy tam, kde by přinesla největší užitek.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4AC70" id="Obdélník: se zakulacenými rohy 37" o:spid="_x0000_s1030" style="position:absolute;margin-left:229.65pt;margin-top:19.55pt;width:212.55pt;height:6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" fillcolor="#af1953" strokecolor="#1f4d78 [1604]" strokeweight="1pt">
                <v:stroke joinstyle="miter"/>
                <v:textbox>
                  <w:txbxContent>
                    <w:p w:rsidR="00BF5E07" w:rsidRPr="00605949" w:rsidRDefault="00BF5E07" w:rsidP="001F5E6B">
                      <w:pPr>
                        <w:spacing w:after="0"/>
                        <w:contextualSpacing/>
                        <w:jc w:val="center"/>
                        <w:rPr>
                          <w:sz w:val="24"/>
                          <w:szCs w:val="24"/>
                        </w:rPr>
                      </w:pPr>
                      <w:r>
                        <w:rPr>
                          <w:sz w:val="24"/>
                          <w:szCs w:val="24"/>
                        </w:rPr>
                        <w:t>Podpora nebyla směrována vždy tam, kde by přinesla největší užitek.</w:t>
                      </w:r>
                    </w:p>
                  </w:txbxContent>
                </v:textbox>
              </v:roundrect>
            </w:pict>
          </mc:Fallback>
        </mc:AlternateContent>
      </w:r>
    </w:p>
    <w:p w:rsidR="00CE4C30" w:rsidRPr="00045024" w:rsidRDefault="00117A67" w:rsidP="00CE4C30">
      <w:pPr>
        <w:spacing w:after="0" w:line="240" w:lineRule="auto"/>
        <w:jc w:val="center"/>
        <w:rPr>
          <w:b/>
          <w:sz w:val="28"/>
          <w:szCs w:val="28"/>
        </w:rPr>
      </w:pPr>
      <w:r w:rsidRPr="002C0446">
        <w:rPr>
          <w:b/>
          <w:noProof/>
          <w:sz w:val="30"/>
          <w:szCs w:val="30"/>
          <w:highlight w:val="red"/>
        </w:rPr>
        <mc:AlternateContent>
          <mc:Choice Requires="wps">
            <w:drawing>
              <wp:anchor distT="0" distB="0" distL="114300" distR="114300" simplePos="0" relativeHeight="251672576" behindDoc="0" locked="0" layoutInCell="1" allowOverlap="1" wp14:anchorId="1F9C8B77" wp14:editId="539F1AE3">
                <wp:simplePos x="0" y="0"/>
                <wp:positionH relativeFrom="column">
                  <wp:posOffset>86810</wp:posOffset>
                </wp:positionH>
                <wp:positionV relativeFrom="paragraph">
                  <wp:posOffset>64874</wp:posOffset>
                </wp:positionV>
                <wp:extent cx="2699385" cy="779090"/>
                <wp:effectExtent l="0" t="0" r="24765" b="21590"/>
                <wp:wrapNone/>
                <wp:docPr id="47" name="Obdélník: se zakulacenými rohy 47"/>
                <wp:cNvGraphicFramePr/>
                <a:graphic xmlns:a="http://schemas.openxmlformats.org/drawingml/2006/main">
                  <a:graphicData uri="http://schemas.microsoft.com/office/word/2010/wordprocessingShape">
                    <wps:wsp>
                      <wps:cNvSpPr/>
                      <wps:spPr>
                        <a:xfrm>
                          <a:off x="0" y="0"/>
                          <a:ext cx="2699385" cy="779090"/>
                        </a:xfrm>
                        <a:prstGeom prst="roundRect">
                          <a:avLst/>
                        </a:prstGeom>
                        <a:solidFill>
                          <a:srgbClr val="AF1953"/>
                        </a:solidFill>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605949" w:rsidRDefault="00BF5E07" w:rsidP="00117A67">
                            <w:pPr>
                              <w:spacing w:after="0"/>
                              <w:contextualSpacing/>
                              <w:jc w:val="center"/>
                              <w:rPr>
                                <w:sz w:val="24"/>
                                <w:szCs w:val="24"/>
                              </w:rPr>
                            </w:pPr>
                            <w:r>
                              <w:rPr>
                                <w:sz w:val="24"/>
                                <w:szCs w:val="24"/>
                              </w:rPr>
                              <w:t>Stát neví, jakých celkových výsledků chce podporou dosáhnout</w:t>
                            </w:r>
                            <w:r>
                              <w:rPr>
                                <w:sz w:val="24"/>
                                <w:szCs w:val="24"/>
                              </w:rPr>
                              <w:br/>
                              <w:t>ani jakých bylo dosaženo.</w:t>
                            </w:r>
                            <w:r w:rsidRPr="00713999">
                              <w:rPr>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C8B77" id="Obdélník: se zakulacenými rohy 47" o:spid="_x0000_s1031" style="position:absolute;left:0;text-align:left;margin-left:6.85pt;margin-top:5.1pt;width:212.55pt;height:6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" fillcolor="#af1953" strokecolor="#1f4d78 [1604]" strokeweight="1pt">
                <v:stroke joinstyle="miter"/>
                <v:textbox>
                  <w:txbxContent>
                    <w:p w:rsidR="00BF5E07" w:rsidRPr="00605949" w:rsidRDefault="00BF5E07" w:rsidP="00117A67">
                      <w:pPr>
                        <w:spacing w:after="0"/>
                        <w:contextualSpacing/>
                        <w:jc w:val="center"/>
                        <w:rPr>
                          <w:sz w:val="24"/>
                          <w:szCs w:val="24"/>
                        </w:rPr>
                      </w:pPr>
                      <w:r>
                        <w:rPr>
                          <w:sz w:val="24"/>
                          <w:szCs w:val="24"/>
                        </w:rPr>
                        <w:t>Stát neví, jakých celkových výsledků chce podporou dosáhnout</w:t>
                      </w:r>
                      <w:r>
                        <w:rPr>
                          <w:sz w:val="24"/>
                          <w:szCs w:val="24"/>
                        </w:rPr>
                        <w:br/>
                        <w:t>ani jakých bylo dosaženo.</w:t>
                      </w:r>
                      <w:r w:rsidRPr="00713999">
                        <w:rPr>
                          <w:sz w:val="24"/>
                          <w:szCs w:val="24"/>
                        </w:rPr>
                        <w:t xml:space="preserve"> </w:t>
                      </w:r>
                    </w:p>
                  </w:txbxContent>
                </v:textbox>
              </v:roundrect>
            </w:pict>
          </mc:Fallback>
        </mc:AlternateContent>
      </w:r>
      <w:r w:rsidR="00CE4C30">
        <w:rPr>
          <w:b/>
          <w:noProof/>
          <w:sz w:val="28"/>
          <w:szCs w:val="28"/>
        </w:rPr>
        <mc:AlternateContent>
          <mc:Choice Requires="wps">
            <w:drawing>
              <wp:anchor distT="0" distB="0" distL="114300" distR="114300" simplePos="0" relativeHeight="251662336" behindDoc="0" locked="0" layoutInCell="1" allowOverlap="1" wp14:anchorId="19D75B52" wp14:editId="75D71EFE">
                <wp:simplePos x="0" y="0"/>
                <wp:positionH relativeFrom="column">
                  <wp:posOffset>1138555</wp:posOffset>
                </wp:positionH>
                <wp:positionV relativeFrom="paragraph">
                  <wp:posOffset>1990090</wp:posOffset>
                </wp:positionV>
                <wp:extent cx="4496435" cy="1036955"/>
                <wp:effectExtent l="0" t="0" r="18415" b="10795"/>
                <wp:wrapNone/>
                <wp:docPr id="39" name="Obdélník: se zakulacenými rohy 39"/>
                <wp:cNvGraphicFramePr/>
                <a:graphic xmlns:a="http://schemas.openxmlformats.org/drawingml/2006/main">
                  <a:graphicData uri="http://schemas.microsoft.com/office/word/2010/wordprocessingShape">
                    <wps:wsp>
                      <wps:cNvSpPr/>
                      <wps:spPr>
                        <a:xfrm>
                          <a:off x="0" y="0"/>
                          <a:ext cx="4496435" cy="1036955"/>
                        </a:xfrm>
                        <a:prstGeom prst="roundRect">
                          <a:avLst/>
                        </a:prstGeom>
                        <a:solidFill>
                          <a:schemeClr val="bg1"/>
                        </a:solidFill>
                        <a:ln>
                          <a:solidFill>
                            <a:srgbClr val="2EB3A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F5E07" w:rsidRPr="002F0137" w:rsidRDefault="00BF5E07" w:rsidP="00CE4C30">
                            <w:pPr>
                              <w:jc w:val="both"/>
                              <w:rPr>
                                <w:b/>
                                <w:color w:val="2EB3A1"/>
                                <w:sz w:val="32"/>
                                <w:szCs w:val="32"/>
                              </w:rPr>
                            </w:pPr>
                            <w:r w:rsidRPr="002F0137">
                              <w:rPr>
                                <w:b/>
                                <w:color w:val="2EB3A1"/>
                                <w:sz w:val="32"/>
                                <w:szCs w:val="32"/>
                              </w:rPr>
                              <w:t>S ohledem na</w:t>
                            </w:r>
                            <w:r>
                              <w:rPr>
                                <w:b/>
                                <w:color w:val="2EB3A1"/>
                                <w:sz w:val="32"/>
                                <w:szCs w:val="32"/>
                              </w:rPr>
                              <w:t xml:space="preserve"> </w:t>
                            </w:r>
                            <w:r w:rsidRPr="002F0137">
                              <w:rPr>
                                <w:b/>
                                <w:color w:val="2EB3A1"/>
                                <w:sz w:val="32"/>
                                <w:szCs w:val="32"/>
                              </w:rPr>
                              <w:t xml:space="preserve">výsledky kontroly doporučuje NKÚ přehodnotit a změnit systém podpory výstavby </w:t>
                            </w:r>
                            <w:r w:rsidRPr="002F0137">
                              <w:rPr>
                                <w:b/>
                                <w:color w:val="2EB3A1"/>
                                <w:sz w:val="32"/>
                                <w:szCs w:val="32"/>
                              </w:rPr>
                              <w:br/>
                              <w:t>a rekonstrukcí komunikací pro pěší.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D75B52" id="Obdélník: se zakulacenými rohy 39" o:spid="_x0000_s1032" style="position:absolute;left:0;text-align:left;margin-left:89.65pt;margin-top:156.7pt;width:354.05pt;height:8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" fillcolor="white [3212]" strokecolor="#2eb3a1" strokeweight="1pt">
                <v:stroke joinstyle="miter"/>
                <v:textbox>
                  <w:txbxContent>
                    <w:p w:rsidR="00BF5E07" w:rsidRPr="002F0137" w:rsidRDefault="00BF5E07" w:rsidP="00CE4C30">
                      <w:pPr>
                        <w:jc w:val="both"/>
                        <w:rPr>
                          <w:b/>
                          <w:color w:val="2EB3A1"/>
                          <w:sz w:val="32"/>
                          <w:szCs w:val="32"/>
                        </w:rPr>
                      </w:pPr>
                      <w:r w:rsidRPr="002F0137">
                        <w:rPr>
                          <w:b/>
                          <w:color w:val="2EB3A1"/>
                          <w:sz w:val="32"/>
                          <w:szCs w:val="32"/>
                        </w:rPr>
                        <w:t>S ohledem na</w:t>
                      </w:r>
                      <w:r>
                        <w:rPr>
                          <w:b/>
                          <w:color w:val="2EB3A1"/>
                          <w:sz w:val="32"/>
                          <w:szCs w:val="32"/>
                        </w:rPr>
                        <w:t xml:space="preserve"> </w:t>
                      </w:r>
                      <w:r w:rsidRPr="002F0137">
                        <w:rPr>
                          <w:b/>
                          <w:color w:val="2EB3A1"/>
                          <w:sz w:val="32"/>
                          <w:szCs w:val="32"/>
                        </w:rPr>
                        <w:t xml:space="preserve">výsledky kontroly doporučuje NKÚ přehodnotit a změnit systém podpory výstavby </w:t>
                      </w:r>
                      <w:r w:rsidRPr="002F0137">
                        <w:rPr>
                          <w:b/>
                          <w:color w:val="2EB3A1"/>
                          <w:sz w:val="32"/>
                          <w:szCs w:val="32"/>
                        </w:rPr>
                        <w:br/>
                        <w:t>a rekonstrukcí komunikací pro pěší.</w:t>
                      </w:r>
                    </w:p>
                  </w:txbxContent>
                </v:textbox>
              </v:roundrect>
            </w:pict>
          </mc:Fallback>
        </mc:AlternateContent>
      </w:r>
    </w:p>
    <w:p w:rsidR="00CE4C30" w:rsidRDefault="00CE4C30" w:rsidP="00CE4C30">
      <w:pPr>
        <w:pStyle w:val="Nadpis1"/>
        <w:tabs>
          <w:tab w:val="left" w:pos="2835"/>
        </w:tabs>
        <w:spacing w:before="0" w:after="0" w:line="252" w:lineRule="auto"/>
        <w:contextualSpacing/>
        <w:jc w:val="center"/>
        <w:rPr>
          <w:rFonts w:asciiTheme="minorHAnsi" w:hAnsiTheme="minorHAnsi" w:cstheme="minorHAnsi"/>
          <w:sz w:val="24"/>
          <w:szCs w:val="24"/>
        </w:rPr>
      </w:pPr>
    </w:p>
    <w:p w:rsidR="00CE4C30" w:rsidRDefault="00CE4C30" w:rsidP="00CE4C30">
      <w:pPr>
        <w:rPr>
          <w:lang w:eastAsia="cs-CZ"/>
        </w:rPr>
      </w:pPr>
    </w:p>
    <w:p w:rsidR="00CE4C30" w:rsidRPr="00D31A5D" w:rsidRDefault="00CE4C30" w:rsidP="00CE4C30">
      <w:pPr>
        <w:rPr>
          <w:lang w:eastAsia="cs-CZ"/>
        </w:rPr>
      </w:pPr>
    </w:p>
    <w:p w:rsidR="00EB6C80" w:rsidRPr="00EB6C80" w:rsidRDefault="00EB6C80" w:rsidP="00AA5922">
      <w:pPr>
        <w:pStyle w:val="Nadpis1"/>
        <w:spacing w:before="0" w:after="0" w:line="252" w:lineRule="auto"/>
        <w:contextualSpacing/>
        <w:jc w:val="center"/>
        <w:rPr>
          <w:rFonts w:asciiTheme="minorHAnsi" w:hAnsiTheme="minorHAnsi" w:cstheme="minorHAnsi"/>
          <w:sz w:val="16"/>
          <w:szCs w:val="16"/>
        </w:rPr>
      </w:pPr>
    </w:p>
    <w:p w:rsidR="00AA5922" w:rsidRPr="00BA7095" w:rsidRDefault="00AA5922" w:rsidP="00AA5922">
      <w:pPr>
        <w:pStyle w:val="Nadpis1"/>
        <w:spacing w:before="0" w:after="0" w:line="252" w:lineRule="auto"/>
        <w:contextualSpacing/>
        <w:jc w:val="center"/>
        <w:rPr>
          <w:rFonts w:asciiTheme="minorHAnsi" w:hAnsiTheme="minorHAnsi" w:cstheme="minorHAnsi"/>
          <w:sz w:val="28"/>
          <w:szCs w:val="28"/>
        </w:rPr>
      </w:pPr>
      <w:r w:rsidRPr="00BA7095">
        <w:rPr>
          <w:rFonts w:asciiTheme="minorHAnsi" w:hAnsiTheme="minorHAnsi" w:cstheme="minorHAnsi"/>
          <w:sz w:val="28"/>
          <w:szCs w:val="28"/>
        </w:rPr>
        <w:t>I. Shrnutí a vyhodnocení</w:t>
      </w:r>
    </w:p>
    <w:p w:rsidR="00AA5922" w:rsidRPr="00BA7095" w:rsidRDefault="00117A67" w:rsidP="00AA5922">
      <w:pPr>
        <w:rPr>
          <w:lang w:eastAsia="cs-CZ"/>
        </w:rPr>
      </w:pPr>
      <w:r>
        <w:rPr>
          <w:b/>
          <w:noProof/>
          <w:sz w:val="28"/>
          <w:szCs w:val="28"/>
        </w:rPr>
        <mc:AlternateContent>
          <mc:Choice Requires="wps">
            <w:drawing>
              <wp:anchor distT="0" distB="0" distL="114300" distR="114300" simplePos="0" relativeHeight="251661312" behindDoc="0" locked="0" layoutInCell="1" allowOverlap="1" wp14:anchorId="58CCFE0B" wp14:editId="4B3ACAEE">
                <wp:simplePos x="0" y="0"/>
                <wp:positionH relativeFrom="margin">
                  <wp:posOffset>211455</wp:posOffset>
                </wp:positionH>
                <wp:positionV relativeFrom="paragraph">
                  <wp:posOffset>65606</wp:posOffset>
                </wp:positionV>
                <wp:extent cx="889000" cy="484505"/>
                <wp:effectExtent l="0" t="19050" r="44450" b="29845"/>
                <wp:wrapNone/>
                <wp:docPr id="40" name="Šipka: doprava 40"/>
                <wp:cNvGraphicFramePr/>
                <a:graphic xmlns:a="http://schemas.openxmlformats.org/drawingml/2006/main">
                  <a:graphicData uri="http://schemas.microsoft.com/office/word/2010/wordprocessingShape">
                    <wps:wsp>
                      <wps:cNvSpPr/>
                      <wps:spPr>
                        <a:xfrm>
                          <a:off x="0" y="0"/>
                          <a:ext cx="889000" cy="484505"/>
                        </a:xfrm>
                        <a:prstGeom prst="rightArrow">
                          <a:avLst/>
                        </a:prstGeom>
                        <a:solidFill>
                          <a:srgbClr val="2EB3A1"/>
                        </a:solidFill>
                        <a:ln>
                          <a:solidFill>
                            <a:srgbClr val="2EB3A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724F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40" o:spid="_x0000_s1026" type="#_x0000_t13" style="position:absolute;margin-left:16.65pt;margin-top:5.15pt;width:70pt;height:38.1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" adj="15714" fillcolor="#2eb3a1" strokecolor="#2eb3a1" strokeweight="1pt">
                <w10:wrap anchorx="margin"/>
              </v:shape>
            </w:pict>
          </mc:Fallback>
        </mc:AlternateContent>
      </w:r>
    </w:p>
    <w:p w:rsidR="00117A67" w:rsidRDefault="00117A67" w:rsidP="00AA5922">
      <w:pPr>
        <w:spacing w:after="0" w:line="252" w:lineRule="auto"/>
        <w:contextualSpacing/>
        <w:jc w:val="both"/>
        <w:rPr>
          <w:rFonts w:eastAsia="Arial Unicode MS" w:cstheme="minorHAnsi"/>
          <w:bCs/>
          <w:sz w:val="24"/>
          <w:szCs w:val="24"/>
          <w:lang w:eastAsia="cs-CZ"/>
        </w:rPr>
      </w:pPr>
    </w:p>
    <w:p w:rsidR="00117A67" w:rsidRDefault="00117A67" w:rsidP="00AA5922">
      <w:pPr>
        <w:spacing w:after="0" w:line="252" w:lineRule="auto"/>
        <w:contextualSpacing/>
        <w:jc w:val="both"/>
        <w:rPr>
          <w:rFonts w:eastAsia="Arial Unicode MS" w:cstheme="minorHAnsi"/>
          <w:bCs/>
          <w:sz w:val="24"/>
          <w:szCs w:val="24"/>
          <w:lang w:eastAsia="cs-CZ"/>
        </w:rPr>
      </w:pPr>
    </w:p>
    <w:p w:rsidR="00117A67" w:rsidRDefault="00117A67" w:rsidP="00AA5922">
      <w:pPr>
        <w:spacing w:after="0" w:line="252" w:lineRule="auto"/>
        <w:contextualSpacing/>
        <w:jc w:val="both"/>
        <w:rPr>
          <w:rFonts w:eastAsia="Arial Unicode MS" w:cstheme="minorHAnsi"/>
          <w:bCs/>
          <w:sz w:val="24"/>
          <w:szCs w:val="24"/>
          <w:lang w:eastAsia="cs-CZ"/>
        </w:rPr>
      </w:pPr>
    </w:p>
    <w:p w:rsidR="00050B8D" w:rsidRDefault="00050B8D" w:rsidP="00AA5922">
      <w:pPr>
        <w:spacing w:after="0" w:line="252" w:lineRule="auto"/>
        <w:contextualSpacing/>
        <w:jc w:val="both"/>
        <w:rPr>
          <w:rFonts w:eastAsia="Arial Unicode MS" w:cstheme="minorHAnsi"/>
          <w:bCs/>
          <w:sz w:val="24"/>
          <w:szCs w:val="24"/>
          <w:lang w:eastAsia="cs-CZ"/>
        </w:rPr>
      </w:pPr>
    </w:p>
    <w:p w:rsidR="00050B8D" w:rsidRPr="00050B8D" w:rsidRDefault="00050B8D" w:rsidP="00050B8D">
      <w:pPr>
        <w:pStyle w:val="Bn"/>
        <w:spacing w:before="0" w:after="360" w:line="240" w:lineRule="auto"/>
        <w:ind w:firstLine="0"/>
        <w:jc w:val="center"/>
        <w:rPr>
          <w:rFonts w:cs="Calibri"/>
          <w:b/>
          <w:i w:val="0"/>
          <w:sz w:val="28"/>
          <w:szCs w:val="28"/>
        </w:rPr>
      </w:pPr>
      <w:r w:rsidRPr="003F3BE8">
        <w:rPr>
          <w:rFonts w:cs="Calibri"/>
          <w:b/>
          <w:i w:val="0"/>
          <w:sz w:val="28"/>
          <w:szCs w:val="28"/>
        </w:rPr>
        <w:lastRenderedPageBreak/>
        <w:t>I. Shrnutí a vyhodnocení</w:t>
      </w:r>
    </w:p>
    <w:p w:rsidR="00AA5922" w:rsidRPr="00BA7095" w:rsidRDefault="00AA5922" w:rsidP="00AA5922">
      <w:pPr>
        <w:spacing w:after="0" w:line="252" w:lineRule="auto"/>
        <w:contextualSpacing/>
        <w:jc w:val="both"/>
        <w:rPr>
          <w:rFonts w:eastAsia="Arial Unicode MS" w:cstheme="minorHAnsi"/>
          <w:bCs/>
          <w:sz w:val="24"/>
          <w:szCs w:val="24"/>
          <w:lang w:eastAsia="cs-CZ"/>
        </w:rPr>
      </w:pPr>
      <w:r w:rsidRPr="00BA7095">
        <w:rPr>
          <w:rFonts w:eastAsia="Arial Unicode MS" w:cstheme="minorHAnsi"/>
          <w:bCs/>
          <w:sz w:val="24"/>
          <w:szCs w:val="24"/>
          <w:lang w:eastAsia="cs-CZ"/>
        </w:rPr>
        <w:t xml:space="preserve">1.1 </w:t>
      </w:r>
      <w:r w:rsidRPr="00BA7095">
        <w:rPr>
          <w:rFonts w:cstheme="minorHAnsi"/>
          <w:sz w:val="24"/>
          <w:szCs w:val="24"/>
        </w:rPr>
        <w:t xml:space="preserve">NKÚ provedl kontrolu </w:t>
      </w:r>
      <w:r w:rsidRPr="00BA7095">
        <w:rPr>
          <w:rFonts w:eastAsia="Arial Unicode MS" w:cstheme="minorHAnsi"/>
          <w:bCs/>
          <w:sz w:val="24"/>
          <w:szCs w:val="24"/>
          <w:lang w:eastAsia="cs-CZ"/>
        </w:rPr>
        <w:t xml:space="preserve">peněžních prostředků státu a Evropské unie (dále také „EU“) určených na </w:t>
      </w:r>
      <w:r w:rsidRPr="00BA7095">
        <w:rPr>
          <w:rFonts w:cstheme="minorHAnsi"/>
          <w:sz w:val="24"/>
          <w:szCs w:val="24"/>
        </w:rPr>
        <w:t xml:space="preserve">výstavbu a rekonstrukce komunikací pro pěší. </w:t>
      </w:r>
      <w:r w:rsidR="00ED3944">
        <w:rPr>
          <w:rFonts w:eastAsia="Arial Unicode MS" w:cstheme="minorHAnsi"/>
          <w:bCs/>
          <w:sz w:val="24"/>
          <w:szCs w:val="24"/>
          <w:lang w:eastAsia="cs-CZ"/>
        </w:rPr>
        <w:t>Bezpečné a bezbariérové komunikace pro pěší jsou důležité pro splnění evropských i národních cílů v oblasti zvyšování bezpečnosti dopravního provozu, ekologizace dopravy a zpřístupňování veřejného prostoru osobám se sníženou schopností pohybu nebo orientace</w:t>
      </w:r>
      <w:r w:rsidR="00ED3944">
        <w:rPr>
          <w:rStyle w:val="Znakapoznpodarou"/>
          <w:rFonts w:eastAsia="Arial Unicode MS" w:cstheme="minorHAnsi"/>
          <w:bCs/>
          <w:sz w:val="24"/>
          <w:szCs w:val="24"/>
          <w:lang w:eastAsia="cs-CZ"/>
        </w:rPr>
        <w:footnoteReference w:id="1"/>
      </w:r>
      <w:r w:rsidR="00ED3944">
        <w:rPr>
          <w:rFonts w:eastAsia="Arial Unicode MS" w:cstheme="minorHAnsi"/>
          <w:bCs/>
          <w:sz w:val="24"/>
          <w:szCs w:val="24"/>
          <w:lang w:eastAsia="cs-CZ"/>
        </w:rPr>
        <w:t xml:space="preserve">. </w:t>
      </w:r>
      <w:r w:rsidRPr="00BA7095">
        <w:rPr>
          <w:rFonts w:cstheme="minorHAnsi"/>
          <w:sz w:val="24"/>
          <w:szCs w:val="24"/>
        </w:rPr>
        <w:t xml:space="preserve">Tyto komunikace jsou </w:t>
      </w:r>
      <w:r w:rsidRPr="00BA7095">
        <w:rPr>
          <w:rFonts w:cstheme="minorHAnsi"/>
          <w:color w:val="000000"/>
          <w:sz w:val="24"/>
          <w:szCs w:val="24"/>
        </w:rPr>
        <w:t>zpravidla v majetku obcí a péče o ně a jejich rozvoj spadá do jejich samostatné působnosti</w:t>
      </w:r>
      <w:r w:rsidRPr="00BA7095">
        <w:rPr>
          <w:rStyle w:val="Znakapoznpodarou"/>
          <w:rFonts w:cstheme="minorHAnsi"/>
          <w:color w:val="000000"/>
          <w:sz w:val="24"/>
          <w:szCs w:val="24"/>
        </w:rPr>
        <w:footnoteReference w:id="2"/>
      </w:r>
      <w:r w:rsidRPr="00BA7095">
        <w:rPr>
          <w:rFonts w:cstheme="minorHAnsi"/>
          <w:color w:val="000000"/>
          <w:sz w:val="24"/>
          <w:szCs w:val="24"/>
        </w:rPr>
        <w:t>. V letech 2014</w:t>
      </w:r>
      <w:r w:rsidR="00EF7360">
        <w:rPr>
          <w:rFonts w:cstheme="minorHAnsi"/>
          <w:color w:val="000000"/>
          <w:sz w:val="24"/>
          <w:szCs w:val="24"/>
        </w:rPr>
        <w:t>–</w:t>
      </w:r>
      <w:r w:rsidRPr="00BA7095">
        <w:rPr>
          <w:rFonts w:cstheme="minorHAnsi"/>
          <w:color w:val="000000"/>
          <w:sz w:val="24"/>
          <w:szCs w:val="24"/>
        </w:rPr>
        <w:t xml:space="preserve">2023 byla obcím </w:t>
      </w:r>
      <w:r w:rsidRPr="00BA7095">
        <w:rPr>
          <w:rFonts w:eastAsia="Arial Unicode MS" w:cstheme="minorHAnsi"/>
          <w:bCs/>
          <w:sz w:val="24"/>
          <w:szCs w:val="24"/>
          <w:lang w:eastAsia="cs-CZ"/>
        </w:rPr>
        <w:t xml:space="preserve">na </w:t>
      </w:r>
      <w:r w:rsidRPr="00BA7095">
        <w:rPr>
          <w:rFonts w:cstheme="minorHAnsi"/>
          <w:sz w:val="24"/>
          <w:szCs w:val="24"/>
        </w:rPr>
        <w:t>výstavbu a rekonstrukce komunikací pro pěší</w:t>
      </w:r>
      <w:r w:rsidRPr="00BA7095">
        <w:rPr>
          <w:rFonts w:cstheme="minorHAnsi"/>
          <w:color w:val="000000"/>
          <w:sz w:val="24"/>
          <w:szCs w:val="24"/>
        </w:rPr>
        <w:t xml:space="preserve"> poskytnuta podpora z peněžních prostředků státu a EU v celkové výši 9 536 mil. Kč.</w:t>
      </w:r>
    </w:p>
    <w:p w:rsidR="00AA5922" w:rsidRPr="00BA7095" w:rsidRDefault="00AA5922" w:rsidP="00AA5922">
      <w:pPr>
        <w:spacing w:after="0" w:line="252" w:lineRule="auto"/>
        <w:contextualSpacing/>
        <w:jc w:val="both"/>
        <w:rPr>
          <w:rFonts w:cstheme="minorHAnsi"/>
          <w:sz w:val="24"/>
          <w:szCs w:val="24"/>
        </w:rPr>
      </w:pPr>
    </w:p>
    <w:p w:rsidR="00AA5922" w:rsidRPr="00BA7095" w:rsidRDefault="00AA5922" w:rsidP="00AA5922">
      <w:pPr>
        <w:spacing w:after="0" w:line="252" w:lineRule="auto"/>
        <w:contextualSpacing/>
        <w:jc w:val="both"/>
        <w:rPr>
          <w:rFonts w:cstheme="minorHAnsi"/>
          <w:color w:val="000000"/>
          <w:sz w:val="24"/>
          <w:szCs w:val="24"/>
        </w:rPr>
      </w:pPr>
      <w:r w:rsidRPr="00BA7095">
        <w:rPr>
          <w:rFonts w:eastAsia="Arial Unicode MS" w:cstheme="minorHAnsi"/>
          <w:bCs/>
          <w:sz w:val="24"/>
          <w:szCs w:val="24"/>
          <w:lang w:eastAsia="cs-CZ"/>
        </w:rPr>
        <w:t xml:space="preserve">1.2 </w:t>
      </w:r>
      <w:r w:rsidRPr="00BA7095">
        <w:rPr>
          <w:rFonts w:cstheme="minorHAnsi"/>
          <w:sz w:val="24"/>
          <w:szCs w:val="24"/>
        </w:rPr>
        <w:t xml:space="preserve">Cílem kontroly bylo prověřit, zda jsou </w:t>
      </w:r>
      <w:r w:rsidRPr="00BA7095">
        <w:rPr>
          <w:rFonts w:eastAsia="Arial Unicode MS" w:cstheme="minorHAnsi"/>
          <w:bCs/>
          <w:sz w:val="24"/>
          <w:szCs w:val="24"/>
          <w:lang w:eastAsia="cs-CZ"/>
        </w:rPr>
        <w:t>peněžní prostředky státu a EU</w:t>
      </w:r>
      <w:r w:rsidRPr="00BA7095">
        <w:rPr>
          <w:rFonts w:cstheme="minorHAnsi"/>
          <w:sz w:val="24"/>
          <w:szCs w:val="24"/>
        </w:rPr>
        <w:t xml:space="preserve"> vynakládány účelně, hospodárně a v souladu s právními předpisy. </w:t>
      </w:r>
      <w:r w:rsidRPr="00BA7095">
        <w:rPr>
          <w:rFonts w:eastAsia="Arial Unicode MS" w:cstheme="minorHAnsi"/>
          <w:bCs/>
          <w:sz w:val="24"/>
          <w:szCs w:val="24"/>
          <w:lang w:eastAsia="cs-CZ"/>
        </w:rPr>
        <w:t xml:space="preserve">Kontrola byla zaměřena na koncepční, </w:t>
      </w:r>
      <w:r w:rsidRPr="00BA7095">
        <w:rPr>
          <w:rFonts w:cstheme="minorHAnsi"/>
          <w:sz w:val="24"/>
          <w:szCs w:val="24"/>
        </w:rPr>
        <w:t xml:space="preserve">koordinační a kontrolní </w:t>
      </w:r>
      <w:r w:rsidRPr="00BA7095">
        <w:rPr>
          <w:rFonts w:eastAsia="Arial Unicode MS" w:cstheme="minorHAnsi"/>
          <w:bCs/>
          <w:sz w:val="24"/>
          <w:szCs w:val="24"/>
          <w:lang w:eastAsia="cs-CZ"/>
        </w:rPr>
        <w:t>činnost MD v této oblasti a na činnosti MMR, CRR a SFDI při poskytování této podpory.</w:t>
      </w:r>
      <w:r w:rsidRPr="00BA7095">
        <w:rPr>
          <w:rFonts w:cstheme="minorHAnsi"/>
          <w:color w:val="000000"/>
          <w:sz w:val="24"/>
          <w:szCs w:val="24"/>
        </w:rPr>
        <w:t xml:space="preserve"> </w:t>
      </w:r>
      <w:r w:rsidRPr="00BA7095">
        <w:rPr>
          <w:rFonts w:cstheme="minorHAnsi"/>
          <w:sz w:val="24"/>
          <w:szCs w:val="24"/>
        </w:rPr>
        <w:t xml:space="preserve">Kontrolu a vyhodnocení účelnosti a hospodárnosti poskytování </w:t>
      </w:r>
      <w:r>
        <w:rPr>
          <w:rFonts w:cstheme="minorHAnsi"/>
          <w:sz w:val="24"/>
          <w:szCs w:val="24"/>
        </w:rPr>
        <w:br/>
      </w:r>
      <w:r w:rsidRPr="00BA7095">
        <w:rPr>
          <w:rFonts w:cstheme="minorHAnsi"/>
          <w:sz w:val="24"/>
          <w:szCs w:val="24"/>
        </w:rPr>
        <w:t>a použití peněžních prostředků NKÚ provedl na vzorku 23 projektů s</w:t>
      </w:r>
      <w:r w:rsidR="003D10B1">
        <w:rPr>
          <w:rFonts w:cstheme="minorHAnsi"/>
          <w:sz w:val="24"/>
          <w:szCs w:val="24"/>
        </w:rPr>
        <w:t xml:space="preserve"> </w:t>
      </w:r>
      <w:r w:rsidRPr="00BA7095">
        <w:rPr>
          <w:rFonts w:cstheme="minorHAnsi"/>
          <w:sz w:val="24"/>
          <w:szCs w:val="24"/>
        </w:rPr>
        <w:t>celkovým objemem poskytnuté podpory 138 mil. Kč.</w:t>
      </w:r>
    </w:p>
    <w:p w:rsidR="00AA5922" w:rsidRPr="00BA7095" w:rsidRDefault="00AA5922" w:rsidP="00AA5922">
      <w:pPr>
        <w:spacing w:after="0" w:line="252" w:lineRule="auto"/>
        <w:contextualSpacing/>
        <w:jc w:val="both"/>
        <w:rPr>
          <w:rFonts w:cstheme="minorHAnsi"/>
          <w:color w:val="000000"/>
          <w:sz w:val="24"/>
          <w:szCs w:val="24"/>
        </w:rPr>
      </w:pPr>
    </w:p>
    <w:p w:rsidR="00AA5922" w:rsidRPr="00BA7095" w:rsidRDefault="00AA5922" w:rsidP="00AA5922">
      <w:pPr>
        <w:spacing w:after="0" w:line="252" w:lineRule="auto"/>
        <w:contextualSpacing/>
        <w:jc w:val="both"/>
        <w:rPr>
          <w:rFonts w:eastAsia="Calibri" w:cstheme="minorHAnsi"/>
          <w:b/>
          <w:sz w:val="24"/>
          <w:szCs w:val="24"/>
        </w:rPr>
      </w:pPr>
      <w:r w:rsidRPr="00BA7095">
        <w:rPr>
          <w:rFonts w:eastAsia="Calibri" w:cstheme="minorHAnsi"/>
          <w:b/>
          <w:sz w:val="24"/>
          <w:szCs w:val="24"/>
        </w:rPr>
        <w:t>1.3 NKÚ při kontrole zjistil, že peněžní prostředky státu a EU určené na podporu projektů výstavby a rekonstrukcí komunikací pro pěší</w:t>
      </w:r>
      <w:r w:rsidR="00DB5A3E">
        <w:rPr>
          <w:rFonts w:eastAsia="Calibri" w:cstheme="minorHAnsi"/>
          <w:b/>
          <w:sz w:val="24"/>
          <w:szCs w:val="24"/>
        </w:rPr>
        <w:t xml:space="preserve">, které měly </w:t>
      </w:r>
      <w:r w:rsidR="00F0088A">
        <w:rPr>
          <w:rFonts w:eastAsia="Calibri" w:cstheme="minorHAnsi"/>
          <w:b/>
          <w:sz w:val="24"/>
          <w:szCs w:val="24"/>
        </w:rPr>
        <w:t>zajistit</w:t>
      </w:r>
      <w:r w:rsidR="00DB5A3E">
        <w:rPr>
          <w:rFonts w:eastAsia="Calibri" w:cstheme="minorHAnsi"/>
          <w:b/>
          <w:sz w:val="24"/>
          <w:szCs w:val="24"/>
        </w:rPr>
        <w:t xml:space="preserve"> </w:t>
      </w:r>
      <w:r w:rsidR="00003490">
        <w:rPr>
          <w:rFonts w:eastAsia="Calibri" w:cstheme="minorHAnsi"/>
          <w:b/>
          <w:sz w:val="24"/>
          <w:szCs w:val="24"/>
        </w:rPr>
        <w:t xml:space="preserve">především </w:t>
      </w:r>
      <w:r w:rsidR="00DB5A3E">
        <w:rPr>
          <w:rFonts w:eastAsia="Calibri" w:cstheme="minorHAnsi"/>
          <w:b/>
          <w:sz w:val="24"/>
          <w:szCs w:val="24"/>
        </w:rPr>
        <w:t xml:space="preserve">zvýšení </w:t>
      </w:r>
      <w:r w:rsidR="00003490">
        <w:rPr>
          <w:rFonts w:eastAsia="Calibri" w:cstheme="minorHAnsi"/>
          <w:b/>
          <w:sz w:val="24"/>
          <w:szCs w:val="24"/>
        </w:rPr>
        <w:t xml:space="preserve">jejich </w:t>
      </w:r>
      <w:r w:rsidR="00DB5A3E">
        <w:rPr>
          <w:rFonts w:eastAsia="Calibri" w:cstheme="minorHAnsi"/>
          <w:b/>
          <w:sz w:val="24"/>
          <w:szCs w:val="24"/>
        </w:rPr>
        <w:t>bezpečnosti</w:t>
      </w:r>
      <w:r w:rsidR="00003490">
        <w:rPr>
          <w:rFonts w:eastAsia="Calibri" w:cstheme="minorHAnsi"/>
          <w:b/>
          <w:sz w:val="24"/>
          <w:szCs w:val="24"/>
        </w:rPr>
        <w:t xml:space="preserve"> a bezbariérovosti</w:t>
      </w:r>
      <w:r w:rsidR="00DB5A3E">
        <w:rPr>
          <w:rFonts w:eastAsia="Calibri" w:cstheme="minorHAnsi"/>
          <w:b/>
          <w:sz w:val="24"/>
          <w:szCs w:val="24"/>
        </w:rPr>
        <w:t>,</w:t>
      </w:r>
      <w:r w:rsidRPr="00BA7095">
        <w:rPr>
          <w:rFonts w:eastAsia="Calibri" w:cstheme="minorHAnsi"/>
          <w:b/>
          <w:sz w:val="24"/>
          <w:szCs w:val="24"/>
        </w:rPr>
        <w:t xml:space="preserve"> nebyly ve významné míře vynakládány účelně z</w:t>
      </w:r>
      <w:r w:rsidR="00836B1F">
        <w:rPr>
          <w:rFonts w:eastAsia="Calibri" w:cstheme="minorHAnsi"/>
          <w:b/>
          <w:sz w:val="24"/>
          <w:szCs w:val="24"/>
        </w:rPr>
        <w:t xml:space="preserve"> </w:t>
      </w:r>
      <w:r w:rsidRPr="00BA7095">
        <w:rPr>
          <w:rFonts w:eastAsia="Calibri" w:cstheme="minorHAnsi"/>
          <w:b/>
          <w:sz w:val="24"/>
          <w:szCs w:val="24"/>
        </w:rPr>
        <w:t>důvod</w:t>
      </w:r>
      <w:r w:rsidR="00CE4C30">
        <w:rPr>
          <w:rFonts w:eastAsia="Calibri" w:cstheme="minorHAnsi"/>
          <w:b/>
          <w:sz w:val="24"/>
          <w:szCs w:val="24"/>
        </w:rPr>
        <w:t>u</w:t>
      </w:r>
      <w:r w:rsidRPr="00BA7095">
        <w:rPr>
          <w:rFonts w:eastAsia="Calibri" w:cstheme="minorHAnsi"/>
          <w:b/>
          <w:sz w:val="24"/>
          <w:szCs w:val="24"/>
        </w:rPr>
        <w:t xml:space="preserve"> zásadních nedostatků na straně kontrolovaných osob. </w:t>
      </w:r>
    </w:p>
    <w:p w:rsidR="00003490" w:rsidRDefault="00003490" w:rsidP="00AA5922">
      <w:pPr>
        <w:spacing w:after="0" w:line="252" w:lineRule="auto"/>
        <w:contextualSpacing/>
        <w:jc w:val="both"/>
        <w:rPr>
          <w:rFonts w:eastAsia="Calibri" w:cstheme="minorHAnsi"/>
          <w:b/>
          <w:sz w:val="24"/>
          <w:szCs w:val="24"/>
        </w:rPr>
      </w:pPr>
    </w:p>
    <w:p w:rsidR="00003490" w:rsidRDefault="00623D44" w:rsidP="00AA5922">
      <w:pPr>
        <w:spacing w:after="0" w:line="252" w:lineRule="auto"/>
        <w:contextualSpacing/>
        <w:jc w:val="both"/>
        <w:rPr>
          <w:rFonts w:eastAsia="Calibri" w:cstheme="minorHAnsi"/>
          <w:b/>
          <w:sz w:val="24"/>
          <w:szCs w:val="24"/>
        </w:rPr>
      </w:pPr>
      <w:r>
        <w:rPr>
          <w:rFonts w:eastAsia="Calibri" w:cstheme="minorHAnsi"/>
          <w:b/>
          <w:sz w:val="24"/>
          <w:szCs w:val="24"/>
        </w:rPr>
        <w:t>MD</w:t>
      </w:r>
      <w:r w:rsidR="00382EC4">
        <w:rPr>
          <w:rFonts w:eastAsia="Calibri" w:cstheme="minorHAnsi"/>
          <w:b/>
          <w:sz w:val="24"/>
          <w:szCs w:val="24"/>
        </w:rPr>
        <w:t xml:space="preserve"> </w:t>
      </w:r>
      <w:r>
        <w:rPr>
          <w:rFonts w:eastAsia="Calibri" w:cstheme="minorHAnsi"/>
          <w:b/>
          <w:sz w:val="24"/>
          <w:szCs w:val="24"/>
        </w:rPr>
        <w:t>ani MMR</w:t>
      </w:r>
      <w:r w:rsidRPr="00BA7095">
        <w:rPr>
          <w:rFonts w:eastAsia="Calibri" w:cstheme="minorHAnsi"/>
          <w:b/>
          <w:sz w:val="24"/>
          <w:szCs w:val="24"/>
        </w:rPr>
        <w:t xml:space="preserve"> </w:t>
      </w:r>
      <w:r w:rsidR="00AA5922" w:rsidRPr="00BA7095">
        <w:rPr>
          <w:rFonts w:eastAsia="Calibri" w:cstheme="minorHAnsi"/>
          <w:b/>
          <w:sz w:val="24"/>
          <w:szCs w:val="24"/>
        </w:rPr>
        <w:t>nev</w:t>
      </w:r>
      <w:r w:rsidR="00382EC4">
        <w:rPr>
          <w:rFonts w:eastAsia="Calibri" w:cstheme="minorHAnsi"/>
          <w:b/>
          <w:sz w:val="24"/>
          <w:szCs w:val="24"/>
        </w:rPr>
        <w:t>ěd</w:t>
      </w:r>
      <w:r w:rsidR="00AA5922" w:rsidRPr="00BA7095">
        <w:rPr>
          <w:rFonts w:eastAsia="Calibri" w:cstheme="minorHAnsi"/>
          <w:b/>
          <w:sz w:val="24"/>
          <w:szCs w:val="24"/>
        </w:rPr>
        <w:t xml:space="preserve">í, </w:t>
      </w:r>
      <w:r w:rsidR="00003490">
        <w:rPr>
          <w:rFonts w:eastAsia="Calibri" w:cstheme="minorHAnsi"/>
          <w:b/>
          <w:sz w:val="24"/>
          <w:szCs w:val="24"/>
        </w:rPr>
        <w:t>jakých celkových výsledků</w:t>
      </w:r>
      <w:r w:rsidR="00AA5922" w:rsidRPr="00BA7095">
        <w:rPr>
          <w:rFonts w:eastAsia="Calibri" w:cstheme="minorHAnsi"/>
          <w:b/>
          <w:sz w:val="24"/>
          <w:szCs w:val="24"/>
        </w:rPr>
        <w:t xml:space="preserve"> </w:t>
      </w:r>
      <w:r w:rsidR="004C5809" w:rsidRPr="00BA7095">
        <w:rPr>
          <w:rFonts w:eastAsia="Calibri" w:cstheme="minorHAnsi"/>
          <w:b/>
          <w:sz w:val="24"/>
          <w:szCs w:val="24"/>
        </w:rPr>
        <w:t>ch</w:t>
      </w:r>
      <w:r w:rsidR="004C5809">
        <w:rPr>
          <w:rFonts w:eastAsia="Calibri" w:cstheme="minorHAnsi"/>
          <w:b/>
          <w:sz w:val="24"/>
          <w:szCs w:val="24"/>
        </w:rPr>
        <w:t>tějí</w:t>
      </w:r>
      <w:r w:rsidR="004C5809" w:rsidRPr="00BA7095">
        <w:rPr>
          <w:rFonts w:eastAsia="Calibri" w:cstheme="minorHAnsi"/>
          <w:b/>
          <w:sz w:val="24"/>
          <w:szCs w:val="24"/>
        </w:rPr>
        <w:t xml:space="preserve"> </w:t>
      </w:r>
      <w:r w:rsidR="00AA5922" w:rsidRPr="00BA7095">
        <w:rPr>
          <w:rFonts w:eastAsia="Calibri" w:cstheme="minorHAnsi"/>
          <w:b/>
          <w:sz w:val="24"/>
          <w:szCs w:val="24"/>
        </w:rPr>
        <w:t xml:space="preserve">podporou </w:t>
      </w:r>
      <w:r w:rsidR="00382EC4">
        <w:rPr>
          <w:rFonts w:eastAsia="Calibri" w:cstheme="minorHAnsi"/>
          <w:b/>
          <w:sz w:val="24"/>
          <w:szCs w:val="24"/>
        </w:rPr>
        <w:t xml:space="preserve">v této oblasti </w:t>
      </w:r>
      <w:r w:rsidR="00AA5922" w:rsidRPr="00BA7095">
        <w:rPr>
          <w:rFonts w:eastAsia="Calibri" w:cstheme="minorHAnsi"/>
          <w:b/>
          <w:sz w:val="24"/>
          <w:szCs w:val="24"/>
        </w:rPr>
        <w:t xml:space="preserve">dosáhnout ani </w:t>
      </w:r>
      <w:r w:rsidR="00003490">
        <w:rPr>
          <w:rFonts w:eastAsia="Calibri" w:cstheme="minorHAnsi"/>
          <w:b/>
          <w:sz w:val="24"/>
          <w:szCs w:val="24"/>
        </w:rPr>
        <w:t>jakých</w:t>
      </w:r>
      <w:r w:rsidR="00003490" w:rsidRPr="00BA7095">
        <w:rPr>
          <w:rFonts w:eastAsia="Calibri" w:cstheme="minorHAnsi"/>
          <w:b/>
          <w:sz w:val="24"/>
          <w:szCs w:val="24"/>
        </w:rPr>
        <w:t xml:space="preserve"> </w:t>
      </w:r>
      <w:r w:rsidR="00AA5922" w:rsidRPr="00BA7095">
        <w:rPr>
          <w:rFonts w:eastAsia="Calibri" w:cstheme="minorHAnsi"/>
          <w:b/>
          <w:sz w:val="24"/>
          <w:szCs w:val="24"/>
        </w:rPr>
        <w:t>bylo dosaženo a k jakému pokroku došlo</w:t>
      </w:r>
      <w:r w:rsidR="00382EC4">
        <w:rPr>
          <w:rFonts w:eastAsia="Calibri" w:cstheme="minorHAnsi"/>
          <w:b/>
          <w:sz w:val="24"/>
          <w:szCs w:val="24"/>
        </w:rPr>
        <w:t>, ačkoliv jim to ukládají právní předpisy</w:t>
      </w:r>
      <w:r w:rsidR="00382EC4">
        <w:rPr>
          <w:rStyle w:val="Znakapoznpodarou"/>
          <w:rFonts w:eastAsia="Calibri" w:cstheme="minorHAnsi"/>
          <w:b/>
          <w:sz w:val="24"/>
          <w:szCs w:val="24"/>
        </w:rPr>
        <w:footnoteReference w:id="3"/>
      </w:r>
      <w:r w:rsidR="00AA5922" w:rsidRPr="00BA7095">
        <w:rPr>
          <w:rFonts w:eastAsia="Calibri" w:cstheme="minorHAnsi"/>
          <w:b/>
          <w:sz w:val="24"/>
          <w:szCs w:val="24"/>
        </w:rPr>
        <w:t>. MD, SFDI ani MMR nezajistily, aby podpora byla směrována vždy tam, kde by přinesla největší užitek. Při kontrole projektů NKÚ zjistil množství závažných nedostatků významně snižujících účelnost a v</w:t>
      </w:r>
      <w:r w:rsidR="003D10B1">
        <w:rPr>
          <w:rFonts w:eastAsia="Calibri" w:cstheme="minorHAnsi"/>
          <w:b/>
          <w:sz w:val="24"/>
          <w:szCs w:val="24"/>
        </w:rPr>
        <w:t xml:space="preserve"> </w:t>
      </w:r>
      <w:r w:rsidR="00AA5922" w:rsidRPr="00BA7095">
        <w:rPr>
          <w:rFonts w:eastAsia="Calibri" w:cstheme="minorHAnsi"/>
          <w:b/>
          <w:sz w:val="24"/>
          <w:szCs w:val="24"/>
        </w:rPr>
        <w:t xml:space="preserve">některých případech i hospodárnost </w:t>
      </w:r>
      <w:r w:rsidR="000C6321">
        <w:rPr>
          <w:rFonts w:eastAsia="Calibri" w:cstheme="minorHAnsi"/>
          <w:b/>
          <w:sz w:val="24"/>
          <w:szCs w:val="24"/>
        </w:rPr>
        <w:t xml:space="preserve">vynaložení </w:t>
      </w:r>
      <w:r w:rsidR="00AA5922" w:rsidRPr="00BA7095">
        <w:rPr>
          <w:rFonts w:eastAsia="Calibri" w:cstheme="minorHAnsi"/>
          <w:b/>
          <w:sz w:val="24"/>
          <w:szCs w:val="24"/>
        </w:rPr>
        <w:t xml:space="preserve">peněžních prostředků státu a EU poskytnutých v rámci podpory. </w:t>
      </w:r>
    </w:p>
    <w:p w:rsidR="00003490" w:rsidRDefault="00003490" w:rsidP="00AA5922">
      <w:pPr>
        <w:spacing w:after="0" w:line="252" w:lineRule="auto"/>
        <w:contextualSpacing/>
        <w:jc w:val="both"/>
        <w:rPr>
          <w:rFonts w:eastAsia="Calibri" w:cstheme="minorHAnsi"/>
          <w:b/>
          <w:sz w:val="24"/>
          <w:szCs w:val="24"/>
        </w:rPr>
      </w:pPr>
    </w:p>
    <w:p w:rsidR="00AA5922" w:rsidRPr="00BA7095" w:rsidRDefault="00AA5922" w:rsidP="00AA5922">
      <w:pPr>
        <w:spacing w:after="0" w:line="252" w:lineRule="auto"/>
        <w:contextualSpacing/>
        <w:jc w:val="both"/>
        <w:rPr>
          <w:rFonts w:eastAsia="Calibri" w:cstheme="minorHAnsi"/>
          <w:b/>
          <w:sz w:val="24"/>
          <w:szCs w:val="24"/>
        </w:rPr>
      </w:pPr>
      <w:r w:rsidRPr="00BA7095">
        <w:rPr>
          <w:rFonts w:eastAsia="Calibri" w:cstheme="minorHAnsi"/>
          <w:b/>
          <w:sz w:val="24"/>
          <w:szCs w:val="24"/>
        </w:rPr>
        <w:t xml:space="preserve">Z 23 kontrolovaných projektů NKÚ u 17 vyhodnotil poskytnutou podporu státu jako neúčelnou nebo jen omezeně účelnou. </w:t>
      </w:r>
      <w:r w:rsidR="001D2B6D">
        <w:rPr>
          <w:rFonts w:eastAsia="Calibri" w:cstheme="minorHAnsi"/>
          <w:b/>
          <w:sz w:val="24"/>
          <w:szCs w:val="24"/>
        </w:rPr>
        <w:t xml:space="preserve">V případě 10 </w:t>
      </w:r>
      <w:r w:rsidR="00374B9F">
        <w:rPr>
          <w:rFonts w:eastAsia="Calibri" w:cstheme="minorHAnsi"/>
          <w:b/>
          <w:sz w:val="24"/>
          <w:szCs w:val="24"/>
        </w:rPr>
        <w:t xml:space="preserve">z těchto </w:t>
      </w:r>
      <w:r w:rsidR="001D2B6D">
        <w:rPr>
          <w:rFonts w:eastAsia="Calibri" w:cstheme="minorHAnsi"/>
          <w:b/>
          <w:sz w:val="24"/>
          <w:szCs w:val="24"/>
        </w:rPr>
        <w:t xml:space="preserve">projektů </w:t>
      </w:r>
      <w:r w:rsidRPr="00BA7095">
        <w:rPr>
          <w:rFonts w:eastAsia="Calibri" w:cstheme="minorHAnsi"/>
          <w:b/>
          <w:sz w:val="24"/>
          <w:szCs w:val="24"/>
        </w:rPr>
        <w:t xml:space="preserve">pak konstatoval nehospodárné nebo </w:t>
      </w:r>
      <w:r w:rsidR="00374B9F">
        <w:rPr>
          <w:rFonts w:eastAsia="Calibri" w:cstheme="minorHAnsi"/>
          <w:b/>
          <w:sz w:val="24"/>
          <w:szCs w:val="24"/>
        </w:rPr>
        <w:t xml:space="preserve">jen </w:t>
      </w:r>
      <w:r w:rsidRPr="00BA7095">
        <w:rPr>
          <w:rFonts w:eastAsia="Calibri" w:cstheme="minorHAnsi"/>
          <w:b/>
          <w:sz w:val="24"/>
          <w:szCs w:val="24"/>
        </w:rPr>
        <w:t>omezeně hospodárné vynaložení peněžních prostředků.</w:t>
      </w:r>
    </w:p>
    <w:p w:rsidR="00AA5922" w:rsidRPr="00BA7095" w:rsidRDefault="00AA5922" w:rsidP="00AA5922">
      <w:pPr>
        <w:spacing w:after="0" w:line="252" w:lineRule="auto"/>
        <w:contextualSpacing/>
        <w:jc w:val="both"/>
        <w:rPr>
          <w:rFonts w:eastAsia="Calibri" w:cstheme="minorHAnsi"/>
          <w:b/>
          <w:sz w:val="24"/>
          <w:szCs w:val="24"/>
        </w:rPr>
      </w:pPr>
    </w:p>
    <w:p w:rsidR="00AA5922" w:rsidRPr="00BA7095" w:rsidRDefault="00AA5922" w:rsidP="00AA5922">
      <w:pPr>
        <w:spacing w:after="0" w:line="252" w:lineRule="auto"/>
        <w:contextualSpacing/>
        <w:jc w:val="both"/>
        <w:rPr>
          <w:rFonts w:eastAsia="Calibri" w:cstheme="minorHAnsi"/>
          <w:b/>
          <w:sz w:val="24"/>
          <w:szCs w:val="24"/>
        </w:rPr>
      </w:pPr>
      <w:r w:rsidRPr="00BA7095">
        <w:rPr>
          <w:sz w:val="24"/>
          <w:szCs w:val="24"/>
        </w:rPr>
        <w:t>1.4 Toto celkové vyhodnocení vyplývá z následujících zjištění:</w:t>
      </w:r>
    </w:p>
    <w:p w:rsidR="00AA5922" w:rsidRPr="00BA7095" w:rsidRDefault="00AA5922" w:rsidP="00AA5922">
      <w:pPr>
        <w:spacing w:after="0" w:line="252" w:lineRule="auto"/>
        <w:contextualSpacing/>
        <w:jc w:val="both"/>
        <w:rPr>
          <w:rFonts w:cstheme="minorHAnsi"/>
          <w:sz w:val="24"/>
          <w:szCs w:val="24"/>
        </w:rPr>
      </w:pPr>
    </w:p>
    <w:p w:rsidR="00AA5922" w:rsidRPr="00BA7095" w:rsidRDefault="00AA5922" w:rsidP="00AA5922">
      <w:pPr>
        <w:pStyle w:val="Odstavecseseznamem"/>
        <w:numPr>
          <w:ilvl w:val="0"/>
          <w:numId w:val="2"/>
        </w:numPr>
        <w:spacing w:after="0" w:line="252" w:lineRule="auto"/>
        <w:ind w:left="284" w:hanging="284"/>
        <w:jc w:val="both"/>
        <w:rPr>
          <w:rFonts w:cstheme="minorHAnsi"/>
          <w:sz w:val="24"/>
          <w:szCs w:val="24"/>
        </w:rPr>
      </w:pPr>
      <w:r w:rsidRPr="00BA7095">
        <w:rPr>
          <w:sz w:val="24"/>
          <w:szCs w:val="24"/>
        </w:rPr>
        <w:t>MD p</w:t>
      </w:r>
      <w:r w:rsidRPr="00BA7095">
        <w:rPr>
          <w:rFonts w:cstheme="minorHAnsi"/>
          <w:sz w:val="24"/>
          <w:szCs w:val="24"/>
        </w:rPr>
        <w:t>otřebu poskytování podpory obcím z</w:t>
      </w:r>
      <w:r w:rsidR="003D10B1">
        <w:rPr>
          <w:rFonts w:cstheme="minorHAnsi"/>
          <w:sz w:val="24"/>
          <w:szCs w:val="24"/>
        </w:rPr>
        <w:t xml:space="preserve"> </w:t>
      </w:r>
      <w:r w:rsidRPr="00BA7095">
        <w:rPr>
          <w:rFonts w:cstheme="minorHAnsi"/>
          <w:sz w:val="24"/>
          <w:szCs w:val="24"/>
        </w:rPr>
        <w:t xml:space="preserve">peněžních prostředků státu deklarovanou v koncepčních dokumentech resortu dopravy </w:t>
      </w:r>
      <w:r w:rsidR="00442679">
        <w:rPr>
          <w:sz w:val="24"/>
          <w:szCs w:val="24"/>
        </w:rPr>
        <w:t xml:space="preserve">v rozporu s právním předpisem </w:t>
      </w:r>
      <w:r w:rsidRPr="00BA7095">
        <w:rPr>
          <w:rFonts w:cstheme="minorHAnsi"/>
          <w:sz w:val="24"/>
          <w:szCs w:val="24"/>
        </w:rPr>
        <w:t xml:space="preserve">nepodložilo </w:t>
      </w:r>
      <w:r w:rsidRPr="00BA7095">
        <w:rPr>
          <w:rFonts w:cstheme="minorHAnsi"/>
          <w:sz w:val="24"/>
          <w:szCs w:val="24"/>
        </w:rPr>
        <w:lastRenderedPageBreak/>
        <w:t>relevantními a objektivními informacemi, které by umožnily optimalizovat formu, výši, zaměření a priority podpory. Stanovilo jen obecně formulované neměřitelné cíle poskytování podpory</w:t>
      </w:r>
      <w:r w:rsidR="00191F0F" w:rsidRPr="00AF59C8">
        <w:rPr>
          <w:rStyle w:val="Znakapoznpodarou"/>
          <w:rFonts w:cstheme="minorHAnsi"/>
          <w:sz w:val="24"/>
          <w:szCs w:val="24"/>
        </w:rPr>
        <w:footnoteReference w:id="4"/>
      </w:r>
      <w:r w:rsidR="0013545B">
        <w:rPr>
          <w:rFonts w:cstheme="minorHAnsi"/>
          <w:sz w:val="24"/>
          <w:szCs w:val="24"/>
        </w:rPr>
        <w:t xml:space="preserve"> (v</w:t>
      </w:r>
      <w:r w:rsidR="00CD757C">
        <w:rPr>
          <w:rFonts w:cstheme="minorHAnsi"/>
          <w:sz w:val="24"/>
          <w:szCs w:val="24"/>
        </w:rPr>
        <w:t>iz odstavce 4.1 až 4.4</w:t>
      </w:r>
      <w:r w:rsidR="0013545B">
        <w:rPr>
          <w:rFonts w:cstheme="minorHAnsi"/>
          <w:sz w:val="24"/>
          <w:szCs w:val="24"/>
        </w:rPr>
        <w:t>)</w:t>
      </w:r>
      <w:r w:rsidR="00CD757C">
        <w:rPr>
          <w:rFonts w:cstheme="minorHAnsi"/>
          <w:sz w:val="24"/>
          <w:szCs w:val="24"/>
        </w:rPr>
        <w:t>.</w:t>
      </w:r>
      <w:r w:rsidRPr="00BA7095">
        <w:rPr>
          <w:rFonts w:cstheme="minorHAnsi"/>
          <w:sz w:val="24"/>
          <w:szCs w:val="24"/>
        </w:rPr>
        <w:t xml:space="preserve"> </w:t>
      </w:r>
    </w:p>
    <w:p w:rsidR="00AA5922" w:rsidRPr="00BA7095" w:rsidRDefault="00AA5922" w:rsidP="00AA5922">
      <w:pPr>
        <w:pStyle w:val="Odstavecseseznamem"/>
        <w:spacing w:after="0" w:line="252" w:lineRule="auto"/>
        <w:ind w:left="284"/>
        <w:jc w:val="both"/>
        <w:rPr>
          <w:sz w:val="24"/>
          <w:szCs w:val="24"/>
        </w:rPr>
      </w:pPr>
    </w:p>
    <w:p w:rsidR="00AA5922" w:rsidRPr="00BA7095" w:rsidRDefault="00AA5922" w:rsidP="00AA5922">
      <w:pPr>
        <w:pStyle w:val="Odstavecseseznamem"/>
        <w:numPr>
          <w:ilvl w:val="0"/>
          <w:numId w:val="2"/>
        </w:numPr>
        <w:spacing w:after="0" w:line="252" w:lineRule="auto"/>
        <w:ind w:left="284" w:hanging="284"/>
        <w:jc w:val="both"/>
        <w:rPr>
          <w:rFonts w:cstheme="minorHAnsi"/>
          <w:sz w:val="24"/>
          <w:szCs w:val="24"/>
        </w:rPr>
      </w:pPr>
      <w:r w:rsidRPr="00BA7095">
        <w:rPr>
          <w:sz w:val="24"/>
          <w:szCs w:val="24"/>
        </w:rPr>
        <w:t xml:space="preserve">Ani SFDI a MMR jako poskytovatelé podpory nedisponují analýzou </w:t>
      </w:r>
      <w:r w:rsidRPr="00BA7095">
        <w:rPr>
          <w:rFonts w:cstheme="minorHAnsi"/>
          <w:sz w:val="24"/>
          <w:szCs w:val="24"/>
        </w:rPr>
        <w:t xml:space="preserve">výchozího stavu </w:t>
      </w:r>
      <w:r w:rsidRPr="00BA7095">
        <w:rPr>
          <w:sz w:val="24"/>
          <w:szCs w:val="24"/>
        </w:rPr>
        <w:t>dané oblasti,</w:t>
      </w:r>
      <w:r w:rsidRPr="00BA7095">
        <w:rPr>
          <w:rFonts w:cstheme="minorHAnsi"/>
          <w:sz w:val="24"/>
          <w:szCs w:val="24"/>
        </w:rPr>
        <w:t xml:space="preserve"> jej</w:t>
      </w:r>
      <w:r w:rsidR="007205C5">
        <w:rPr>
          <w:rFonts w:cstheme="minorHAnsi"/>
          <w:sz w:val="24"/>
          <w:szCs w:val="24"/>
        </w:rPr>
        <w:t>í</w:t>
      </w:r>
      <w:r w:rsidRPr="00BA7095">
        <w:rPr>
          <w:rFonts w:cstheme="minorHAnsi"/>
          <w:sz w:val="24"/>
          <w:szCs w:val="24"/>
        </w:rPr>
        <w:t>ch nedostatků a možností řešení</w:t>
      </w:r>
      <w:r w:rsidRPr="00BA7095">
        <w:rPr>
          <w:sz w:val="24"/>
          <w:szCs w:val="24"/>
        </w:rPr>
        <w:t xml:space="preserve">. Nestanovily žádné konkrétní měřitelné cíle ani ukazatele pro vyhodnocení výsledků poskytnuté </w:t>
      </w:r>
      <w:r w:rsidRPr="00BA7095">
        <w:rPr>
          <w:rFonts w:cstheme="minorHAnsi"/>
          <w:sz w:val="24"/>
          <w:szCs w:val="24"/>
        </w:rPr>
        <w:t>podpory. Má-li být zajištěna účelnost poskytování a použití podpory, nemůže být jejím cílem jen neměřitelné a objektivně nevyhodnotitelné „zlepšení stavu“, u něhož není nijak vymezena výchozí ani cílová úroveň a není ani zřejmé, jak bude sledován pokrok při odstraňování nedostatků</w:t>
      </w:r>
      <w:r w:rsidR="00A32ECC" w:rsidRPr="003F1F77">
        <w:rPr>
          <w:rStyle w:val="Znakapoznpodarou"/>
          <w:rFonts w:cstheme="minorHAnsi"/>
        </w:rPr>
        <w:footnoteReference w:id="5"/>
      </w:r>
      <w:r w:rsidR="0013545B">
        <w:rPr>
          <w:rFonts w:cstheme="minorHAnsi"/>
          <w:sz w:val="24"/>
          <w:szCs w:val="24"/>
        </w:rPr>
        <w:t xml:space="preserve"> (v</w:t>
      </w:r>
      <w:r w:rsidR="00CD757C">
        <w:rPr>
          <w:rFonts w:cstheme="minorHAnsi"/>
          <w:sz w:val="24"/>
          <w:szCs w:val="24"/>
        </w:rPr>
        <w:t>iz odstavce 4.1</w:t>
      </w:r>
      <w:r w:rsidR="00BA4C36">
        <w:rPr>
          <w:rFonts w:cstheme="minorHAnsi"/>
          <w:sz w:val="24"/>
          <w:szCs w:val="24"/>
        </w:rPr>
        <w:t> </w:t>
      </w:r>
      <w:r w:rsidR="00CD757C">
        <w:rPr>
          <w:rFonts w:cstheme="minorHAnsi"/>
          <w:sz w:val="24"/>
          <w:szCs w:val="24"/>
        </w:rPr>
        <w:t>až 4.4</w:t>
      </w:r>
      <w:r w:rsidR="0013545B">
        <w:rPr>
          <w:rFonts w:cstheme="minorHAnsi"/>
          <w:sz w:val="24"/>
          <w:szCs w:val="24"/>
        </w:rPr>
        <w:t>)</w:t>
      </w:r>
      <w:r w:rsidR="00650F28">
        <w:rPr>
          <w:rFonts w:cstheme="minorHAnsi"/>
          <w:sz w:val="24"/>
          <w:szCs w:val="24"/>
        </w:rPr>
        <w:t>.</w:t>
      </w:r>
    </w:p>
    <w:p w:rsidR="00AA5922" w:rsidRPr="00BA7095" w:rsidRDefault="00AA5922" w:rsidP="00AA5922">
      <w:pPr>
        <w:pStyle w:val="Odstavecseseznamem"/>
        <w:spacing w:after="0" w:line="252" w:lineRule="auto"/>
        <w:rPr>
          <w:sz w:val="24"/>
          <w:szCs w:val="24"/>
        </w:rPr>
      </w:pPr>
    </w:p>
    <w:p w:rsidR="00AA5922" w:rsidRPr="00BA7095" w:rsidRDefault="00AA5922" w:rsidP="00AA5922">
      <w:pPr>
        <w:pStyle w:val="Odstavecseseznamem"/>
        <w:numPr>
          <w:ilvl w:val="0"/>
          <w:numId w:val="2"/>
        </w:numPr>
        <w:spacing w:after="0" w:line="252" w:lineRule="auto"/>
        <w:ind w:left="284" w:hanging="284"/>
        <w:jc w:val="both"/>
        <w:rPr>
          <w:sz w:val="24"/>
          <w:szCs w:val="24"/>
        </w:rPr>
      </w:pPr>
      <w:r w:rsidRPr="00BA7095">
        <w:rPr>
          <w:sz w:val="24"/>
          <w:szCs w:val="24"/>
        </w:rPr>
        <w:t xml:space="preserve">MD, SFDI ani MMR </w:t>
      </w:r>
      <w:r w:rsidR="00EF3C87">
        <w:rPr>
          <w:sz w:val="24"/>
          <w:szCs w:val="24"/>
        </w:rPr>
        <w:t xml:space="preserve">celkové </w:t>
      </w:r>
      <w:r w:rsidRPr="00BA7095">
        <w:rPr>
          <w:sz w:val="24"/>
          <w:szCs w:val="24"/>
        </w:rPr>
        <w:t xml:space="preserve">výsledky podpory nevyhodnocovaly, o jejich celkových přínosech pro podpořenou oblast a míře odstranění identifikovaných nedostatků nemají přehled (CRR zajišťovalo jen činnosti spojené s administrací podpory). Na podporu </w:t>
      </w:r>
      <w:r w:rsidRPr="00BA7095">
        <w:rPr>
          <w:rFonts w:cstheme="minorHAnsi"/>
          <w:sz w:val="24"/>
          <w:szCs w:val="24"/>
        </w:rPr>
        <w:t>výstavby a rekonstrukcí komunikací pro pěší</w:t>
      </w:r>
      <w:r w:rsidRPr="00BA7095">
        <w:rPr>
          <w:rFonts w:cstheme="minorHAnsi"/>
          <w:color w:val="000000"/>
          <w:sz w:val="24"/>
          <w:szCs w:val="24"/>
        </w:rPr>
        <w:t xml:space="preserve"> </w:t>
      </w:r>
      <w:r w:rsidR="00306E9C">
        <w:rPr>
          <w:rFonts w:cstheme="minorHAnsi"/>
          <w:color w:val="000000"/>
          <w:sz w:val="24"/>
          <w:szCs w:val="24"/>
        </w:rPr>
        <w:t xml:space="preserve">přitom </w:t>
      </w:r>
      <w:r w:rsidRPr="00BA7095">
        <w:rPr>
          <w:rFonts w:cstheme="minorHAnsi"/>
          <w:color w:val="000000"/>
          <w:sz w:val="24"/>
          <w:szCs w:val="24"/>
        </w:rPr>
        <w:t xml:space="preserve">bylo </w:t>
      </w:r>
      <w:r w:rsidR="001C6E08">
        <w:rPr>
          <w:rFonts w:cstheme="minorHAnsi"/>
          <w:color w:val="000000"/>
          <w:sz w:val="24"/>
          <w:szCs w:val="24"/>
        </w:rPr>
        <w:t xml:space="preserve">v </w:t>
      </w:r>
      <w:r w:rsidRPr="00BA7095">
        <w:rPr>
          <w:rFonts w:cstheme="minorHAnsi"/>
          <w:color w:val="000000"/>
          <w:sz w:val="24"/>
          <w:szCs w:val="24"/>
        </w:rPr>
        <w:t>letech 2014</w:t>
      </w:r>
      <w:r w:rsidR="007205C5">
        <w:rPr>
          <w:rFonts w:cstheme="minorHAnsi"/>
          <w:color w:val="000000"/>
          <w:sz w:val="24"/>
          <w:szCs w:val="24"/>
        </w:rPr>
        <w:t>–</w:t>
      </w:r>
      <w:r w:rsidRPr="00BA7095">
        <w:rPr>
          <w:rFonts w:cstheme="minorHAnsi"/>
          <w:color w:val="000000"/>
          <w:sz w:val="24"/>
          <w:szCs w:val="24"/>
        </w:rPr>
        <w:t xml:space="preserve">2023 vynaloženo z peněžních prostředků státu a EU více než </w:t>
      </w:r>
      <w:r w:rsidRPr="00BA7095">
        <w:rPr>
          <w:rFonts w:eastAsia="Calibri" w:cstheme="minorHAnsi"/>
          <w:sz w:val="24"/>
          <w:szCs w:val="24"/>
        </w:rPr>
        <w:t>9,5 mld. Kč</w:t>
      </w:r>
      <w:r w:rsidR="007205C5">
        <w:rPr>
          <w:rFonts w:eastAsia="Calibri" w:cstheme="minorHAnsi"/>
          <w:sz w:val="24"/>
          <w:szCs w:val="24"/>
        </w:rPr>
        <w:t xml:space="preserve"> (v</w:t>
      </w:r>
      <w:r w:rsidR="007205C5">
        <w:rPr>
          <w:rFonts w:cstheme="minorHAnsi"/>
          <w:sz w:val="24"/>
          <w:szCs w:val="24"/>
        </w:rPr>
        <w:t>iz odstavce 4.5 až 4.14).</w:t>
      </w:r>
      <w:r w:rsidR="00A32ECC">
        <w:rPr>
          <w:rStyle w:val="Znakapoznpodarou"/>
          <w:rFonts w:eastAsia="Calibri" w:cstheme="minorHAnsi"/>
          <w:sz w:val="24"/>
          <w:szCs w:val="24"/>
        </w:rPr>
        <w:footnoteReference w:id="6"/>
      </w:r>
      <w:r w:rsidR="0013545B">
        <w:rPr>
          <w:rFonts w:eastAsia="Calibri" w:cstheme="minorHAnsi"/>
          <w:sz w:val="24"/>
          <w:szCs w:val="24"/>
        </w:rPr>
        <w:t xml:space="preserve"> </w:t>
      </w:r>
    </w:p>
    <w:p w:rsidR="00AA5922" w:rsidRPr="00BA7095" w:rsidRDefault="00AA5922" w:rsidP="00AA5922">
      <w:pPr>
        <w:pStyle w:val="Odstavecseseznamem"/>
        <w:spacing w:after="0" w:line="252" w:lineRule="auto"/>
        <w:rPr>
          <w:sz w:val="24"/>
          <w:szCs w:val="24"/>
        </w:rPr>
      </w:pPr>
    </w:p>
    <w:p w:rsidR="00AA5922" w:rsidRPr="00BA7095" w:rsidRDefault="00AA5922" w:rsidP="00AA5922">
      <w:pPr>
        <w:pStyle w:val="Odstavecseseznamem"/>
        <w:numPr>
          <w:ilvl w:val="0"/>
          <w:numId w:val="2"/>
        </w:numPr>
        <w:spacing w:after="0" w:line="252" w:lineRule="auto"/>
        <w:ind w:left="284" w:hanging="284"/>
        <w:jc w:val="both"/>
        <w:rPr>
          <w:sz w:val="24"/>
          <w:szCs w:val="24"/>
        </w:rPr>
      </w:pPr>
      <w:r w:rsidRPr="00BA7095">
        <w:rPr>
          <w:sz w:val="24"/>
          <w:szCs w:val="24"/>
        </w:rPr>
        <w:t xml:space="preserve">SFDI a MMR nastavením podmínek a kritérií pro výběr projektů k poskytnutí podpory nezajistily </w:t>
      </w:r>
      <w:r w:rsidR="00741083">
        <w:rPr>
          <w:sz w:val="24"/>
          <w:szCs w:val="24"/>
        </w:rPr>
        <w:t xml:space="preserve">základní předpoklady pro </w:t>
      </w:r>
      <w:r w:rsidRPr="00BA7095">
        <w:rPr>
          <w:sz w:val="24"/>
          <w:szCs w:val="24"/>
        </w:rPr>
        <w:t xml:space="preserve">její účelné a hospodárné </w:t>
      </w:r>
      <w:r w:rsidR="00FA4C1B">
        <w:rPr>
          <w:sz w:val="24"/>
          <w:szCs w:val="24"/>
        </w:rPr>
        <w:t>vynakládání</w:t>
      </w:r>
      <w:r w:rsidRPr="00BA7095">
        <w:rPr>
          <w:sz w:val="24"/>
          <w:szCs w:val="24"/>
        </w:rPr>
        <w:t xml:space="preserve">. </w:t>
      </w:r>
      <w:r w:rsidRPr="00BA7095">
        <w:rPr>
          <w:rFonts w:eastAsia="Calibri" w:cstheme="minorHAnsi"/>
          <w:sz w:val="24"/>
          <w:szCs w:val="24"/>
        </w:rPr>
        <w:t xml:space="preserve">MMR a SFDI při výběru projektů vycházely z údajů a informací uváděných žadateli o podporu, aniž by je ověřovaly. Nastavení některých kritérií pro výběr projektů bylo nejednoznačné </w:t>
      </w:r>
      <w:r w:rsidR="00316ECA">
        <w:rPr>
          <w:rFonts w:eastAsia="Calibri" w:cstheme="minorHAnsi"/>
          <w:sz w:val="24"/>
          <w:szCs w:val="24"/>
        </w:rPr>
        <w:br/>
      </w:r>
      <w:r w:rsidRPr="00BA7095">
        <w:rPr>
          <w:rFonts w:eastAsia="Calibri" w:cstheme="minorHAnsi"/>
          <w:sz w:val="24"/>
          <w:szCs w:val="24"/>
        </w:rPr>
        <w:t xml:space="preserve">a posuzování jejich splnění bylo spíše formální, bez odpovídajícího věcného obsahu. Žadatelé v žádostech o podporu často uváděli přehnaně negativní hodnocení výchozího </w:t>
      </w:r>
      <w:proofErr w:type="gramStart"/>
      <w:r w:rsidRPr="00BA7095">
        <w:rPr>
          <w:rFonts w:eastAsia="Calibri" w:cstheme="minorHAnsi"/>
          <w:sz w:val="24"/>
          <w:szCs w:val="24"/>
        </w:rPr>
        <w:t>stavu</w:t>
      </w:r>
      <w:proofErr w:type="gramEnd"/>
      <w:r w:rsidRPr="00BA7095">
        <w:rPr>
          <w:rFonts w:eastAsia="Calibri" w:cstheme="minorHAnsi"/>
          <w:sz w:val="24"/>
          <w:szCs w:val="24"/>
        </w:rPr>
        <w:t xml:space="preserve"> a naopak zveličovali přínosy projektů, někdy uváděli </w:t>
      </w:r>
      <w:r w:rsidR="00C71E29">
        <w:rPr>
          <w:rFonts w:eastAsia="Calibri" w:cstheme="minorHAnsi"/>
          <w:sz w:val="24"/>
          <w:szCs w:val="24"/>
        </w:rPr>
        <w:t xml:space="preserve">nepřesné </w:t>
      </w:r>
      <w:r w:rsidRPr="00BA7095">
        <w:rPr>
          <w:rFonts w:eastAsia="Calibri" w:cstheme="minorHAnsi"/>
          <w:sz w:val="24"/>
          <w:szCs w:val="24"/>
        </w:rPr>
        <w:t>informace. V některých případech deklarované rekonstrukce komunikací pro pěší měly spíše charakter oprav, na které však podpora nebyla určena</w:t>
      </w:r>
      <w:r w:rsidR="0013545B">
        <w:rPr>
          <w:rFonts w:eastAsia="Calibri" w:cstheme="minorHAnsi"/>
          <w:sz w:val="24"/>
          <w:szCs w:val="24"/>
        </w:rPr>
        <w:t xml:space="preserve"> (v</w:t>
      </w:r>
      <w:r w:rsidR="00650F28">
        <w:rPr>
          <w:rFonts w:cstheme="minorHAnsi"/>
          <w:sz w:val="24"/>
          <w:szCs w:val="24"/>
        </w:rPr>
        <w:t>iz odstavce 4.</w:t>
      </w:r>
      <w:r w:rsidR="00FA4C1B">
        <w:rPr>
          <w:rFonts w:cstheme="minorHAnsi"/>
          <w:sz w:val="24"/>
          <w:szCs w:val="24"/>
        </w:rPr>
        <w:t xml:space="preserve">16 </w:t>
      </w:r>
      <w:r w:rsidR="00650F28">
        <w:rPr>
          <w:rFonts w:cstheme="minorHAnsi"/>
          <w:sz w:val="24"/>
          <w:szCs w:val="24"/>
        </w:rPr>
        <w:t>až 4.22</w:t>
      </w:r>
      <w:r w:rsidR="0013545B">
        <w:rPr>
          <w:rFonts w:cstheme="minorHAnsi"/>
          <w:sz w:val="24"/>
          <w:szCs w:val="24"/>
        </w:rPr>
        <w:t>)</w:t>
      </w:r>
      <w:r w:rsidR="00650F28">
        <w:rPr>
          <w:rFonts w:cstheme="minorHAnsi"/>
          <w:sz w:val="24"/>
          <w:szCs w:val="24"/>
        </w:rPr>
        <w:t>.</w:t>
      </w:r>
      <w:r w:rsidR="00B65BE2">
        <w:rPr>
          <w:rFonts w:cstheme="minorHAnsi"/>
          <w:sz w:val="24"/>
          <w:szCs w:val="24"/>
        </w:rPr>
        <w:t xml:space="preserve"> Výše uvedené nedostatky se projevily i u kontrolovaných projektů.</w:t>
      </w:r>
    </w:p>
    <w:p w:rsidR="00AA5922" w:rsidRPr="00BA7095" w:rsidRDefault="00AA5922" w:rsidP="00AA5922">
      <w:pPr>
        <w:pStyle w:val="Odstavecseseznamem"/>
        <w:rPr>
          <w:sz w:val="24"/>
          <w:szCs w:val="24"/>
        </w:rPr>
      </w:pPr>
    </w:p>
    <w:p w:rsidR="00AA5922" w:rsidRPr="00BF2F0F" w:rsidRDefault="00AA5922" w:rsidP="00BF2F0F">
      <w:pPr>
        <w:pStyle w:val="Odstavecseseznamem"/>
        <w:numPr>
          <w:ilvl w:val="0"/>
          <w:numId w:val="2"/>
        </w:numPr>
        <w:spacing w:after="0" w:line="252" w:lineRule="auto"/>
        <w:ind w:left="284" w:hanging="284"/>
        <w:jc w:val="both"/>
        <w:rPr>
          <w:sz w:val="24"/>
          <w:szCs w:val="24"/>
        </w:rPr>
      </w:pPr>
      <w:r w:rsidRPr="00BA7095">
        <w:rPr>
          <w:sz w:val="24"/>
          <w:szCs w:val="24"/>
        </w:rPr>
        <w:t xml:space="preserve">Podpořené projekty nevedly k odstranění </w:t>
      </w:r>
      <w:r w:rsidR="00FB4202">
        <w:rPr>
          <w:sz w:val="24"/>
          <w:szCs w:val="24"/>
        </w:rPr>
        <w:t>řady</w:t>
      </w:r>
      <w:r w:rsidRPr="00BA7095">
        <w:rPr>
          <w:sz w:val="24"/>
          <w:szCs w:val="24"/>
        </w:rPr>
        <w:t xml:space="preserve"> problematických míst v řešených úsecích, často nezajistily osobám se sníženou schopností orientace bezpečné přecházení. </w:t>
      </w:r>
      <w:r w:rsidRPr="00BA7095">
        <w:rPr>
          <w:rFonts w:eastAsia="Calibri" w:cstheme="minorHAnsi"/>
          <w:sz w:val="24"/>
          <w:szCs w:val="24"/>
        </w:rPr>
        <w:t xml:space="preserve">NKÚ </w:t>
      </w:r>
      <w:r w:rsidR="000B29CF">
        <w:rPr>
          <w:rFonts w:eastAsia="Calibri" w:cstheme="minorHAnsi"/>
          <w:sz w:val="24"/>
          <w:szCs w:val="24"/>
        </w:rPr>
        <w:br/>
      </w:r>
      <w:r w:rsidRPr="00BA7095">
        <w:rPr>
          <w:rFonts w:eastAsia="Calibri" w:cstheme="minorHAnsi"/>
          <w:sz w:val="24"/>
          <w:szCs w:val="24"/>
        </w:rPr>
        <w:t>v</w:t>
      </w:r>
      <w:r w:rsidR="000B29CF">
        <w:rPr>
          <w:rFonts w:eastAsia="Calibri" w:cstheme="minorHAnsi"/>
          <w:sz w:val="24"/>
          <w:szCs w:val="24"/>
        </w:rPr>
        <w:t xml:space="preserve"> </w:t>
      </w:r>
      <w:r w:rsidRPr="00BA7095">
        <w:rPr>
          <w:rFonts w:eastAsia="Calibri" w:cstheme="minorHAnsi"/>
          <w:sz w:val="24"/>
          <w:szCs w:val="24"/>
        </w:rPr>
        <w:t>případě 17</w:t>
      </w:r>
      <w:r w:rsidR="00EF3C87">
        <w:rPr>
          <w:rFonts w:eastAsia="Calibri" w:cstheme="minorHAnsi"/>
          <w:sz w:val="24"/>
          <w:szCs w:val="24"/>
        </w:rPr>
        <w:t xml:space="preserve"> </w:t>
      </w:r>
      <w:r w:rsidRPr="00BA7095">
        <w:rPr>
          <w:rFonts w:eastAsia="Calibri" w:cstheme="minorHAnsi"/>
          <w:sz w:val="24"/>
          <w:szCs w:val="24"/>
        </w:rPr>
        <w:t>z</w:t>
      </w:r>
      <w:r w:rsidR="007205C5">
        <w:rPr>
          <w:rFonts w:eastAsia="Calibri" w:cstheme="minorHAnsi"/>
          <w:sz w:val="24"/>
          <w:szCs w:val="24"/>
        </w:rPr>
        <w:t xml:space="preserve"> </w:t>
      </w:r>
      <w:r w:rsidRPr="00BA7095">
        <w:rPr>
          <w:rFonts w:eastAsia="Calibri" w:cstheme="minorHAnsi"/>
          <w:sz w:val="24"/>
          <w:szCs w:val="24"/>
        </w:rPr>
        <w:t xml:space="preserve">23 (tedy téměř tří ze čtyř) kontrolovaných projektů vyhodnotil </w:t>
      </w:r>
      <w:r>
        <w:rPr>
          <w:rFonts w:eastAsia="Calibri" w:cstheme="minorHAnsi"/>
          <w:sz w:val="24"/>
          <w:szCs w:val="24"/>
        </w:rPr>
        <w:br/>
      </w:r>
      <w:r w:rsidR="00FB4202">
        <w:rPr>
          <w:rFonts w:eastAsia="Calibri" w:cstheme="minorHAnsi"/>
          <w:sz w:val="24"/>
          <w:szCs w:val="24"/>
        </w:rPr>
        <w:t xml:space="preserve">vynaložení </w:t>
      </w:r>
      <w:r w:rsidRPr="00BA7095">
        <w:rPr>
          <w:rFonts w:eastAsia="Calibri" w:cstheme="minorHAnsi"/>
          <w:sz w:val="24"/>
          <w:szCs w:val="24"/>
        </w:rPr>
        <w:t>podpory z peněžních prostředků státu a EU jako neúčelné nebo účelné jen omezeně</w:t>
      </w:r>
      <w:r w:rsidR="0013545B">
        <w:rPr>
          <w:rFonts w:eastAsia="Calibri" w:cstheme="minorHAnsi"/>
          <w:sz w:val="24"/>
          <w:szCs w:val="24"/>
        </w:rPr>
        <w:t xml:space="preserve"> (v</w:t>
      </w:r>
      <w:r w:rsidR="00650F28">
        <w:rPr>
          <w:rFonts w:cstheme="minorHAnsi"/>
          <w:sz w:val="24"/>
          <w:szCs w:val="24"/>
        </w:rPr>
        <w:t>iz odstavce 4.23 až 4.25 a odstavec 4.27</w:t>
      </w:r>
      <w:r w:rsidR="0013545B" w:rsidRPr="00BF2F0F">
        <w:rPr>
          <w:rFonts w:cstheme="minorHAnsi"/>
          <w:sz w:val="24"/>
          <w:szCs w:val="24"/>
        </w:rPr>
        <w:t>)</w:t>
      </w:r>
      <w:r w:rsidR="00650F28" w:rsidRPr="00BF2F0F">
        <w:rPr>
          <w:rFonts w:cstheme="minorHAnsi"/>
          <w:sz w:val="24"/>
          <w:szCs w:val="24"/>
        </w:rPr>
        <w:t>.</w:t>
      </w:r>
      <w:r w:rsidR="00BF2F0F" w:rsidRPr="00BF2F0F">
        <w:rPr>
          <w:rFonts w:cstheme="minorHAnsi"/>
          <w:sz w:val="24"/>
          <w:szCs w:val="24"/>
        </w:rPr>
        <w:t xml:space="preserve"> </w:t>
      </w:r>
      <w:r w:rsidR="004A7AED" w:rsidRPr="00BF2F0F">
        <w:rPr>
          <w:sz w:val="24"/>
          <w:szCs w:val="24"/>
        </w:rPr>
        <w:t>V</w:t>
      </w:r>
      <w:r w:rsidR="00C71E29" w:rsidRPr="00BF2F0F">
        <w:rPr>
          <w:rFonts w:eastAsia="Calibri" w:cstheme="minorHAnsi"/>
          <w:sz w:val="24"/>
          <w:szCs w:val="24"/>
        </w:rPr>
        <w:t> případě 10 z</w:t>
      </w:r>
      <w:r w:rsidR="003D10B1">
        <w:rPr>
          <w:rFonts w:eastAsia="Calibri" w:cstheme="minorHAnsi"/>
          <w:sz w:val="24"/>
          <w:szCs w:val="24"/>
        </w:rPr>
        <w:t xml:space="preserve"> </w:t>
      </w:r>
      <w:r w:rsidR="00C71E29" w:rsidRPr="00BF2F0F">
        <w:rPr>
          <w:rFonts w:eastAsia="Calibri" w:cstheme="minorHAnsi"/>
          <w:sz w:val="24"/>
          <w:szCs w:val="24"/>
        </w:rPr>
        <w:t xml:space="preserve">23 kontrolovaných </w:t>
      </w:r>
      <w:r w:rsidR="00C71E29" w:rsidRPr="00BF2F0F">
        <w:rPr>
          <w:rFonts w:eastAsia="Calibri" w:cstheme="minorHAnsi"/>
          <w:sz w:val="24"/>
          <w:szCs w:val="24"/>
        </w:rPr>
        <w:lastRenderedPageBreak/>
        <w:t xml:space="preserve">projektů </w:t>
      </w:r>
      <w:r w:rsidR="004A7AED" w:rsidRPr="00BF2F0F">
        <w:rPr>
          <w:rFonts w:eastAsia="Calibri" w:cstheme="minorHAnsi"/>
          <w:sz w:val="24"/>
          <w:szCs w:val="24"/>
        </w:rPr>
        <w:t xml:space="preserve">NKÚ </w:t>
      </w:r>
      <w:r w:rsidR="00C71E29" w:rsidRPr="00BF2F0F">
        <w:rPr>
          <w:rFonts w:eastAsia="Calibri" w:cstheme="minorHAnsi"/>
          <w:sz w:val="24"/>
          <w:szCs w:val="24"/>
        </w:rPr>
        <w:t>vyhodnotil poskytnutí</w:t>
      </w:r>
      <w:r w:rsidR="00BF2F0F" w:rsidRPr="00BF2F0F">
        <w:rPr>
          <w:rFonts w:eastAsia="Calibri" w:cstheme="minorHAnsi"/>
          <w:sz w:val="24"/>
          <w:szCs w:val="24"/>
        </w:rPr>
        <w:t xml:space="preserve"> </w:t>
      </w:r>
      <w:r w:rsidR="00C71E29" w:rsidRPr="00BF2F0F">
        <w:rPr>
          <w:rFonts w:eastAsia="Calibri" w:cstheme="minorHAnsi"/>
          <w:sz w:val="24"/>
          <w:szCs w:val="24"/>
        </w:rPr>
        <w:t xml:space="preserve">podpory z peněžních prostředků státu a EU jako nehospodárné nebo </w:t>
      </w:r>
      <w:r w:rsidR="00F85F3E" w:rsidRPr="00BF2F0F">
        <w:rPr>
          <w:rFonts w:eastAsia="Calibri" w:cstheme="minorHAnsi"/>
          <w:sz w:val="24"/>
          <w:szCs w:val="24"/>
        </w:rPr>
        <w:t>jen omezeně hospodárné</w:t>
      </w:r>
      <w:r w:rsidR="00E1064C">
        <w:rPr>
          <w:rFonts w:eastAsia="Calibri" w:cstheme="minorHAnsi"/>
          <w:sz w:val="24"/>
          <w:szCs w:val="24"/>
        </w:rPr>
        <w:t>, z</w:t>
      </w:r>
      <w:r w:rsidR="00BF2F0F" w:rsidRPr="00BF2F0F">
        <w:rPr>
          <w:rFonts w:eastAsia="Calibri" w:cstheme="minorHAnsi"/>
          <w:sz w:val="24"/>
          <w:szCs w:val="24"/>
        </w:rPr>
        <w:t xml:space="preserve"> toho v případě pěti projektů </w:t>
      </w:r>
      <w:r w:rsidR="00BF2F0F" w:rsidRPr="00BF2F0F">
        <w:rPr>
          <w:sz w:val="24"/>
          <w:szCs w:val="24"/>
        </w:rPr>
        <w:t>zejména z</w:t>
      </w:r>
      <w:r w:rsidR="00E1064C">
        <w:rPr>
          <w:sz w:val="24"/>
          <w:szCs w:val="24"/>
        </w:rPr>
        <w:t> </w:t>
      </w:r>
      <w:r w:rsidR="00BF2F0F" w:rsidRPr="00BF2F0F">
        <w:rPr>
          <w:sz w:val="24"/>
          <w:szCs w:val="24"/>
        </w:rPr>
        <w:t>důvodu</w:t>
      </w:r>
      <w:r w:rsidR="00E1064C">
        <w:rPr>
          <w:sz w:val="24"/>
          <w:szCs w:val="24"/>
        </w:rPr>
        <w:t xml:space="preserve"> neúčelného </w:t>
      </w:r>
      <w:r w:rsidR="00BF2F0F" w:rsidRPr="00BF2F0F">
        <w:rPr>
          <w:sz w:val="24"/>
          <w:szCs w:val="24"/>
        </w:rPr>
        <w:t xml:space="preserve">vynaložení podpory. </w:t>
      </w:r>
      <w:r w:rsidRPr="00BF2F0F">
        <w:rPr>
          <w:sz w:val="24"/>
          <w:szCs w:val="24"/>
        </w:rPr>
        <w:t xml:space="preserve">Výsledky kontroly </w:t>
      </w:r>
      <w:r w:rsidR="00650F28" w:rsidRPr="00BF2F0F">
        <w:rPr>
          <w:sz w:val="24"/>
          <w:szCs w:val="24"/>
        </w:rPr>
        <w:t xml:space="preserve">jednotlivých </w:t>
      </w:r>
      <w:r w:rsidRPr="00BF2F0F">
        <w:rPr>
          <w:sz w:val="24"/>
          <w:szCs w:val="24"/>
        </w:rPr>
        <w:t xml:space="preserve">projektů jsou </w:t>
      </w:r>
      <w:r w:rsidR="00650F28" w:rsidRPr="00BF2F0F">
        <w:rPr>
          <w:sz w:val="24"/>
          <w:szCs w:val="24"/>
        </w:rPr>
        <w:t xml:space="preserve">přílohou č. 3 </w:t>
      </w:r>
      <w:r w:rsidR="002F6EA5">
        <w:rPr>
          <w:sz w:val="24"/>
          <w:szCs w:val="24"/>
        </w:rPr>
        <w:t xml:space="preserve">tohoto </w:t>
      </w:r>
      <w:r w:rsidR="00650F28" w:rsidRPr="00BF2F0F">
        <w:rPr>
          <w:sz w:val="24"/>
          <w:szCs w:val="24"/>
        </w:rPr>
        <w:t xml:space="preserve">kontrolního závěru a jsou </w:t>
      </w:r>
      <w:r w:rsidRPr="00BF2F0F">
        <w:rPr>
          <w:sz w:val="24"/>
          <w:szCs w:val="24"/>
        </w:rPr>
        <w:t xml:space="preserve">dostupné </w:t>
      </w:r>
      <w:hyperlink r:id="rId10" w:history="1">
        <w:r w:rsidR="00C5748A" w:rsidRPr="00BF2F0F">
          <w:rPr>
            <w:rStyle w:val="Hypertextovodkaz"/>
            <w:sz w:val="24"/>
            <w:szCs w:val="24"/>
          </w:rPr>
          <w:t>zde</w:t>
        </w:r>
      </w:hyperlink>
      <w:r w:rsidRPr="00BF2F0F">
        <w:rPr>
          <w:rFonts w:eastAsia="Arial Unicode MS" w:cstheme="minorHAnsi"/>
          <w:bCs/>
          <w:sz w:val="24"/>
          <w:szCs w:val="24"/>
          <w:lang w:eastAsia="cs-CZ"/>
        </w:rPr>
        <w:t>.</w:t>
      </w:r>
    </w:p>
    <w:p w:rsidR="00AA5922" w:rsidRPr="00BF2F0F" w:rsidRDefault="00AA5922" w:rsidP="00AA5922">
      <w:pPr>
        <w:pStyle w:val="Odstavecseseznamem"/>
        <w:spacing w:after="0" w:line="252" w:lineRule="auto"/>
        <w:rPr>
          <w:sz w:val="24"/>
          <w:szCs w:val="24"/>
        </w:rPr>
      </w:pPr>
    </w:p>
    <w:p w:rsidR="00206FD8" w:rsidRDefault="00206FD8" w:rsidP="00206FD8">
      <w:pPr>
        <w:pStyle w:val="Odstavecseseznamem"/>
        <w:numPr>
          <w:ilvl w:val="0"/>
          <w:numId w:val="2"/>
        </w:numPr>
        <w:spacing w:after="0" w:line="252" w:lineRule="auto"/>
        <w:ind w:left="284" w:hanging="284"/>
        <w:jc w:val="both"/>
        <w:rPr>
          <w:rFonts w:eastAsia="Calibri" w:cstheme="minorHAnsi"/>
          <w:sz w:val="24"/>
          <w:szCs w:val="24"/>
        </w:rPr>
      </w:pPr>
      <w:r>
        <w:rPr>
          <w:rFonts w:eastAsia="Calibri" w:cstheme="minorHAnsi"/>
          <w:sz w:val="24"/>
          <w:szCs w:val="24"/>
        </w:rPr>
        <w:t xml:space="preserve">Stávající systém </w:t>
      </w:r>
      <w:r w:rsidRPr="003F0DD9">
        <w:rPr>
          <w:rFonts w:eastAsia="Calibri" w:cstheme="minorHAnsi"/>
          <w:sz w:val="24"/>
          <w:szCs w:val="24"/>
        </w:rPr>
        <w:t xml:space="preserve">poskytování podpory určené na výstavbu a rekonstrukce komunikací </w:t>
      </w:r>
      <w:r>
        <w:rPr>
          <w:rFonts w:eastAsia="Calibri" w:cstheme="minorHAnsi"/>
          <w:sz w:val="24"/>
          <w:szCs w:val="24"/>
        </w:rPr>
        <w:t>přes svou administrativní náročnost</w:t>
      </w:r>
      <w:r w:rsidRPr="003F0DD9">
        <w:rPr>
          <w:rFonts w:eastAsia="Calibri" w:cstheme="minorHAnsi"/>
          <w:sz w:val="24"/>
          <w:szCs w:val="24"/>
        </w:rPr>
        <w:t xml:space="preserve"> </w:t>
      </w:r>
      <w:r>
        <w:rPr>
          <w:rFonts w:eastAsia="Calibri" w:cstheme="minorHAnsi"/>
          <w:sz w:val="24"/>
          <w:szCs w:val="24"/>
        </w:rPr>
        <w:t xml:space="preserve">nezajišťuje </w:t>
      </w:r>
      <w:r w:rsidRPr="00355DA4">
        <w:rPr>
          <w:rFonts w:eastAsia="Calibri" w:cstheme="minorHAnsi"/>
          <w:sz w:val="24"/>
          <w:szCs w:val="24"/>
        </w:rPr>
        <w:t>účelnost a hospodárnost vynakládání podpory</w:t>
      </w:r>
      <w:r>
        <w:rPr>
          <w:rFonts w:eastAsia="Calibri" w:cstheme="minorHAnsi"/>
          <w:sz w:val="24"/>
          <w:szCs w:val="24"/>
        </w:rPr>
        <w:t xml:space="preserve"> (v</w:t>
      </w:r>
      <w:r>
        <w:rPr>
          <w:rFonts w:cstheme="minorHAnsi"/>
          <w:sz w:val="24"/>
          <w:szCs w:val="24"/>
        </w:rPr>
        <w:t>iz odstavec 4.30).</w:t>
      </w:r>
    </w:p>
    <w:p w:rsidR="00206FD8" w:rsidRPr="00206FD8" w:rsidRDefault="00206FD8" w:rsidP="00206FD8">
      <w:pPr>
        <w:spacing w:after="0" w:line="252" w:lineRule="auto"/>
        <w:jc w:val="both"/>
        <w:rPr>
          <w:rFonts w:eastAsia="Calibri" w:cstheme="minorHAnsi"/>
          <w:sz w:val="24"/>
          <w:szCs w:val="24"/>
        </w:rPr>
      </w:pPr>
    </w:p>
    <w:p w:rsidR="00355DA4" w:rsidRPr="00206FD8" w:rsidRDefault="00AA5922" w:rsidP="00355DA4">
      <w:pPr>
        <w:pStyle w:val="Odstavecseseznamem"/>
        <w:numPr>
          <w:ilvl w:val="0"/>
          <w:numId w:val="2"/>
        </w:numPr>
        <w:spacing w:after="0" w:line="252" w:lineRule="auto"/>
        <w:ind w:left="284" w:hanging="284"/>
        <w:jc w:val="both"/>
        <w:rPr>
          <w:rFonts w:eastAsia="Calibri" w:cstheme="minorHAnsi"/>
          <w:sz w:val="24"/>
          <w:szCs w:val="24"/>
        </w:rPr>
      </w:pPr>
      <w:r w:rsidRPr="00BA7095">
        <w:rPr>
          <w:rFonts w:eastAsia="Calibri" w:cstheme="minorHAnsi"/>
          <w:sz w:val="24"/>
          <w:szCs w:val="24"/>
        </w:rPr>
        <w:t>Každý vlastník komunikací pro pěší je povinen provádět jejich opravy a údržbu</w:t>
      </w:r>
      <w:r w:rsidRPr="00BA7095">
        <w:rPr>
          <w:rStyle w:val="Znakapoznpodarou"/>
          <w:rFonts w:eastAsia="Calibri" w:cstheme="minorHAnsi"/>
          <w:sz w:val="24"/>
          <w:szCs w:val="24"/>
        </w:rPr>
        <w:footnoteReference w:id="7"/>
      </w:r>
      <w:r w:rsidRPr="00BA7095">
        <w:rPr>
          <w:rFonts w:eastAsia="Calibri" w:cstheme="minorHAnsi"/>
          <w:sz w:val="24"/>
          <w:szCs w:val="24"/>
        </w:rPr>
        <w:t xml:space="preserve"> zahrnující zejména odstraňování závad</w:t>
      </w:r>
      <w:r w:rsidR="00182736">
        <w:rPr>
          <w:rFonts w:eastAsia="Calibri" w:cstheme="minorHAnsi"/>
          <w:sz w:val="24"/>
          <w:szCs w:val="24"/>
        </w:rPr>
        <w:t xml:space="preserve"> a</w:t>
      </w:r>
      <w:r w:rsidRPr="00BA7095">
        <w:rPr>
          <w:rFonts w:eastAsia="Calibri" w:cstheme="minorHAnsi"/>
          <w:sz w:val="24"/>
          <w:szCs w:val="24"/>
        </w:rPr>
        <w:t xml:space="preserve"> provádění některých úprav a zajistit tak, aby byly v dobrém provozuschopném stavu. NKÚ ale při </w:t>
      </w:r>
      <w:r w:rsidR="00AA7239">
        <w:rPr>
          <w:rFonts w:eastAsia="Calibri" w:cstheme="minorHAnsi"/>
          <w:sz w:val="24"/>
          <w:szCs w:val="24"/>
        </w:rPr>
        <w:t>kontrolách na místě</w:t>
      </w:r>
      <w:r w:rsidRPr="00BA7095">
        <w:rPr>
          <w:rFonts w:eastAsia="Calibri" w:cstheme="minorHAnsi"/>
          <w:sz w:val="24"/>
          <w:szCs w:val="24"/>
        </w:rPr>
        <w:t xml:space="preserve"> zjistil, že některé chodníky vybudované nebo rekonstruované s podporou peněžních prostředků státu a EU nebyly řádně udržovány, zarůstaly vegetací, parkovala na nich vozidla atd. Zanedbání následné péče o chodníky </w:t>
      </w:r>
      <w:r w:rsidR="006A7F73">
        <w:rPr>
          <w:rFonts w:eastAsia="Calibri" w:cstheme="minorHAnsi"/>
          <w:sz w:val="24"/>
          <w:szCs w:val="24"/>
        </w:rPr>
        <w:t>zpětně zpochybňuje</w:t>
      </w:r>
      <w:r w:rsidR="006A7F73" w:rsidRPr="00BA7095">
        <w:rPr>
          <w:rFonts w:eastAsia="Calibri" w:cstheme="minorHAnsi"/>
          <w:sz w:val="24"/>
          <w:szCs w:val="24"/>
        </w:rPr>
        <w:t xml:space="preserve"> </w:t>
      </w:r>
      <w:r w:rsidRPr="00BA7095">
        <w:rPr>
          <w:rFonts w:eastAsia="Calibri" w:cstheme="minorHAnsi"/>
          <w:sz w:val="24"/>
          <w:szCs w:val="24"/>
        </w:rPr>
        <w:t>účelnost peněžních prostředků poskytnutých v rámci podpory na jejich výstavbu nebo rekonstrukce</w:t>
      </w:r>
      <w:r w:rsidR="006A7F73">
        <w:rPr>
          <w:rFonts w:eastAsia="Calibri" w:cstheme="minorHAnsi"/>
          <w:sz w:val="24"/>
          <w:szCs w:val="24"/>
        </w:rPr>
        <w:t>, neboť komplikuje, popř. znemožňuje jejich bezpečné užívání zejména osobám se sníženou schopností pohybu nebo orientace</w:t>
      </w:r>
      <w:r w:rsidR="0013545B">
        <w:rPr>
          <w:rFonts w:eastAsia="Calibri" w:cstheme="minorHAnsi"/>
          <w:sz w:val="24"/>
          <w:szCs w:val="24"/>
        </w:rPr>
        <w:t xml:space="preserve"> </w:t>
      </w:r>
      <w:r w:rsidR="00316ECA">
        <w:rPr>
          <w:rFonts w:eastAsia="Calibri" w:cstheme="minorHAnsi"/>
          <w:sz w:val="24"/>
          <w:szCs w:val="24"/>
        </w:rPr>
        <w:br/>
      </w:r>
      <w:r w:rsidR="0013545B">
        <w:rPr>
          <w:rFonts w:eastAsia="Calibri" w:cstheme="minorHAnsi"/>
          <w:sz w:val="24"/>
          <w:szCs w:val="24"/>
        </w:rPr>
        <w:t>(v</w:t>
      </w:r>
      <w:r w:rsidR="00650F28">
        <w:rPr>
          <w:rFonts w:cstheme="minorHAnsi"/>
          <w:sz w:val="24"/>
          <w:szCs w:val="24"/>
        </w:rPr>
        <w:t>iz odstavec 4.26</w:t>
      </w:r>
      <w:r w:rsidR="0013545B">
        <w:rPr>
          <w:rFonts w:cstheme="minorHAnsi"/>
          <w:sz w:val="24"/>
          <w:szCs w:val="24"/>
        </w:rPr>
        <w:t>).</w:t>
      </w:r>
    </w:p>
    <w:p w:rsidR="00650F28" w:rsidRDefault="00650F28" w:rsidP="00AA5922">
      <w:pPr>
        <w:spacing w:after="0" w:line="252" w:lineRule="auto"/>
        <w:contextualSpacing/>
        <w:jc w:val="both"/>
        <w:rPr>
          <w:sz w:val="24"/>
          <w:szCs w:val="24"/>
        </w:rPr>
      </w:pPr>
    </w:p>
    <w:p w:rsidR="00AA5922" w:rsidRDefault="00AA5922" w:rsidP="00AA5922">
      <w:pPr>
        <w:spacing w:after="0" w:line="252" w:lineRule="auto"/>
        <w:contextualSpacing/>
        <w:jc w:val="both"/>
        <w:rPr>
          <w:rFonts w:cstheme="minorHAnsi"/>
          <w:sz w:val="24"/>
          <w:szCs w:val="24"/>
        </w:rPr>
      </w:pPr>
      <w:r w:rsidRPr="00BA7095">
        <w:rPr>
          <w:sz w:val="24"/>
          <w:szCs w:val="24"/>
        </w:rPr>
        <w:t>1.5 NKÚ považuje zajištění bezpečnosti a bezbariérovosti komunikací pro pěší za důležité a na základě výsledků kontroly doporučuje</w:t>
      </w:r>
      <w:r w:rsidRPr="00BA7095">
        <w:rPr>
          <w:rFonts w:cstheme="minorHAnsi"/>
          <w:sz w:val="24"/>
          <w:szCs w:val="24"/>
        </w:rPr>
        <w:t>:</w:t>
      </w:r>
    </w:p>
    <w:p w:rsidR="004615A2" w:rsidRPr="00BA7095" w:rsidRDefault="004615A2" w:rsidP="00AA5922">
      <w:pPr>
        <w:spacing w:after="0" w:line="252" w:lineRule="auto"/>
        <w:contextualSpacing/>
        <w:jc w:val="both"/>
        <w:rPr>
          <w:rFonts w:cstheme="minorHAnsi"/>
          <w:sz w:val="24"/>
          <w:szCs w:val="24"/>
        </w:rPr>
      </w:pPr>
    </w:p>
    <w:p w:rsidR="00AA5922" w:rsidRPr="004615A2" w:rsidRDefault="00AA5922" w:rsidP="00AA5922">
      <w:pPr>
        <w:pStyle w:val="Odstavecseseznamem"/>
        <w:numPr>
          <w:ilvl w:val="0"/>
          <w:numId w:val="15"/>
        </w:numPr>
        <w:spacing w:after="0" w:line="252" w:lineRule="auto"/>
        <w:ind w:left="426"/>
        <w:jc w:val="both"/>
        <w:rPr>
          <w:rFonts w:cstheme="minorHAnsi"/>
          <w:sz w:val="24"/>
          <w:szCs w:val="24"/>
        </w:rPr>
      </w:pPr>
      <w:r w:rsidRPr="00BA7095">
        <w:rPr>
          <w:rFonts w:cstheme="minorHAnsi"/>
          <w:sz w:val="24"/>
          <w:szCs w:val="24"/>
        </w:rPr>
        <w:t xml:space="preserve">Přehodnotit a změnit stávající podobu podpory </w:t>
      </w:r>
      <w:r w:rsidRPr="00BA7095">
        <w:rPr>
          <w:rFonts w:eastAsia="Calibri" w:cstheme="minorHAnsi"/>
          <w:sz w:val="24"/>
          <w:szCs w:val="24"/>
        </w:rPr>
        <w:t>určené na výstavbu a rekonstrukce komunikací pro pěší</w:t>
      </w:r>
      <w:r w:rsidRPr="00BA7095">
        <w:rPr>
          <w:rFonts w:cstheme="minorHAnsi"/>
          <w:sz w:val="24"/>
          <w:szCs w:val="24"/>
        </w:rPr>
        <w:t>. Současný systém jejího p</w:t>
      </w:r>
      <w:r w:rsidRPr="00BA7095">
        <w:rPr>
          <w:rFonts w:eastAsia="Calibri" w:cstheme="minorHAnsi"/>
          <w:sz w:val="24"/>
          <w:szCs w:val="24"/>
        </w:rPr>
        <w:t xml:space="preserve">oskytování představuje </w:t>
      </w:r>
      <w:r w:rsidR="008D0761">
        <w:rPr>
          <w:rFonts w:eastAsia="Calibri" w:cstheme="minorHAnsi"/>
          <w:sz w:val="24"/>
          <w:szCs w:val="24"/>
        </w:rPr>
        <w:t xml:space="preserve">na jedné straně </w:t>
      </w:r>
      <w:r w:rsidRPr="00BA7095">
        <w:rPr>
          <w:rFonts w:eastAsia="Calibri" w:cstheme="minorHAnsi"/>
          <w:sz w:val="24"/>
          <w:szCs w:val="24"/>
        </w:rPr>
        <w:t>značnou administrativní zátěž jak žadatelů o podporu, tak jej</w:t>
      </w:r>
      <w:r w:rsidR="002F6EA5">
        <w:rPr>
          <w:rFonts w:eastAsia="Calibri" w:cstheme="minorHAnsi"/>
          <w:sz w:val="24"/>
          <w:szCs w:val="24"/>
        </w:rPr>
        <w:t>í</w:t>
      </w:r>
      <w:r w:rsidRPr="00BA7095">
        <w:rPr>
          <w:rFonts w:eastAsia="Calibri" w:cstheme="minorHAnsi"/>
          <w:sz w:val="24"/>
          <w:szCs w:val="24"/>
        </w:rPr>
        <w:t xml:space="preserve">ch poskytovatelů, ale </w:t>
      </w:r>
      <w:r w:rsidR="008D0761">
        <w:rPr>
          <w:rFonts w:eastAsia="Calibri" w:cstheme="minorHAnsi"/>
          <w:sz w:val="24"/>
          <w:szCs w:val="24"/>
        </w:rPr>
        <w:t xml:space="preserve">na druhé straně </w:t>
      </w:r>
      <w:r w:rsidRPr="00BA7095">
        <w:rPr>
          <w:rFonts w:eastAsia="Calibri" w:cstheme="minorHAnsi"/>
          <w:sz w:val="24"/>
          <w:szCs w:val="24"/>
        </w:rPr>
        <w:t>nevede k účelnému vynakládání peněžních prostředků státu a EU.</w:t>
      </w:r>
    </w:p>
    <w:p w:rsidR="004615A2" w:rsidRPr="00BA7095" w:rsidRDefault="004615A2" w:rsidP="004615A2">
      <w:pPr>
        <w:pStyle w:val="Odstavecseseznamem"/>
        <w:spacing w:after="0" w:line="252" w:lineRule="auto"/>
        <w:ind w:left="426"/>
        <w:jc w:val="both"/>
        <w:rPr>
          <w:rFonts w:cstheme="minorHAnsi"/>
          <w:sz w:val="24"/>
          <w:szCs w:val="24"/>
        </w:rPr>
      </w:pPr>
    </w:p>
    <w:p w:rsidR="00AA5922" w:rsidRPr="00BA7095" w:rsidRDefault="00AA5922" w:rsidP="00AA5922">
      <w:pPr>
        <w:pStyle w:val="Odstavecseseznamem"/>
        <w:numPr>
          <w:ilvl w:val="0"/>
          <w:numId w:val="15"/>
        </w:numPr>
        <w:spacing w:after="0" w:line="252" w:lineRule="auto"/>
        <w:ind w:left="426"/>
        <w:jc w:val="both"/>
        <w:rPr>
          <w:rFonts w:cstheme="minorHAnsi"/>
          <w:sz w:val="24"/>
          <w:szCs w:val="24"/>
        </w:rPr>
      </w:pPr>
      <w:r w:rsidRPr="00BA7095">
        <w:rPr>
          <w:rFonts w:cstheme="minorHAnsi"/>
          <w:sz w:val="24"/>
          <w:szCs w:val="24"/>
        </w:rPr>
        <w:t xml:space="preserve">Pokud má být nadále v této oblasti poskytována finanční podpora obcím </w:t>
      </w:r>
      <w:r w:rsidRPr="00BA7095">
        <w:rPr>
          <w:rFonts w:eastAsia="Calibri" w:cstheme="minorHAnsi"/>
          <w:sz w:val="24"/>
          <w:szCs w:val="24"/>
        </w:rPr>
        <w:t>z peněžních prostředků státu a EU, musí být zajištěno</w:t>
      </w:r>
      <w:r w:rsidR="002F6EA5">
        <w:rPr>
          <w:rFonts w:eastAsia="Calibri" w:cstheme="minorHAnsi"/>
          <w:sz w:val="24"/>
          <w:szCs w:val="24"/>
        </w:rPr>
        <w:t>,</w:t>
      </w:r>
    </w:p>
    <w:p w:rsidR="00AA5922" w:rsidRPr="00BA7095" w:rsidRDefault="00AA5922" w:rsidP="00AA5922">
      <w:pPr>
        <w:pStyle w:val="Odstavecseseznamem"/>
        <w:numPr>
          <w:ilvl w:val="0"/>
          <w:numId w:val="14"/>
        </w:numPr>
        <w:spacing w:after="0" w:line="252" w:lineRule="auto"/>
        <w:ind w:left="851"/>
        <w:jc w:val="both"/>
        <w:rPr>
          <w:sz w:val="24"/>
          <w:szCs w:val="24"/>
        </w:rPr>
      </w:pPr>
      <w:r w:rsidRPr="00BA7095">
        <w:rPr>
          <w:sz w:val="24"/>
          <w:szCs w:val="24"/>
        </w:rPr>
        <w:t xml:space="preserve">že budou stanoveny konkrétní měřitelné cíle této podpory a sledovány </w:t>
      </w:r>
      <w:r>
        <w:rPr>
          <w:sz w:val="24"/>
          <w:szCs w:val="24"/>
        </w:rPr>
        <w:br/>
      </w:r>
      <w:r w:rsidRPr="00BA7095">
        <w:rPr>
          <w:sz w:val="24"/>
          <w:szCs w:val="24"/>
        </w:rPr>
        <w:t>a vyhodnocovány její výsledky tak, aby mohlo jak MD jako</w:t>
      </w:r>
      <w:r w:rsidR="002F6EA5">
        <w:rPr>
          <w:sz w:val="24"/>
          <w:szCs w:val="24"/>
        </w:rPr>
        <w:t>žto</w:t>
      </w:r>
      <w:r w:rsidRPr="00BA7095">
        <w:rPr>
          <w:sz w:val="24"/>
          <w:szCs w:val="24"/>
        </w:rPr>
        <w:t xml:space="preserve"> ústřední orgán státní správy pro tuto oblast, tak i poskytovatelé podpory (SFDI a MMR) sledovat, </w:t>
      </w:r>
      <w:r w:rsidR="000F5643">
        <w:rPr>
          <w:sz w:val="24"/>
          <w:szCs w:val="24"/>
        </w:rPr>
        <w:t>zda</w:t>
      </w:r>
      <w:r w:rsidR="000F5643" w:rsidRPr="00BA7095">
        <w:rPr>
          <w:sz w:val="24"/>
          <w:szCs w:val="24"/>
        </w:rPr>
        <w:t xml:space="preserve"> </w:t>
      </w:r>
      <w:r w:rsidRPr="00BA7095">
        <w:rPr>
          <w:sz w:val="24"/>
          <w:szCs w:val="24"/>
        </w:rPr>
        <w:t>peněžní prostředky státu a EU naplňují stanovené cíle, výsledky a přínosy, pro které byly na tuto oblast vynakládány</w:t>
      </w:r>
      <w:r w:rsidR="002F6EA5">
        <w:rPr>
          <w:sz w:val="24"/>
          <w:szCs w:val="24"/>
        </w:rPr>
        <w:t>;</w:t>
      </w:r>
    </w:p>
    <w:p w:rsidR="00AA5922" w:rsidRPr="00BA7095" w:rsidRDefault="00AA5922" w:rsidP="00AA5922">
      <w:pPr>
        <w:pStyle w:val="Odstavecseseznamem"/>
        <w:numPr>
          <w:ilvl w:val="0"/>
          <w:numId w:val="14"/>
        </w:numPr>
        <w:spacing w:after="0" w:line="252" w:lineRule="auto"/>
        <w:ind w:left="851"/>
        <w:jc w:val="both"/>
        <w:rPr>
          <w:sz w:val="24"/>
          <w:szCs w:val="24"/>
        </w:rPr>
      </w:pPr>
      <w:r w:rsidRPr="00BA7095">
        <w:rPr>
          <w:sz w:val="24"/>
          <w:szCs w:val="24"/>
        </w:rPr>
        <w:t xml:space="preserve">že podpora státu bude poskytována jen na projekty s potenciálem </w:t>
      </w:r>
      <w:r w:rsidR="00FB4202">
        <w:rPr>
          <w:sz w:val="24"/>
          <w:szCs w:val="24"/>
        </w:rPr>
        <w:t>zásadního</w:t>
      </w:r>
      <w:r w:rsidRPr="00BA7095">
        <w:rPr>
          <w:sz w:val="24"/>
          <w:szCs w:val="24"/>
        </w:rPr>
        <w:t xml:space="preserve"> užitku pro bezpečnost chodců a osob se sníženou schopností pohybu nebo orientace, a tedy účelnosti vynaložených prostředků</w:t>
      </w:r>
      <w:r w:rsidR="002F6EA5">
        <w:rPr>
          <w:sz w:val="24"/>
          <w:szCs w:val="24"/>
        </w:rPr>
        <w:t>;</w:t>
      </w:r>
    </w:p>
    <w:p w:rsidR="00AA5922" w:rsidRDefault="00AA5922" w:rsidP="00AA5922">
      <w:pPr>
        <w:pStyle w:val="Odstavecseseznamem"/>
        <w:numPr>
          <w:ilvl w:val="0"/>
          <w:numId w:val="14"/>
        </w:numPr>
        <w:spacing w:after="0" w:line="252" w:lineRule="auto"/>
        <w:ind w:left="851"/>
        <w:jc w:val="both"/>
        <w:rPr>
          <w:sz w:val="24"/>
          <w:szCs w:val="24"/>
        </w:rPr>
      </w:pPr>
      <w:r w:rsidRPr="00BA7095">
        <w:rPr>
          <w:sz w:val="24"/>
          <w:szCs w:val="24"/>
        </w:rPr>
        <w:t>a že bude v tomto smyslu podpora ze strany státu a EU doplňovat a posilovat peněžní prostředky obcí potřebné pro obnovu a rozvoj komunikací pro pěší v</w:t>
      </w:r>
      <w:r w:rsidR="003D10B1">
        <w:rPr>
          <w:sz w:val="24"/>
          <w:szCs w:val="24"/>
        </w:rPr>
        <w:t xml:space="preserve"> </w:t>
      </w:r>
      <w:r w:rsidRPr="00BA7095">
        <w:rPr>
          <w:sz w:val="24"/>
          <w:szCs w:val="24"/>
        </w:rPr>
        <w:t>jejich samostatné působnosti, nikoliv je nahrazovat.</w:t>
      </w:r>
    </w:p>
    <w:p w:rsidR="00316ECA" w:rsidRDefault="00316ECA" w:rsidP="009236EA">
      <w:pPr>
        <w:spacing w:after="0" w:line="252" w:lineRule="auto"/>
        <w:jc w:val="both"/>
        <w:rPr>
          <w:sz w:val="24"/>
          <w:szCs w:val="24"/>
        </w:rPr>
      </w:pPr>
    </w:p>
    <w:p w:rsidR="009236EA" w:rsidRDefault="009236EA" w:rsidP="009236EA">
      <w:pPr>
        <w:spacing w:after="0" w:line="252" w:lineRule="auto"/>
        <w:jc w:val="both"/>
        <w:rPr>
          <w:sz w:val="24"/>
          <w:szCs w:val="24"/>
        </w:rPr>
      </w:pPr>
    </w:p>
    <w:p w:rsidR="009236EA" w:rsidRPr="009236EA" w:rsidRDefault="009236EA" w:rsidP="009236EA">
      <w:pPr>
        <w:spacing w:after="0" w:line="252" w:lineRule="auto"/>
        <w:jc w:val="both"/>
        <w:rPr>
          <w:sz w:val="24"/>
          <w:szCs w:val="24"/>
        </w:rPr>
      </w:pPr>
    </w:p>
    <w:p w:rsidR="00AA5922" w:rsidRPr="00BA7095" w:rsidRDefault="00AA5922" w:rsidP="00AA5922">
      <w:pPr>
        <w:pStyle w:val="Odstavecseseznamem"/>
        <w:numPr>
          <w:ilvl w:val="0"/>
          <w:numId w:val="15"/>
        </w:numPr>
        <w:spacing w:after="0" w:line="252" w:lineRule="auto"/>
        <w:ind w:left="426"/>
        <w:jc w:val="both"/>
        <w:rPr>
          <w:sz w:val="24"/>
          <w:szCs w:val="24"/>
        </w:rPr>
      </w:pPr>
      <w:r w:rsidRPr="00BA7095">
        <w:rPr>
          <w:sz w:val="24"/>
          <w:szCs w:val="24"/>
        </w:rPr>
        <w:lastRenderedPageBreak/>
        <w:t xml:space="preserve">Přehodnotit stávající finanční formu podpory </w:t>
      </w:r>
      <w:r w:rsidR="002F6EA5">
        <w:rPr>
          <w:sz w:val="24"/>
          <w:szCs w:val="24"/>
        </w:rPr>
        <w:t xml:space="preserve">od </w:t>
      </w:r>
      <w:r w:rsidRPr="00BA7095">
        <w:rPr>
          <w:sz w:val="24"/>
          <w:szCs w:val="24"/>
        </w:rPr>
        <w:t>státu a EU v</w:t>
      </w:r>
      <w:r w:rsidR="000B29CF">
        <w:rPr>
          <w:sz w:val="24"/>
          <w:szCs w:val="24"/>
        </w:rPr>
        <w:t xml:space="preserve"> </w:t>
      </w:r>
      <w:r w:rsidRPr="00BA7095">
        <w:rPr>
          <w:sz w:val="24"/>
          <w:szCs w:val="24"/>
        </w:rPr>
        <w:t>podobě dotačního instrumentu s vysokou mírou intenzity podpory</w:t>
      </w:r>
      <w:r w:rsidR="002B60F6">
        <w:rPr>
          <w:sz w:val="24"/>
          <w:szCs w:val="24"/>
        </w:rPr>
        <w:t>.</w:t>
      </w:r>
      <w:r w:rsidR="002B60F6" w:rsidRPr="002B60F6">
        <w:rPr>
          <w:sz w:val="24"/>
          <w:szCs w:val="24"/>
        </w:rPr>
        <w:t xml:space="preserve"> </w:t>
      </w:r>
      <w:r w:rsidR="002B60F6">
        <w:rPr>
          <w:sz w:val="24"/>
          <w:szCs w:val="24"/>
        </w:rPr>
        <w:t>Její stávající</w:t>
      </w:r>
      <w:r w:rsidR="002B60F6" w:rsidRPr="00BA7095">
        <w:rPr>
          <w:sz w:val="24"/>
          <w:szCs w:val="24"/>
        </w:rPr>
        <w:t xml:space="preserve"> </w:t>
      </w:r>
      <w:r w:rsidR="002B60F6">
        <w:rPr>
          <w:rFonts w:eastAsia="Calibri" w:cstheme="minorHAnsi"/>
          <w:sz w:val="24"/>
          <w:szCs w:val="24"/>
        </w:rPr>
        <w:t>výše</w:t>
      </w:r>
      <w:r w:rsidR="002B60F6" w:rsidRPr="00BA7095">
        <w:rPr>
          <w:rFonts w:eastAsia="Calibri" w:cstheme="minorHAnsi"/>
          <w:sz w:val="24"/>
          <w:szCs w:val="24"/>
        </w:rPr>
        <w:t xml:space="preserve"> </w:t>
      </w:r>
      <w:r w:rsidR="002B60F6">
        <w:rPr>
          <w:rFonts w:eastAsia="Calibri" w:cstheme="minorHAnsi"/>
          <w:sz w:val="24"/>
          <w:szCs w:val="24"/>
        </w:rPr>
        <w:t>(</w:t>
      </w:r>
      <w:r w:rsidR="002B60F6" w:rsidRPr="00BA7095">
        <w:rPr>
          <w:sz w:val="24"/>
          <w:szCs w:val="24"/>
        </w:rPr>
        <w:t>85</w:t>
      </w:r>
      <w:r w:rsidR="002F6EA5">
        <w:rPr>
          <w:rFonts w:cstheme="minorHAnsi"/>
          <w:sz w:val="24"/>
          <w:szCs w:val="24"/>
        </w:rPr>
        <w:t>–</w:t>
      </w:r>
      <w:r w:rsidR="002B60F6">
        <w:rPr>
          <w:sz w:val="24"/>
          <w:szCs w:val="24"/>
        </w:rPr>
        <w:t>95 %)</w:t>
      </w:r>
      <w:r w:rsidR="002B60F6" w:rsidRPr="00BA7095">
        <w:rPr>
          <w:sz w:val="24"/>
          <w:szCs w:val="24"/>
        </w:rPr>
        <w:t xml:space="preserve"> </w:t>
      </w:r>
      <w:r w:rsidRPr="00BA7095">
        <w:rPr>
          <w:rFonts w:eastAsia="Calibri" w:cstheme="minorHAnsi"/>
          <w:sz w:val="24"/>
          <w:szCs w:val="24"/>
        </w:rPr>
        <w:t xml:space="preserve">nepřispívá </w:t>
      </w:r>
      <w:r w:rsidR="006F296F">
        <w:rPr>
          <w:rFonts w:eastAsia="Calibri" w:cstheme="minorHAnsi"/>
          <w:sz w:val="24"/>
          <w:szCs w:val="24"/>
        </w:rPr>
        <w:t>k</w:t>
      </w:r>
      <w:r w:rsidR="002F6EA5">
        <w:rPr>
          <w:rFonts w:eastAsia="Calibri" w:cstheme="minorHAnsi"/>
          <w:sz w:val="24"/>
          <w:szCs w:val="24"/>
        </w:rPr>
        <w:t> </w:t>
      </w:r>
      <w:r w:rsidR="006F296F">
        <w:rPr>
          <w:rFonts w:eastAsia="Calibri" w:cstheme="minorHAnsi"/>
          <w:sz w:val="24"/>
          <w:szCs w:val="24"/>
        </w:rPr>
        <w:t>motivaci</w:t>
      </w:r>
      <w:r w:rsidR="006F296F" w:rsidRPr="00BA7095">
        <w:rPr>
          <w:rFonts w:eastAsia="Calibri" w:cstheme="minorHAnsi"/>
          <w:sz w:val="24"/>
          <w:szCs w:val="24"/>
        </w:rPr>
        <w:t xml:space="preserve"> </w:t>
      </w:r>
      <w:r w:rsidRPr="00BA7095">
        <w:rPr>
          <w:rFonts w:eastAsia="Calibri" w:cstheme="minorHAnsi"/>
          <w:sz w:val="24"/>
          <w:szCs w:val="24"/>
        </w:rPr>
        <w:t xml:space="preserve">obcí žádat o podporu státu a EU na výstavbu a rekonstrukce komunikací pro pěší nebo jejich úseků jen </w:t>
      </w:r>
      <w:r w:rsidR="00F36303">
        <w:rPr>
          <w:rFonts w:eastAsia="Calibri" w:cstheme="minorHAnsi"/>
          <w:sz w:val="24"/>
          <w:szCs w:val="24"/>
        </w:rPr>
        <w:t>v</w:t>
      </w:r>
      <w:r w:rsidR="000B29CF">
        <w:rPr>
          <w:rFonts w:eastAsia="Calibri" w:cstheme="minorHAnsi"/>
          <w:sz w:val="24"/>
          <w:szCs w:val="24"/>
        </w:rPr>
        <w:t xml:space="preserve"> </w:t>
      </w:r>
      <w:r w:rsidR="00F36303">
        <w:rPr>
          <w:rFonts w:eastAsia="Calibri" w:cstheme="minorHAnsi"/>
          <w:sz w:val="24"/>
          <w:szCs w:val="24"/>
        </w:rPr>
        <w:t xml:space="preserve">případech </w:t>
      </w:r>
      <w:r w:rsidRPr="00BA7095">
        <w:rPr>
          <w:rFonts w:eastAsia="Calibri" w:cstheme="minorHAnsi"/>
          <w:sz w:val="24"/>
          <w:szCs w:val="24"/>
        </w:rPr>
        <w:t>s</w:t>
      </w:r>
      <w:r w:rsidR="000B29CF">
        <w:rPr>
          <w:rFonts w:eastAsia="Calibri" w:cstheme="minorHAnsi"/>
          <w:sz w:val="24"/>
          <w:szCs w:val="24"/>
        </w:rPr>
        <w:t xml:space="preserve"> </w:t>
      </w:r>
      <w:r w:rsidRPr="00BA7095">
        <w:rPr>
          <w:rFonts w:eastAsia="Calibri" w:cstheme="minorHAnsi"/>
          <w:sz w:val="24"/>
          <w:szCs w:val="24"/>
        </w:rPr>
        <w:t>největším potenciálem účelně a hospodárně vynaložených prostředků.</w:t>
      </w:r>
      <w:r w:rsidR="002B60F6">
        <w:rPr>
          <w:rFonts w:eastAsia="Calibri" w:cstheme="minorHAnsi"/>
          <w:sz w:val="24"/>
          <w:szCs w:val="24"/>
        </w:rPr>
        <w:t xml:space="preserve"> Zvážit možnost využití alternativních </w:t>
      </w:r>
      <w:r w:rsidR="000F3FF2">
        <w:rPr>
          <w:rFonts w:eastAsia="Calibri" w:cstheme="minorHAnsi"/>
          <w:sz w:val="24"/>
          <w:szCs w:val="24"/>
        </w:rPr>
        <w:t>druhů podpory (např.</w:t>
      </w:r>
      <w:r w:rsidR="002F6EA5">
        <w:rPr>
          <w:rFonts w:eastAsia="Calibri" w:cstheme="minorHAnsi"/>
          <w:sz w:val="24"/>
          <w:szCs w:val="24"/>
        </w:rPr>
        <w:t> </w:t>
      </w:r>
      <w:r w:rsidR="000F3FF2">
        <w:rPr>
          <w:rFonts w:eastAsia="Calibri" w:cstheme="minorHAnsi"/>
          <w:sz w:val="24"/>
          <w:szCs w:val="24"/>
        </w:rPr>
        <w:t>záruky za úvěry, úrokové dotace, návratn</w:t>
      </w:r>
      <w:r w:rsidR="00945224">
        <w:rPr>
          <w:rFonts w:eastAsia="Calibri" w:cstheme="minorHAnsi"/>
          <w:sz w:val="24"/>
          <w:szCs w:val="24"/>
        </w:rPr>
        <w:t>é</w:t>
      </w:r>
      <w:r w:rsidR="000F3FF2">
        <w:rPr>
          <w:rFonts w:eastAsia="Calibri" w:cstheme="minorHAnsi"/>
          <w:sz w:val="24"/>
          <w:szCs w:val="24"/>
        </w:rPr>
        <w:t xml:space="preserve"> </w:t>
      </w:r>
      <w:r w:rsidR="00945224">
        <w:rPr>
          <w:rFonts w:eastAsia="Calibri" w:cstheme="minorHAnsi"/>
          <w:sz w:val="24"/>
          <w:szCs w:val="24"/>
        </w:rPr>
        <w:t>vý</w:t>
      </w:r>
      <w:r w:rsidR="000F3FF2">
        <w:rPr>
          <w:rFonts w:eastAsia="Calibri" w:cstheme="minorHAnsi"/>
          <w:sz w:val="24"/>
          <w:szCs w:val="24"/>
        </w:rPr>
        <w:t>pomoc</w:t>
      </w:r>
      <w:r w:rsidR="00945224">
        <w:rPr>
          <w:rFonts w:eastAsia="Calibri" w:cstheme="minorHAnsi"/>
          <w:sz w:val="24"/>
          <w:szCs w:val="24"/>
        </w:rPr>
        <w:t>i</w:t>
      </w:r>
      <w:r w:rsidR="000F3FF2">
        <w:rPr>
          <w:rFonts w:eastAsia="Calibri" w:cstheme="minorHAnsi"/>
          <w:sz w:val="24"/>
          <w:szCs w:val="24"/>
        </w:rPr>
        <w:t>).</w:t>
      </w:r>
    </w:p>
    <w:p w:rsidR="009962CB" w:rsidRPr="009962CB" w:rsidRDefault="009962CB" w:rsidP="009962CB">
      <w:pPr>
        <w:rPr>
          <w:lang w:eastAsia="cs-CZ"/>
        </w:rPr>
      </w:pPr>
    </w:p>
    <w:bookmarkEnd w:id="1"/>
    <w:bookmarkEnd w:id="2"/>
    <w:bookmarkEnd w:id="3"/>
    <w:bookmarkEnd w:id="4"/>
    <w:p w:rsidR="009962CB" w:rsidRPr="009962CB" w:rsidRDefault="009962CB" w:rsidP="009962CB">
      <w:pPr>
        <w:pStyle w:val="Nadpis1"/>
        <w:tabs>
          <w:tab w:val="left" w:pos="2835"/>
        </w:tabs>
        <w:spacing w:before="0" w:after="0" w:line="252" w:lineRule="auto"/>
        <w:contextualSpacing/>
        <w:jc w:val="center"/>
        <w:rPr>
          <w:rFonts w:asciiTheme="minorHAnsi" w:hAnsiTheme="minorHAnsi" w:cstheme="minorHAnsi"/>
          <w:sz w:val="28"/>
          <w:szCs w:val="28"/>
        </w:rPr>
      </w:pPr>
      <w:r w:rsidRPr="009962CB">
        <w:rPr>
          <w:rFonts w:asciiTheme="minorHAnsi" w:hAnsiTheme="minorHAnsi" w:cstheme="minorHAnsi"/>
          <w:sz w:val="28"/>
          <w:szCs w:val="28"/>
        </w:rPr>
        <w:t>II. Informace o kontrolované oblasti</w:t>
      </w:r>
    </w:p>
    <w:p w:rsidR="009962CB" w:rsidRDefault="009962CB" w:rsidP="009962CB">
      <w:pPr>
        <w:spacing w:after="0" w:line="252" w:lineRule="auto"/>
        <w:contextualSpacing/>
        <w:rPr>
          <w:rFonts w:cstheme="minorHAnsi"/>
          <w:sz w:val="24"/>
          <w:szCs w:val="24"/>
          <w:lang w:eastAsia="cs-CZ"/>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Instituce podílející se na podpoře výstavby a rekonstrukcí komunikací pro pěší</w:t>
      </w:r>
      <w:r>
        <w:rPr>
          <w:rFonts w:eastAsia="Calibri" w:cstheme="minorHAnsi"/>
          <w:b/>
          <w:i/>
          <w:color w:val="4472C4" w:themeColor="accent5"/>
          <w:sz w:val="24"/>
          <w:szCs w:val="24"/>
        </w:rPr>
        <w:t>.</w:t>
      </w:r>
    </w:p>
    <w:p w:rsidR="009962CB" w:rsidRPr="002F5290" w:rsidRDefault="009962CB" w:rsidP="009962CB">
      <w:pPr>
        <w:spacing w:after="0" w:line="252" w:lineRule="auto"/>
        <w:contextualSpacing/>
        <w:rPr>
          <w:rFonts w:cstheme="minorHAnsi"/>
          <w:sz w:val="24"/>
          <w:szCs w:val="24"/>
          <w:lang w:eastAsia="cs-CZ"/>
        </w:rPr>
      </w:pPr>
    </w:p>
    <w:p w:rsidR="009962CB" w:rsidRDefault="009962CB" w:rsidP="009962CB">
      <w:pPr>
        <w:spacing w:after="0" w:line="252" w:lineRule="auto"/>
        <w:contextualSpacing/>
        <w:jc w:val="both"/>
        <w:rPr>
          <w:rFonts w:cstheme="minorHAnsi"/>
          <w:sz w:val="24"/>
          <w:szCs w:val="24"/>
        </w:rPr>
      </w:pPr>
      <w:r w:rsidRPr="002F5290">
        <w:rPr>
          <w:rFonts w:eastAsia="Arial Unicode MS" w:cstheme="minorHAnsi"/>
          <w:bCs/>
          <w:sz w:val="24"/>
          <w:szCs w:val="24"/>
        </w:rPr>
        <w:t xml:space="preserve">2.1 MD je ústředním orgánem státní správy ve věcech dopravy. </w:t>
      </w:r>
      <w:r w:rsidRPr="002F5290">
        <w:rPr>
          <w:rFonts w:cstheme="minorHAnsi"/>
          <w:sz w:val="24"/>
          <w:szCs w:val="24"/>
        </w:rPr>
        <w:t>Z</w:t>
      </w:r>
      <w:r w:rsidRPr="002F5290">
        <w:rPr>
          <w:rFonts w:eastAsia="Arial Unicode MS" w:cstheme="minorHAnsi"/>
          <w:bCs/>
          <w:sz w:val="24"/>
          <w:szCs w:val="24"/>
        </w:rPr>
        <w:t>odpovídá za tvorbu státní politiky v oblasti dopravy a v rozsahu své působnosti za její uskutečňování</w:t>
      </w:r>
      <w:r w:rsidR="002F6EA5">
        <w:rPr>
          <w:rFonts w:eastAsia="Arial Unicode MS" w:cstheme="minorHAnsi"/>
          <w:bCs/>
          <w:sz w:val="24"/>
          <w:szCs w:val="24"/>
        </w:rPr>
        <w:t>.</w:t>
      </w:r>
      <w:r w:rsidRPr="002F5290">
        <w:rPr>
          <w:rStyle w:val="Znakapoznpodarou"/>
          <w:rFonts w:cstheme="minorHAnsi"/>
          <w:sz w:val="24"/>
          <w:szCs w:val="24"/>
        </w:rPr>
        <w:footnoteReference w:id="8"/>
      </w:r>
      <w:r w:rsidRPr="002F5290">
        <w:rPr>
          <w:rFonts w:cstheme="minorHAnsi"/>
          <w:sz w:val="24"/>
          <w:szCs w:val="24"/>
        </w:rPr>
        <w:t xml:space="preserve"> Zodpovídá mj. za problematiku bezpečnosti silničního provozu a za plnění úkolů, které resortu dopravy stanovila vláda České republiky. Má povinnost zkoumat společenskou problematiku v okruhu své působnosti, analyzovat dosahované výsledky a činit opatření k řešení aktuálních otázek</w:t>
      </w:r>
      <w:r w:rsidR="002F6EA5">
        <w:rPr>
          <w:rFonts w:cstheme="minorHAnsi"/>
          <w:sz w:val="24"/>
          <w:szCs w:val="24"/>
        </w:rPr>
        <w:t>.</w:t>
      </w:r>
      <w:r w:rsidRPr="002F5290">
        <w:rPr>
          <w:rStyle w:val="Znakapoznpodarou"/>
          <w:rFonts w:cstheme="minorHAnsi"/>
          <w:sz w:val="24"/>
          <w:szCs w:val="24"/>
        </w:rPr>
        <w:footnoteReference w:id="9"/>
      </w:r>
      <w:r w:rsidRPr="002F5290">
        <w:rPr>
          <w:rFonts w:cstheme="minorHAnsi"/>
          <w:sz w:val="24"/>
          <w:szCs w:val="24"/>
        </w:rPr>
        <w:t xml:space="preserve"> MD se spolupodílí na přípravě rozpočtu SFDI a společně s ním spoluzodpovídá za účelné a</w:t>
      </w:r>
      <w:r w:rsidR="00C65565">
        <w:rPr>
          <w:rFonts w:cstheme="minorHAnsi"/>
          <w:sz w:val="24"/>
          <w:szCs w:val="24"/>
        </w:rPr>
        <w:t> </w:t>
      </w:r>
      <w:r w:rsidRPr="002F5290">
        <w:rPr>
          <w:rFonts w:cstheme="minorHAnsi"/>
          <w:sz w:val="24"/>
          <w:szCs w:val="24"/>
        </w:rPr>
        <w:t>hospodárné vynakládání peněžních prostředků státu mj. na podporu výstavby a rekonstrukcí komunikací pro pěší.</w:t>
      </w:r>
      <w:r>
        <w:rPr>
          <w:rFonts w:cstheme="minorHAnsi"/>
          <w:sz w:val="24"/>
          <w:szCs w:val="24"/>
        </w:rPr>
        <w:t xml:space="preserve"> </w:t>
      </w:r>
    </w:p>
    <w:p w:rsidR="00F0088A" w:rsidRPr="002F5290" w:rsidRDefault="00F0088A"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cstheme="minorHAnsi"/>
          <w:sz w:val="24"/>
          <w:szCs w:val="24"/>
        </w:rPr>
      </w:pPr>
      <w:r w:rsidRPr="002F5290">
        <w:rPr>
          <w:rFonts w:cstheme="minorHAnsi"/>
          <w:sz w:val="24"/>
          <w:szCs w:val="24"/>
        </w:rPr>
        <w:t>2.2 SFDI je právnickou osobou v působnosti MD. Účelem SFDI je mj. poskytování příspěvků na opatření ke zvýšení bezpečnosti nebo plynulosti dopravy nebo opatření ke zpřístupňování dopravy osobám s omezenou schopností pohybu nebo orientace</w:t>
      </w:r>
      <w:r w:rsidR="002F6EA5">
        <w:rPr>
          <w:rFonts w:cstheme="minorHAnsi"/>
          <w:sz w:val="24"/>
          <w:szCs w:val="24"/>
        </w:rPr>
        <w:t>.</w:t>
      </w:r>
      <w:r w:rsidRPr="002F5290">
        <w:rPr>
          <w:rStyle w:val="Znakapoznpodarou"/>
          <w:rFonts w:cstheme="minorHAnsi"/>
          <w:sz w:val="24"/>
          <w:szCs w:val="24"/>
        </w:rPr>
        <w:footnoteReference w:id="10"/>
      </w:r>
      <w:r w:rsidRPr="002F5290">
        <w:rPr>
          <w:rFonts w:cstheme="minorHAnsi"/>
          <w:sz w:val="24"/>
          <w:szCs w:val="24"/>
        </w:rPr>
        <w:t xml:space="preserve"> Možnost</w:t>
      </w:r>
      <w:r w:rsidR="00BA4C36">
        <w:rPr>
          <w:rFonts w:cstheme="minorHAnsi"/>
          <w:sz w:val="24"/>
          <w:szCs w:val="24"/>
        </w:rPr>
        <w:t xml:space="preserve"> </w:t>
      </w:r>
      <w:r w:rsidRPr="002F5290">
        <w:rPr>
          <w:rFonts w:cstheme="minorHAnsi"/>
          <w:sz w:val="24"/>
          <w:szCs w:val="24"/>
        </w:rPr>
        <w:t xml:space="preserve">předkládání žádostí o poskytnutí </w:t>
      </w:r>
      <w:r>
        <w:rPr>
          <w:rFonts w:cstheme="minorHAnsi"/>
          <w:sz w:val="24"/>
          <w:szCs w:val="24"/>
        </w:rPr>
        <w:t xml:space="preserve">této </w:t>
      </w:r>
      <w:r w:rsidRPr="002F5290">
        <w:rPr>
          <w:rFonts w:cstheme="minorHAnsi"/>
          <w:sz w:val="24"/>
          <w:szCs w:val="24"/>
        </w:rPr>
        <w:t xml:space="preserve">podpory SFDI oznamuje uveřejněním </w:t>
      </w:r>
      <w:r w:rsidR="002F6EA5">
        <w:rPr>
          <w:rFonts w:cstheme="minorHAnsi"/>
          <w:sz w:val="24"/>
          <w:szCs w:val="24"/>
        </w:rPr>
        <w:t>„</w:t>
      </w:r>
      <w:r w:rsidR="002F6EA5" w:rsidRPr="000B29CF">
        <w:rPr>
          <w:rFonts w:cstheme="minorHAnsi"/>
          <w:i/>
          <w:iCs/>
          <w:sz w:val="24"/>
          <w:szCs w:val="24"/>
        </w:rPr>
        <w:t>p</w:t>
      </w:r>
      <w:r w:rsidRPr="000B29CF">
        <w:rPr>
          <w:rFonts w:cstheme="minorHAnsi"/>
          <w:i/>
          <w:iCs/>
          <w:sz w:val="24"/>
          <w:szCs w:val="24"/>
        </w:rPr>
        <w:t>ravidel pro financování</w:t>
      </w:r>
      <w:r w:rsidR="002F6EA5">
        <w:rPr>
          <w:rFonts w:cstheme="minorHAnsi"/>
          <w:sz w:val="24"/>
          <w:szCs w:val="24"/>
        </w:rPr>
        <w:t>“</w:t>
      </w:r>
      <w:r w:rsidRPr="002F5290">
        <w:rPr>
          <w:rFonts w:cstheme="minorHAnsi"/>
          <w:sz w:val="24"/>
          <w:szCs w:val="24"/>
        </w:rPr>
        <w:t>, v nichž stanovuje podmínky pro použití podpory a kritéria výběru projektů. Peněžní prostředky poskytuje příjemcům na základě smluv o poskytnutí finančních prostředků z rozpočtu SFDI. Vyhodnocení výsledků projektů SFDI provádí na základě závěrečných vyhodnocení</w:t>
      </w:r>
      <w:r>
        <w:rPr>
          <w:rFonts w:cstheme="minorHAnsi"/>
          <w:sz w:val="24"/>
          <w:szCs w:val="24"/>
        </w:rPr>
        <w:t xml:space="preserve"> akcí</w:t>
      </w:r>
      <w:r w:rsidRPr="002F5290">
        <w:rPr>
          <w:rFonts w:cstheme="minorHAnsi"/>
          <w:sz w:val="24"/>
          <w:szCs w:val="24"/>
        </w:rPr>
        <w:t xml:space="preserve">, která příjemci podpory mají zpracovat a předložit do konce kalendářního roku následujícího po ukončení financování projektů. </w:t>
      </w:r>
      <w:r>
        <w:rPr>
          <w:rFonts w:cstheme="minorHAnsi"/>
          <w:sz w:val="24"/>
          <w:szCs w:val="24"/>
        </w:rPr>
        <w:t>Nejvýznamnějším zdrojem financování rozpočtu SFDI jsou dotace ze státního rozpočtu.</w:t>
      </w:r>
    </w:p>
    <w:p w:rsidR="009962CB" w:rsidRPr="002F5290" w:rsidRDefault="009962CB" w:rsidP="009962CB">
      <w:pPr>
        <w:spacing w:after="0" w:line="252" w:lineRule="auto"/>
        <w:contextualSpacing/>
        <w:jc w:val="both"/>
        <w:rPr>
          <w:rFonts w:eastAsia="Arial Unicode MS" w:cstheme="minorHAnsi"/>
          <w:bCs/>
          <w:sz w:val="24"/>
          <w:szCs w:val="24"/>
          <w:highlight w:val="yellow"/>
        </w:rPr>
      </w:pPr>
    </w:p>
    <w:p w:rsidR="009962CB" w:rsidRPr="002F5290" w:rsidRDefault="009962CB" w:rsidP="009962CB">
      <w:pPr>
        <w:spacing w:after="0" w:line="252" w:lineRule="auto"/>
        <w:contextualSpacing/>
        <w:jc w:val="both"/>
        <w:rPr>
          <w:rFonts w:eastAsia="Arial Unicode MS" w:cstheme="minorHAnsi"/>
          <w:bCs/>
          <w:sz w:val="24"/>
          <w:szCs w:val="24"/>
          <w:highlight w:val="yellow"/>
        </w:rPr>
      </w:pPr>
      <w:r w:rsidRPr="002F5290">
        <w:rPr>
          <w:rFonts w:cstheme="minorHAnsi"/>
          <w:noProof/>
          <w:color w:val="000000"/>
          <w:sz w:val="24"/>
          <w:szCs w:val="24"/>
        </w:rPr>
        <w:t xml:space="preserve">2.3 </w:t>
      </w:r>
      <w:r w:rsidRPr="002F5290">
        <w:rPr>
          <w:rFonts w:cstheme="minorHAnsi"/>
          <w:sz w:val="24"/>
          <w:szCs w:val="24"/>
        </w:rPr>
        <w:t xml:space="preserve">MMR </w:t>
      </w:r>
      <w:r w:rsidRPr="002F5290">
        <w:rPr>
          <w:rFonts w:cstheme="minorHAnsi"/>
          <w:noProof/>
          <w:color w:val="000000"/>
          <w:sz w:val="24"/>
          <w:szCs w:val="24"/>
        </w:rPr>
        <w:t>j</w:t>
      </w:r>
      <w:r w:rsidRPr="002F5290">
        <w:rPr>
          <w:rFonts w:cstheme="minorHAnsi"/>
          <w:sz w:val="24"/>
          <w:szCs w:val="24"/>
        </w:rPr>
        <w:t>e ústředním orgánem státní správy mj. ve věcech regionální politiky</w:t>
      </w:r>
      <w:r w:rsidR="002F6EA5">
        <w:rPr>
          <w:rFonts w:cstheme="minorHAnsi"/>
          <w:sz w:val="24"/>
          <w:szCs w:val="24"/>
        </w:rPr>
        <w:t>.</w:t>
      </w:r>
      <w:r w:rsidR="006F296F">
        <w:rPr>
          <w:rStyle w:val="Znakapoznpodarou"/>
          <w:rFonts w:cstheme="minorHAnsi"/>
          <w:sz w:val="24"/>
          <w:szCs w:val="24"/>
        </w:rPr>
        <w:footnoteReference w:id="11"/>
      </w:r>
      <w:r w:rsidRPr="002F5290">
        <w:rPr>
          <w:rFonts w:cstheme="minorHAnsi"/>
          <w:sz w:val="24"/>
          <w:szCs w:val="24"/>
        </w:rPr>
        <w:t xml:space="preserve"> </w:t>
      </w:r>
      <w:r w:rsidRPr="002F5290">
        <w:rPr>
          <w:rFonts w:cstheme="minorHAnsi"/>
          <w:noProof/>
          <w:color w:val="000000"/>
          <w:sz w:val="24"/>
          <w:szCs w:val="24"/>
        </w:rPr>
        <w:t>J</w:t>
      </w:r>
      <w:r w:rsidRPr="002F5290">
        <w:rPr>
          <w:rFonts w:cstheme="minorHAnsi"/>
          <w:sz w:val="24"/>
          <w:szCs w:val="24"/>
        </w:rPr>
        <w:t xml:space="preserve">e řídicím orgánem </w:t>
      </w:r>
      <w:r w:rsidRPr="000B29CF">
        <w:rPr>
          <w:rFonts w:cstheme="minorHAnsi"/>
          <w:i/>
          <w:iCs/>
          <w:sz w:val="24"/>
          <w:szCs w:val="24"/>
        </w:rPr>
        <w:t>Integrovaného regionálního operačního programu</w:t>
      </w:r>
      <w:r w:rsidRPr="002F5290">
        <w:rPr>
          <w:rFonts w:cstheme="minorHAnsi"/>
          <w:sz w:val="24"/>
          <w:szCs w:val="24"/>
        </w:rPr>
        <w:t xml:space="preserve"> pro období let 2014</w:t>
      </w:r>
      <w:r w:rsidR="006E3699">
        <w:rPr>
          <w:rFonts w:cstheme="minorHAnsi"/>
          <w:sz w:val="24"/>
          <w:szCs w:val="24"/>
        </w:rPr>
        <w:t>–</w:t>
      </w:r>
      <w:r w:rsidRPr="002F5290">
        <w:rPr>
          <w:rFonts w:cstheme="minorHAnsi"/>
          <w:sz w:val="24"/>
          <w:szCs w:val="24"/>
        </w:rPr>
        <w:t>2020</w:t>
      </w:r>
      <w:r w:rsidRPr="002F5290">
        <w:rPr>
          <w:rStyle w:val="Znakapoznpodarou"/>
          <w:rFonts w:cstheme="minorHAnsi"/>
          <w:sz w:val="24"/>
          <w:szCs w:val="24"/>
        </w:rPr>
        <w:footnoteReference w:id="12"/>
      </w:r>
      <w:r w:rsidRPr="002F5290">
        <w:rPr>
          <w:rFonts w:cstheme="minorHAnsi"/>
          <w:sz w:val="24"/>
          <w:szCs w:val="24"/>
        </w:rPr>
        <w:t xml:space="preserve"> (dále také „IROP</w:t>
      </w:r>
      <w:r w:rsidR="006E3699">
        <w:rPr>
          <w:rFonts w:cstheme="minorHAnsi"/>
          <w:sz w:val="24"/>
          <w:szCs w:val="24"/>
        </w:rPr>
        <w:t>“</w:t>
      </w:r>
      <w:r w:rsidRPr="002F5290">
        <w:rPr>
          <w:rFonts w:cstheme="minorHAnsi"/>
          <w:sz w:val="24"/>
          <w:szCs w:val="24"/>
        </w:rPr>
        <w:t xml:space="preserve">) a </w:t>
      </w:r>
      <w:r w:rsidRPr="000B29CF">
        <w:rPr>
          <w:rFonts w:cstheme="minorHAnsi"/>
          <w:i/>
          <w:iCs/>
          <w:sz w:val="24"/>
          <w:szCs w:val="24"/>
        </w:rPr>
        <w:t>Integrovaného regionálního programu 2021</w:t>
      </w:r>
      <w:r w:rsidR="006E3699" w:rsidRPr="000B29CF">
        <w:rPr>
          <w:rFonts w:cstheme="minorHAnsi"/>
          <w:i/>
          <w:iCs/>
          <w:sz w:val="24"/>
          <w:szCs w:val="24"/>
        </w:rPr>
        <w:t>–</w:t>
      </w:r>
      <w:r w:rsidRPr="000B29CF">
        <w:rPr>
          <w:rFonts w:cstheme="minorHAnsi"/>
          <w:i/>
          <w:iCs/>
          <w:sz w:val="24"/>
          <w:szCs w:val="24"/>
        </w:rPr>
        <w:t>2027</w:t>
      </w:r>
      <w:r w:rsidRPr="002F5290">
        <w:rPr>
          <w:rStyle w:val="Znakapoznpodarou"/>
          <w:rFonts w:cstheme="minorHAnsi"/>
          <w:sz w:val="24"/>
          <w:szCs w:val="24"/>
        </w:rPr>
        <w:footnoteReference w:id="13"/>
      </w:r>
      <w:r w:rsidRPr="002F5290">
        <w:rPr>
          <w:rFonts w:cstheme="minorHAnsi"/>
          <w:sz w:val="24"/>
          <w:szCs w:val="24"/>
        </w:rPr>
        <w:t xml:space="preserve"> (dále také „IROP2</w:t>
      </w:r>
      <w:r w:rsidR="006E3699">
        <w:rPr>
          <w:rFonts w:cstheme="minorHAnsi"/>
          <w:sz w:val="24"/>
          <w:szCs w:val="24"/>
        </w:rPr>
        <w:t>“</w:t>
      </w:r>
      <w:r w:rsidRPr="002F5290">
        <w:rPr>
          <w:rFonts w:cstheme="minorHAnsi"/>
          <w:sz w:val="24"/>
          <w:szCs w:val="24"/>
        </w:rPr>
        <w:t xml:space="preserve">), </w:t>
      </w:r>
      <w:r w:rsidRPr="002F5290">
        <w:rPr>
          <w:rFonts w:cstheme="minorHAnsi"/>
          <w:color w:val="000000"/>
          <w:sz w:val="24"/>
          <w:szCs w:val="24"/>
        </w:rPr>
        <w:t>z nichž je poskytována podpora mj. na financování projektů výstavby a rekonstrukcí komunikací pro pěší.</w:t>
      </w:r>
      <w:r w:rsidRPr="002F5290">
        <w:rPr>
          <w:rFonts w:cstheme="minorHAnsi"/>
          <w:sz w:val="24"/>
          <w:szCs w:val="24"/>
        </w:rPr>
        <w:t xml:space="preserve"> </w:t>
      </w:r>
      <w:r w:rsidRPr="002F5290">
        <w:rPr>
          <w:rFonts w:cstheme="minorHAnsi"/>
          <w:bCs/>
          <w:sz w:val="24"/>
          <w:szCs w:val="24"/>
          <w:shd w:val="clear" w:color="auto" w:fill="FFFFFF"/>
        </w:rPr>
        <w:t>MMR v IROP a</w:t>
      </w:r>
      <w:r w:rsidR="006E3699">
        <w:rPr>
          <w:rFonts w:cstheme="minorHAnsi"/>
          <w:bCs/>
          <w:sz w:val="24"/>
          <w:szCs w:val="24"/>
          <w:shd w:val="clear" w:color="auto" w:fill="FFFFFF"/>
        </w:rPr>
        <w:t xml:space="preserve"> </w:t>
      </w:r>
      <w:r w:rsidRPr="002F5290">
        <w:rPr>
          <w:rFonts w:cstheme="minorHAnsi"/>
          <w:bCs/>
          <w:sz w:val="24"/>
          <w:szCs w:val="24"/>
          <w:shd w:val="clear" w:color="auto" w:fill="FFFFFF"/>
        </w:rPr>
        <w:t>IROP2</w:t>
      </w:r>
      <w:r w:rsidRPr="002F5290">
        <w:rPr>
          <w:rFonts w:cstheme="minorHAnsi"/>
          <w:sz w:val="24"/>
          <w:szCs w:val="24"/>
          <w:shd w:val="clear" w:color="auto" w:fill="FFFFFF"/>
        </w:rPr>
        <w:t xml:space="preserve"> zejména vyhlašuje výzvy k předkládání </w:t>
      </w:r>
      <w:r w:rsidRPr="002F5290">
        <w:rPr>
          <w:rFonts w:cstheme="minorHAnsi"/>
          <w:sz w:val="24"/>
          <w:szCs w:val="24"/>
        </w:rPr>
        <w:t>žádostí o poskytnutí podpory</w:t>
      </w:r>
      <w:r w:rsidRPr="002F5290">
        <w:rPr>
          <w:rFonts w:cstheme="minorHAnsi"/>
          <w:sz w:val="24"/>
          <w:szCs w:val="24"/>
          <w:shd w:val="clear" w:color="auto" w:fill="FFFFFF"/>
        </w:rPr>
        <w:t xml:space="preserve">, stanovuje podmínky podpory, rozhoduje o výběru projektů, vydává rozhodnutí </w:t>
      </w:r>
      <w:r w:rsidRPr="002F5290">
        <w:rPr>
          <w:rFonts w:cstheme="minorHAnsi"/>
          <w:sz w:val="24"/>
          <w:szCs w:val="24"/>
          <w:shd w:val="clear" w:color="auto" w:fill="FFFFFF"/>
        </w:rPr>
        <w:lastRenderedPageBreak/>
        <w:t>o</w:t>
      </w:r>
      <w:r w:rsidR="00C65565">
        <w:rPr>
          <w:rFonts w:cstheme="minorHAnsi"/>
          <w:sz w:val="24"/>
          <w:szCs w:val="24"/>
          <w:shd w:val="clear" w:color="auto" w:fill="FFFFFF"/>
        </w:rPr>
        <w:t> </w:t>
      </w:r>
      <w:r w:rsidRPr="002F5290">
        <w:rPr>
          <w:rFonts w:cstheme="minorHAnsi"/>
          <w:sz w:val="24"/>
          <w:szCs w:val="24"/>
          <w:shd w:val="clear" w:color="auto" w:fill="FFFFFF"/>
        </w:rPr>
        <w:t>poskytnutí podpory a závěrečné vyhodnocení akc</w:t>
      </w:r>
      <w:r>
        <w:rPr>
          <w:rFonts w:cstheme="minorHAnsi"/>
          <w:sz w:val="24"/>
          <w:szCs w:val="24"/>
          <w:shd w:val="clear" w:color="auto" w:fill="FFFFFF"/>
        </w:rPr>
        <w:t>í</w:t>
      </w:r>
      <w:r w:rsidRPr="002F5290">
        <w:rPr>
          <w:rFonts w:cstheme="minorHAnsi"/>
          <w:sz w:val="24"/>
          <w:szCs w:val="24"/>
          <w:shd w:val="clear" w:color="auto" w:fill="FFFFFF"/>
        </w:rPr>
        <w:t xml:space="preserve"> a zajišťuje financování národního podílu </w:t>
      </w:r>
      <w:r>
        <w:rPr>
          <w:rFonts w:cstheme="minorHAnsi"/>
          <w:sz w:val="24"/>
          <w:szCs w:val="24"/>
          <w:shd w:val="clear" w:color="auto" w:fill="FFFFFF"/>
        </w:rPr>
        <w:t>podpory</w:t>
      </w:r>
      <w:r w:rsidRPr="002F5290">
        <w:rPr>
          <w:rFonts w:cstheme="minorHAnsi"/>
          <w:sz w:val="24"/>
          <w:szCs w:val="24"/>
          <w:shd w:val="clear" w:color="auto" w:fill="FFFFFF"/>
        </w:rPr>
        <w:t>.</w:t>
      </w:r>
      <w:r w:rsidRPr="002F5290">
        <w:rPr>
          <w:rFonts w:cstheme="minorHAnsi"/>
          <w:sz w:val="24"/>
          <w:szCs w:val="24"/>
        </w:rPr>
        <w:t xml:space="preserve"> </w:t>
      </w:r>
    </w:p>
    <w:p w:rsidR="009962CB" w:rsidRPr="002F5290" w:rsidRDefault="009962CB" w:rsidP="009962CB">
      <w:pPr>
        <w:spacing w:after="0" w:line="252" w:lineRule="auto"/>
        <w:contextualSpacing/>
        <w:jc w:val="both"/>
        <w:rPr>
          <w:rFonts w:cstheme="minorHAnsi"/>
          <w:sz w:val="24"/>
          <w:szCs w:val="24"/>
          <w:lang w:eastAsia="cs-CZ"/>
        </w:rPr>
      </w:pPr>
    </w:p>
    <w:p w:rsidR="009962CB" w:rsidRPr="002F5290" w:rsidRDefault="009962CB" w:rsidP="009962CB">
      <w:pPr>
        <w:spacing w:after="0" w:line="252" w:lineRule="auto"/>
        <w:contextualSpacing/>
        <w:jc w:val="both"/>
        <w:rPr>
          <w:rFonts w:cstheme="minorHAnsi"/>
          <w:sz w:val="24"/>
          <w:szCs w:val="24"/>
        </w:rPr>
      </w:pPr>
      <w:r w:rsidRPr="002F5290">
        <w:rPr>
          <w:rFonts w:cstheme="minorHAnsi"/>
          <w:sz w:val="24"/>
          <w:szCs w:val="24"/>
        </w:rPr>
        <w:t>2.4 CRR</w:t>
      </w:r>
      <w:r w:rsidRPr="002F5290">
        <w:rPr>
          <w:rFonts w:cstheme="minorHAnsi"/>
          <w:b/>
          <w:sz w:val="24"/>
          <w:szCs w:val="24"/>
        </w:rPr>
        <w:t xml:space="preserve"> </w:t>
      </w:r>
      <w:r w:rsidRPr="002F5290">
        <w:rPr>
          <w:rFonts w:cstheme="minorHAnsi"/>
          <w:sz w:val="24"/>
          <w:szCs w:val="24"/>
        </w:rPr>
        <w:t>je státní příspěvkovou organizací, která vykonává funkci zprostředkujícího subjektu IROP a IROP2. V rámci své působnosti zajišťuje především administraci žádostí o poskytnutí podpory, připravuje podklady pro vydání právních aktů</w:t>
      </w:r>
      <w:r w:rsidR="006E3699">
        <w:rPr>
          <w:rStyle w:val="Znakapoznpodarou"/>
          <w:rFonts w:cstheme="minorHAnsi"/>
          <w:sz w:val="24"/>
          <w:szCs w:val="24"/>
        </w:rPr>
        <w:footnoteReference w:id="14"/>
      </w:r>
      <w:r w:rsidRPr="002F5290">
        <w:rPr>
          <w:rFonts w:cstheme="minorHAnsi"/>
          <w:sz w:val="24"/>
          <w:szCs w:val="24"/>
        </w:rPr>
        <w:t xml:space="preserve"> o poskytnutí podpory, monitoruje realizaci projektů, administruje změny v projektech a žádosti o platbu a provádí další činnosti dle veřejnoprávních smluv uzavřených s MMR.</w:t>
      </w:r>
    </w:p>
    <w:p w:rsidR="009962CB" w:rsidRDefault="009962CB" w:rsidP="009962CB">
      <w:pPr>
        <w:pStyle w:val="Default"/>
        <w:spacing w:line="252" w:lineRule="auto"/>
        <w:contextualSpacing/>
        <w:jc w:val="both"/>
        <w:rPr>
          <w:rFonts w:asciiTheme="minorHAnsi" w:hAnsiTheme="minorHAnsi" w:cstheme="minorHAnsi"/>
        </w:rPr>
      </w:pPr>
    </w:p>
    <w:p w:rsidR="009962CB" w:rsidRPr="00C101CB" w:rsidRDefault="009962CB" w:rsidP="009962CB">
      <w:pPr>
        <w:pStyle w:val="Default"/>
        <w:spacing w:line="252" w:lineRule="auto"/>
        <w:contextualSpacing/>
        <w:jc w:val="both"/>
        <w:rPr>
          <w:rFonts w:asciiTheme="minorHAnsi" w:hAnsiTheme="minorHAnsi" w:cstheme="minorHAnsi"/>
          <w:b/>
          <w:i/>
          <w:color w:val="4472C4" w:themeColor="accent5"/>
          <w:lang w:eastAsia="en-US"/>
        </w:rPr>
      </w:pPr>
      <w:r w:rsidRPr="00C101CB">
        <w:rPr>
          <w:rFonts w:asciiTheme="minorHAnsi" w:hAnsiTheme="minorHAnsi" w:cstheme="minorHAnsi"/>
          <w:b/>
          <w:i/>
          <w:color w:val="4472C4" w:themeColor="accent5"/>
          <w:lang w:eastAsia="en-US"/>
        </w:rPr>
        <w:t>Komunikace pro pěší, péče o ně a podpora jejich výstavby a rekonstrukc</w:t>
      </w:r>
      <w:r>
        <w:rPr>
          <w:rFonts w:asciiTheme="minorHAnsi" w:hAnsiTheme="minorHAnsi" w:cstheme="minorHAnsi"/>
          <w:b/>
          <w:i/>
          <w:color w:val="4472C4" w:themeColor="accent5"/>
          <w:lang w:eastAsia="en-US"/>
        </w:rPr>
        <w:t>í.</w:t>
      </w:r>
    </w:p>
    <w:p w:rsidR="009962CB" w:rsidRPr="002F5290" w:rsidRDefault="009962CB" w:rsidP="009962CB">
      <w:pPr>
        <w:pStyle w:val="Default"/>
        <w:spacing w:line="252" w:lineRule="auto"/>
        <w:contextualSpacing/>
        <w:jc w:val="both"/>
        <w:rPr>
          <w:rFonts w:asciiTheme="minorHAnsi" w:hAnsiTheme="minorHAnsi" w:cstheme="minorHAnsi"/>
        </w:rPr>
      </w:pPr>
    </w:p>
    <w:p w:rsidR="009962CB" w:rsidRPr="002F5290" w:rsidRDefault="009962CB" w:rsidP="009962CB">
      <w:pPr>
        <w:pStyle w:val="Default"/>
        <w:spacing w:line="252" w:lineRule="auto"/>
        <w:contextualSpacing/>
        <w:jc w:val="both"/>
        <w:rPr>
          <w:rFonts w:asciiTheme="minorHAnsi" w:hAnsiTheme="minorHAnsi" w:cstheme="minorHAnsi"/>
        </w:rPr>
      </w:pPr>
      <w:r w:rsidRPr="002F5290">
        <w:rPr>
          <w:rFonts w:asciiTheme="minorHAnsi" w:hAnsiTheme="minorHAnsi" w:cstheme="minorHAnsi"/>
        </w:rPr>
        <w:t xml:space="preserve">2.5 Komunikace pro pěší jsou chodníky a ostatní </w:t>
      </w:r>
      <w:proofErr w:type="spellStart"/>
      <w:r w:rsidRPr="002F5290">
        <w:rPr>
          <w:rFonts w:asciiTheme="minorHAnsi" w:hAnsiTheme="minorHAnsi" w:cstheme="minorHAnsi"/>
        </w:rPr>
        <w:t>pochozí</w:t>
      </w:r>
      <w:proofErr w:type="spellEnd"/>
      <w:r w:rsidRPr="002F5290">
        <w:rPr>
          <w:rFonts w:asciiTheme="minorHAnsi" w:hAnsiTheme="minorHAnsi" w:cstheme="minorHAnsi"/>
        </w:rPr>
        <w:t xml:space="preserve"> plochy, jako jsou náměstí, obytné </w:t>
      </w:r>
      <w:r w:rsidR="00316ECA">
        <w:rPr>
          <w:rFonts w:asciiTheme="minorHAnsi" w:hAnsiTheme="minorHAnsi" w:cstheme="minorHAnsi"/>
        </w:rPr>
        <w:br/>
      </w:r>
      <w:r w:rsidRPr="002F5290">
        <w:rPr>
          <w:rFonts w:asciiTheme="minorHAnsi" w:hAnsiTheme="minorHAnsi" w:cstheme="minorHAnsi"/>
        </w:rPr>
        <w:t>a pěší zóny. Přilehlé chodníky jsou součástmi místních komunikací, nejsou-li samostatnými místními komunikacemi</w:t>
      </w:r>
      <w:r w:rsidR="00C65565">
        <w:rPr>
          <w:rFonts w:asciiTheme="minorHAnsi" w:hAnsiTheme="minorHAnsi" w:cstheme="minorHAnsi"/>
        </w:rPr>
        <w:t>.</w:t>
      </w:r>
      <w:r w:rsidRPr="002F5290">
        <w:rPr>
          <w:rStyle w:val="Znakapoznpodarou"/>
          <w:rFonts w:asciiTheme="minorHAnsi" w:hAnsiTheme="minorHAnsi" w:cstheme="minorHAnsi"/>
        </w:rPr>
        <w:footnoteReference w:id="15"/>
      </w:r>
      <w:r w:rsidRPr="002F5290">
        <w:rPr>
          <w:rFonts w:asciiTheme="minorHAnsi" w:hAnsiTheme="minorHAnsi" w:cstheme="minorHAnsi"/>
        </w:rPr>
        <w:t xml:space="preserve"> Vlastníkem místních komunikací je obec, na jejímž území se tyto komunikace nacházejí.</w:t>
      </w:r>
      <w:r w:rsidRPr="002F5290">
        <w:rPr>
          <w:rStyle w:val="Znakapoznpodarou"/>
          <w:rFonts w:asciiTheme="minorHAnsi" w:hAnsiTheme="minorHAnsi" w:cstheme="minorHAnsi"/>
        </w:rPr>
        <w:footnoteReference w:id="16"/>
      </w:r>
      <w:r w:rsidRPr="002F5290">
        <w:rPr>
          <w:rFonts w:cstheme="minorHAnsi"/>
        </w:rPr>
        <w:t xml:space="preserve"> </w:t>
      </w:r>
      <w:r w:rsidRPr="002F5290">
        <w:rPr>
          <w:rFonts w:asciiTheme="minorHAnsi" w:hAnsiTheme="minorHAnsi" w:cstheme="minorHAnsi"/>
        </w:rPr>
        <w:t>Požadavky na stavebně</w:t>
      </w:r>
      <w:r w:rsidR="00BE096C">
        <w:rPr>
          <w:rFonts w:asciiTheme="minorHAnsi" w:hAnsiTheme="minorHAnsi" w:cstheme="minorHAnsi"/>
        </w:rPr>
        <w:t>-</w:t>
      </w:r>
      <w:r w:rsidRPr="002F5290">
        <w:rPr>
          <w:rFonts w:asciiTheme="minorHAnsi" w:hAnsiTheme="minorHAnsi" w:cstheme="minorHAnsi"/>
        </w:rPr>
        <w:t xml:space="preserve">technické a prostorové uspořádání komunikací pro pěší </w:t>
      </w:r>
      <w:r w:rsidR="00920607">
        <w:rPr>
          <w:rFonts w:asciiTheme="minorHAnsi" w:hAnsiTheme="minorHAnsi" w:cstheme="minorHAnsi"/>
        </w:rPr>
        <w:t>byly</w:t>
      </w:r>
      <w:r w:rsidR="00920607" w:rsidRPr="002F5290">
        <w:rPr>
          <w:rFonts w:asciiTheme="minorHAnsi" w:hAnsiTheme="minorHAnsi" w:cstheme="minorHAnsi"/>
        </w:rPr>
        <w:t xml:space="preserve"> </w:t>
      </w:r>
      <w:r w:rsidRPr="002F5290">
        <w:rPr>
          <w:rFonts w:asciiTheme="minorHAnsi" w:hAnsiTheme="minorHAnsi" w:cstheme="minorHAnsi"/>
        </w:rPr>
        <w:t xml:space="preserve">stanoveny především vyhláškou č. 398/2009 Sb., o obecných technických požadavcích zabezpečujících bezbariérové užívání staveb, a českou technickou normou ČSN 73 6110 </w:t>
      </w:r>
      <w:r w:rsidRPr="000B29CF">
        <w:rPr>
          <w:rFonts w:asciiTheme="minorHAnsi" w:hAnsiTheme="minorHAnsi" w:cstheme="minorHAnsi"/>
          <w:i/>
          <w:iCs/>
        </w:rPr>
        <w:t>Projektování místních komunikací</w:t>
      </w:r>
      <w:r w:rsidRPr="002F5290">
        <w:rPr>
          <w:rFonts w:asciiTheme="minorHAnsi" w:hAnsiTheme="minorHAnsi" w:cstheme="minorHAnsi"/>
        </w:rPr>
        <w:t xml:space="preserve"> ve znění změny Z1</w:t>
      </w:r>
      <w:r w:rsidR="00C65565">
        <w:rPr>
          <w:rFonts w:asciiTheme="minorHAnsi" w:hAnsiTheme="minorHAnsi" w:cstheme="minorHAnsi"/>
        </w:rPr>
        <w:t>.</w:t>
      </w:r>
      <w:r w:rsidR="00920607">
        <w:rPr>
          <w:rStyle w:val="Znakapoznpodarou"/>
          <w:rFonts w:asciiTheme="minorHAnsi" w:hAnsiTheme="minorHAnsi" w:cstheme="minorHAnsi"/>
        </w:rPr>
        <w:footnoteReference w:id="17"/>
      </w:r>
    </w:p>
    <w:p w:rsidR="009962CB" w:rsidRPr="002F5290" w:rsidRDefault="009962CB" w:rsidP="009962CB">
      <w:pPr>
        <w:pStyle w:val="Default"/>
        <w:spacing w:line="252" w:lineRule="auto"/>
        <w:contextualSpacing/>
        <w:jc w:val="both"/>
        <w:rPr>
          <w:rFonts w:asciiTheme="minorHAnsi" w:hAnsiTheme="minorHAnsi" w:cstheme="minorHAnsi"/>
        </w:rPr>
      </w:pPr>
    </w:p>
    <w:p w:rsidR="009962CB" w:rsidRPr="002F5290" w:rsidRDefault="009962CB" w:rsidP="009962CB">
      <w:pPr>
        <w:spacing w:after="0" w:line="252" w:lineRule="auto"/>
        <w:contextualSpacing/>
        <w:jc w:val="both"/>
        <w:rPr>
          <w:rFonts w:cstheme="minorHAnsi"/>
          <w:sz w:val="24"/>
          <w:szCs w:val="24"/>
        </w:rPr>
      </w:pPr>
      <w:r w:rsidRPr="002F5290">
        <w:rPr>
          <w:rFonts w:cstheme="minorHAnsi"/>
          <w:sz w:val="24"/>
          <w:szCs w:val="24"/>
        </w:rPr>
        <w:t>2.6 Obce spravují své záležitosti samostatně (dále též „samostatná působnost</w:t>
      </w:r>
      <w:r w:rsidR="00C65565">
        <w:rPr>
          <w:rFonts w:cstheme="minorHAnsi"/>
          <w:sz w:val="24"/>
          <w:szCs w:val="24"/>
        </w:rPr>
        <w:t>“</w:t>
      </w:r>
      <w:r w:rsidRPr="002F5290">
        <w:rPr>
          <w:rFonts w:cstheme="minorHAnsi"/>
          <w:sz w:val="24"/>
          <w:szCs w:val="24"/>
        </w:rPr>
        <w:t>). Státní orgány a orgány krajů do samostatné působnosti obcí mohou zasahovat, jen vyžaduje-li to ochrana zákona, a jen způsobem, který zákon stanoví</w:t>
      </w:r>
      <w:r w:rsidRPr="002F5290">
        <w:rPr>
          <w:rStyle w:val="Znakapoznpodarou"/>
          <w:rFonts w:cstheme="minorHAnsi"/>
          <w:sz w:val="24"/>
          <w:szCs w:val="24"/>
        </w:rPr>
        <w:footnoteReference w:id="18"/>
      </w:r>
      <w:r w:rsidRPr="002F5290">
        <w:rPr>
          <w:rFonts w:cstheme="minorHAnsi"/>
          <w:sz w:val="24"/>
          <w:szCs w:val="24"/>
        </w:rPr>
        <w:t>. Obec pečuje o všestranný rozvoj svého území, o potřeby svých občanů a o vytváření podmínek pro uspokojování těchto potřeb</w:t>
      </w:r>
      <w:r w:rsidRPr="002F5290">
        <w:rPr>
          <w:rStyle w:val="Znakapoznpodarou"/>
          <w:rFonts w:cstheme="minorHAnsi"/>
          <w:sz w:val="24"/>
          <w:szCs w:val="24"/>
        </w:rPr>
        <w:footnoteReference w:id="19"/>
      </w:r>
      <w:r w:rsidRPr="002F5290">
        <w:rPr>
          <w:rFonts w:cstheme="minorHAnsi"/>
          <w:sz w:val="24"/>
          <w:szCs w:val="24"/>
        </w:rPr>
        <w:t xml:space="preserve">. </w:t>
      </w:r>
      <w:r w:rsidR="004218C8">
        <w:rPr>
          <w:rFonts w:cstheme="minorHAnsi"/>
          <w:sz w:val="24"/>
          <w:szCs w:val="24"/>
        </w:rPr>
        <w:t>T</w:t>
      </w:r>
      <w:r w:rsidR="005465F9">
        <w:rPr>
          <w:rFonts w:cstheme="minorHAnsi"/>
          <w:sz w:val="24"/>
          <w:szCs w:val="24"/>
        </w:rPr>
        <w:t>o</w:t>
      </w:r>
      <w:r w:rsidR="004218C8">
        <w:rPr>
          <w:rFonts w:cstheme="minorHAnsi"/>
          <w:sz w:val="24"/>
          <w:szCs w:val="24"/>
        </w:rPr>
        <w:t xml:space="preserve"> zahrnuje i</w:t>
      </w:r>
      <w:r w:rsidRPr="002F5290">
        <w:rPr>
          <w:rFonts w:cstheme="minorHAnsi"/>
          <w:sz w:val="24"/>
          <w:szCs w:val="24"/>
        </w:rPr>
        <w:t xml:space="preserve"> zodpovědnost obcí za výstavbu a rekonstrukce komunikací pro pěší, zvyšování bezpečnosti občanů a vytváření podmínek pro pohyb osob s omezenou schopností pohybu nebo orientace.</w:t>
      </w:r>
    </w:p>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cstheme="minorHAnsi"/>
          <w:sz w:val="24"/>
          <w:szCs w:val="24"/>
        </w:rPr>
      </w:pPr>
      <w:r w:rsidRPr="002F5290">
        <w:rPr>
          <w:rFonts w:cstheme="minorHAnsi"/>
          <w:sz w:val="24"/>
          <w:szCs w:val="24"/>
        </w:rPr>
        <w:t>2.7 Financování péče o svůj majetek a jeho rozvoj by každá obec měla zajistit především v rámci rozpočtu, s nímž hospodaří ve své samostatné působnosti. Vedle toho může využít např. úvěry a půjčky od finančních institucí nebo i další zdroje. Jedním ze zdrojů využívaný</w:t>
      </w:r>
      <w:r w:rsidR="00C65565">
        <w:rPr>
          <w:rFonts w:cstheme="minorHAnsi"/>
          <w:sz w:val="24"/>
          <w:szCs w:val="24"/>
        </w:rPr>
        <w:t>ch</w:t>
      </w:r>
      <w:r w:rsidRPr="002F5290">
        <w:rPr>
          <w:rFonts w:cstheme="minorHAnsi"/>
          <w:sz w:val="24"/>
          <w:szCs w:val="24"/>
        </w:rPr>
        <w:t xml:space="preserve"> obcemi pro financování výstavby a rekonstrukcí komunikací pro pěší jsou příspěvky z rozpočtu SFDI a dotace z IROP a IROP2. </w:t>
      </w:r>
      <w:r>
        <w:rPr>
          <w:rFonts w:cstheme="minorHAnsi"/>
          <w:sz w:val="24"/>
          <w:szCs w:val="24"/>
        </w:rPr>
        <w:t>Z</w:t>
      </w:r>
      <w:r w:rsidRPr="002F5290">
        <w:rPr>
          <w:rFonts w:cstheme="minorHAnsi"/>
          <w:sz w:val="24"/>
          <w:szCs w:val="24"/>
        </w:rPr>
        <w:t xml:space="preserve"> těchto zdrojů byla </w:t>
      </w:r>
      <w:r>
        <w:rPr>
          <w:rFonts w:cstheme="minorHAnsi"/>
          <w:sz w:val="24"/>
          <w:szCs w:val="24"/>
        </w:rPr>
        <w:t xml:space="preserve">financována </w:t>
      </w:r>
      <w:r w:rsidRPr="002F5290">
        <w:rPr>
          <w:rFonts w:cstheme="minorHAnsi"/>
          <w:sz w:val="24"/>
          <w:szCs w:val="24"/>
        </w:rPr>
        <w:t xml:space="preserve">především výstavba nových </w:t>
      </w:r>
      <w:r w:rsidR="00316ECA">
        <w:rPr>
          <w:rFonts w:cstheme="minorHAnsi"/>
          <w:sz w:val="24"/>
          <w:szCs w:val="24"/>
        </w:rPr>
        <w:br/>
      </w:r>
      <w:r w:rsidRPr="002F5290">
        <w:rPr>
          <w:rFonts w:cstheme="minorHAnsi"/>
          <w:sz w:val="24"/>
          <w:szCs w:val="24"/>
        </w:rPr>
        <w:t>a rekonstrukce stávajících chodníků a dalších komunikací pro pěší v</w:t>
      </w:r>
      <w:r w:rsidR="00C65565">
        <w:rPr>
          <w:rFonts w:cstheme="minorHAnsi"/>
          <w:sz w:val="24"/>
          <w:szCs w:val="24"/>
        </w:rPr>
        <w:t xml:space="preserve"> </w:t>
      </w:r>
      <w:r w:rsidRPr="002F5290">
        <w:rPr>
          <w:rFonts w:cstheme="minorHAnsi"/>
          <w:sz w:val="24"/>
          <w:szCs w:val="24"/>
        </w:rPr>
        <w:t xml:space="preserve">obcích </w:t>
      </w:r>
      <w:bookmarkStart w:id="8" w:name="_Hlk177357143"/>
      <w:r w:rsidRPr="002F5290">
        <w:rPr>
          <w:rFonts w:cstheme="minorHAnsi"/>
          <w:sz w:val="24"/>
          <w:szCs w:val="24"/>
        </w:rPr>
        <w:t xml:space="preserve">a dále rovněž </w:t>
      </w:r>
      <w:bookmarkEnd w:id="8"/>
      <w:r w:rsidRPr="002F5290">
        <w:rPr>
          <w:rFonts w:cstheme="minorHAnsi"/>
          <w:sz w:val="24"/>
          <w:szCs w:val="24"/>
        </w:rPr>
        <w:t>provádění úprav přechodů pro chodce a autobusových zastávek</w:t>
      </w:r>
      <w:r w:rsidR="00C65565">
        <w:rPr>
          <w:rFonts w:cstheme="minorHAnsi"/>
          <w:sz w:val="24"/>
          <w:szCs w:val="24"/>
        </w:rPr>
        <w:t xml:space="preserve"> </w:t>
      </w:r>
      <w:r w:rsidRPr="002F5290">
        <w:rPr>
          <w:rFonts w:cstheme="minorHAnsi"/>
          <w:sz w:val="24"/>
          <w:szCs w:val="24"/>
        </w:rPr>
        <w:t>zajišťujících jejich bezbariérovost a větší bezpečnost.</w:t>
      </w:r>
    </w:p>
    <w:p w:rsidR="009962CB" w:rsidRDefault="009962CB" w:rsidP="009962CB">
      <w:pPr>
        <w:spacing w:after="0" w:line="252" w:lineRule="auto"/>
        <w:contextualSpacing/>
        <w:jc w:val="both"/>
        <w:rPr>
          <w:rFonts w:cstheme="minorHAnsi"/>
          <w:sz w:val="24"/>
          <w:szCs w:val="24"/>
        </w:rPr>
      </w:pPr>
    </w:p>
    <w:p w:rsidR="009962CB" w:rsidRDefault="009962CB" w:rsidP="009962CB">
      <w:pPr>
        <w:spacing w:after="0" w:line="252" w:lineRule="auto"/>
        <w:contextualSpacing/>
        <w:jc w:val="both"/>
        <w:rPr>
          <w:rFonts w:cstheme="minorHAnsi"/>
          <w:sz w:val="24"/>
          <w:szCs w:val="24"/>
        </w:rPr>
      </w:pPr>
      <w:r>
        <w:rPr>
          <w:rFonts w:cstheme="minorHAnsi"/>
          <w:sz w:val="24"/>
          <w:szCs w:val="24"/>
        </w:rPr>
        <w:t>2.8</w:t>
      </w:r>
      <w:r w:rsidRPr="002F5290">
        <w:rPr>
          <w:rFonts w:cstheme="minorHAnsi"/>
          <w:sz w:val="24"/>
          <w:szCs w:val="24"/>
        </w:rPr>
        <w:t xml:space="preserve"> Pěší doprava patří k nejdůležitějším druhům dopravy na kratší vzdálenosti ve městech </w:t>
      </w:r>
      <w:r w:rsidR="00C65565">
        <w:rPr>
          <w:rFonts w:cstheme="minorHAnsi"/>
          <w:sz w:val="24"/>
          <w:szCs w:val="24"/>
        </w:rPr>
        <w:br/>
      </w:r>
      <w:r w:rsidRPr="002F5290">
        <w:rPr>
          <w:rFonts w:cstheme="minorHAnsi"/>
          <w:sz w:val="24"/>
          <w:szCs w:val="24"/>
        </w:rPr>
        <w:t>a</w:t>
      </w:r>
      <w:r w:rsidR="00C65565">
        <w:rPr>
          <w:rFonts w:cstheme="minorHAnsi"/>
          <w:sz w:val="24"/>
          <w:szCs w:val="24"/>
        </w:rPr>
        <w:t xml:space="preserve"> </w:t>
      </w:r>
      <w:r w:rsidRPr="002F5290">
        <w:rPr>
          <w:rFonts w:cstheme="minorHAnsi"/>
          <w:sz w:val="24"/>
          <w:szCs w:val="24"/>
        </w:rPr>
        <w:t>obcích</w:t>
      </w:r>
      <w:r>
        <w:rPr>
          <w:rFonts w:cstheme="minorHAnsi"/>
          <w:sz w:val="24"/>
          <w:szCs w:val="24"/>
        </w:rPr>
        <w:t>. V</w:t>
      </w:r>
      <w:r w:rsidR="00C65565">
        <w:rPr>
          <w:rFonts w:cstheme="minorHAnsi"/>
          <w:sz w:val="24"/>
          <w:szCs w:val="24"/>
        </w:rPr>
        <w:t xml:space="preserve"> </w:t>
      </w:r>
      <w:r w:rsidRPr="002F5290">
        <w:rPr>
          <w:rFonts w:cstheme="minorHAnsi"/>
          <w:sz w:val="24"/>
          <w:szCs w:val="24"/>
        </w:rPr>
        <w:t>kombinaci s</w:t>
      </w:r>
      <w:r w:rsidR="00C65565">
        <w:rPr>
          <w:rFonts w:cstheme="minorHAnsi"/>
          <w:sz w:val="24"/>
          <w:szCs w:val="24"/>
        </w:rPr>
        <w:t xml:space="preserve"> </w:t>
      </w:r>
      <w:r w:rsidRPr="002F5290">
        <w:rPr>
          <w:rFonts w:cstheme="minorHAnsi"/>
          <w:sz w:val="24"/>
          <w:szCs w:val="24"/>
        </w:rPr>
        <w:t xml:space="preserve">veřejnou dopravou představuje velmi žádoucí alternativu k individuální automobilové dopravě. Význam pěší dopravy a komunikací pro pěší narůstá </w:t>
      </w:r>
      <w:r w:rsidRPr="002F5290">
        <w:rPr>
          <w:rFonts w:cstheme="minorHAnsi"/>
          <w:sz w:val="24"/>
          <w:szCs w:val="24"/>
        </w:rPr>
        <w:lastRenderedPageBreak/>
        <w:t xml:space="preserve">zejména s ekologizací dopravy </w:t>
      </w:r>
      <w:r>
        <w:rPr>
          <w:rFonts w:cstheme="minorHAnsi"/>
          <w:sz w:val="24"/>
          <w:szCs w:val="24"/>
        </w:rPr>
        <w:t>a</w:t>
      </w:r>
      <w:r w:rsidRPr="002F5290">
        <w:rPr>
          <w:rFonts w:cstheme="minorHAnsi"/>
          <w:sz w:val="24"/>
          <w:szCs w:val="24"/>
        </w:rPr>
        <w:t xml:space="preserve"> plněním cílů udržitelného rozvoje schválených </w:t>
      </w:r>
      <w:r w:rsidRPr="002F5290">
        <w:rPr>
          <w:rFonts w:cstheme="minorHAnsi"/>
          <w:color w:val="333333"/>
          <w:sz w:val="24"/>
          <w:szCs w:val="24"/>
          <w:shd w:val="clear" w:color="auto" w:fill="FFFFFF"/>
        </w:rPr>
        <w:t>na summitu Organizace spojených národů v září 2015 v New Yorku</w:t>
      </w:r>
      <w:r w:rsidRPr="002F5290">
        <w:rPr>
          <w:rFonts w:cstheme="minorHAnsi"/>
          <w:sz w:val="24"/>
          <w:szCs w:val="24"/>
        </w:rPr>
        <w:t>.</w:t>
      </w:r>
      <w:r w:rsidRPr="00E40214">
        <w:rPr>
          <w:rFonts w:cstheme="minorHAnsi"/>
          <w:sz w:val="24"/>
          <w:szCs w:val="24"/>
        </w:rPr>
        <w:t xml:space="preserve"> </w:t>
      </w:r>
      <w:r>
        <w:rPr>
          <w:rFonts w:cstheme="minorHAnsi"/>
          <w:sz w:val="24"/>
          <w:szCs w:val="24"/>
        </w:rPr>
        <w:t>Její p</w:t>
      </w:r>
      <w:r w:rsidRPr="002F5290">
        <w:rPr>
          <w:rFonts w:cstheme="minorHAnsi"/>
          <w:sz w:val="24"/>
          <w:szCs w:val="24"/>
        </w:rPr>
        <w:t>odíl na přepravní práci ve velkých městech může být zhruba třetinový, v menších obcích může být dokonce nejvýznamnějším druhem dopravy</w:t>
      </w:r>
      <w:r>
        <w:rPr>
          <w:rStyle w:val="Znakapoznpodarou"/>
          <w:rFonts w:cstheme="minorHAnsi"/>
          <w:sz w:val="24"/>
          <w:szCs w:val="24"/>
        </w:rPr>
        <w:footnoteReference w:id="20"/>
      </w:r>
      <w:r w:rsidRPr="002F5290">
        <w:rPr>
          <w:rFonts w:cstheme="minorHAnsi"/>
          <w:sz w:val="24"/>
          <w:szCs w:val="24"/>
        </w:rPr>
        <w:t>.</w:t>
      </w:r>
    </w:p>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pStyle w:val="Default"/>
        <w:spacing w:line="252" w:lineRule="auto"/>
        <w:contextualSpacing/>
        <w:jc w:val="both"/>
        <w:rPr>
          <w:rFonts w:asciiTheme="minorHAnsi" w:hAnsiTheme="minorHAnsi" w:cstheme="minorHAnsi"/>
        </w:rPr>
      </w:pPr>
      <w:r>
        <w:rPr>
          <w:rFonts w:asciiTheme="minorHAnsi" w:hAnsiTheme="minorHAnsi" w:cstheme="minorHAnsi"/>
        </w:rPr>
        <w:t xml:space="preserve">2.9 </w:t>
      </w:r>
      <w:r w:rsidRPr="002F5290">
        <w:rPr>
          <w:rFonts w:asciiTheme="minorHAnsi" w:hAnsiTheme="minorHAnsi" w:cstheme="minorHAnsi"/>
        </w:rPr>
        <w:t xml:space="preserve">Chodci </w:t>
      </w:r>
      <w:r>
        <w:rPr>
          <w:rFonts w:asciiTheme="minorHAnsi" w:hAnsiTheme="minorHAnsi" w:cstheme="minorHAnsi"/>
        </w:rPr>
        <w:t>jsou</w:t>
      </w:r>
      <w:r w:rsidRPr="002F5290">
        <w:rPr>
          <w:rFonts w:asciiTheme="minorHAnsi" w:hAnsiTheme="minorHAnsi" w:cstheme="minorHAnsi"/>
        </w:rPr>
        <w:t xml:space="preserve"> společně s</w:t>
      </w:r>
      <w:r w:rsidR="009177AC">
        <w:rPr>
          <w:rFonts w:asciiTheme="minorHAnsi" w:hAnsiTheme="minorHAnsi" w:cstheme="minorHAnsi"/>
        </w:rPr>
        <w:t> </w:t>
      </w:r>
      <w:r w:rsidRPr="002F5290">
        <w:rPr>
          <w:rFonts w:asciiTheme="minorHAnsi" w:hAnsiTheme="minorHAnsi" w:cstheme="minorHAnsi"/>
        </w:rPr>
        <w:t>cyklisty</w:t>
      </w:r>
      <w:r w:rsidR="009177AC">
        <w:rPr>
          <w:rFonts w:asciiTheme="minorHAnsi" w:hAnsiTheme="minorHAnsi" w:cstheme="minorHAnsi"/>
        </w:rPr>
        <w:t xml:space="preserve"> </w:t>
      </w:r>
      <w:r w:rsidRPr="002F5290">
        <w:rPr>
          <w:rFonts w:asciiTheme="minorHAnsi" w:hAnsiTheme="minorHAnsi" w:cstheme="minorHAnsi"/>
        </w:rPr>
        <w:t>nejzranitelnějším</w:t>
      </w:r>
      <w:r>
        <w:rPr>
          <w:rFonts w:asciiTheme="minorHAnsi" w:hAnsiTheme="minorHAnsi" w:cstheme="minorHAnsi"/>
        </w:rPr>
        <w:t>i</w:t>
      </w:r>
      <w:r w:rsidRPr="002F5290">
        <w:rPr>
          <w:rFonts w:asciiTheme="minorHAnsi" w:hAnsiTheme="minorHAnsi" w:cstheme="minorHAnsi"/>
        </w:rPr>
        <w:t xml:space="preserve"> účastník</w:t>
      </w:r>
      <w:r>
        <w:rPr>
          <w:rFonts w:asciiTheme="minorHAnsi" w:hAnsiTheme="minorHAnsi" w:cstheme="minorHAnsi"/>
        </w:rPr>
        <w:t>y</w:t>
      </w:r>
      <w:r w:rsidRPr="002F5290">
        <w:rPr>
          <w:rFonts w:asciiTheme="minorHAnsi" w:hAnsiTheme="minorHAnsi" w:cstheme="minorHAnsi"/>
        </w:rPr>
        <w:t xml:space="preserve"> dopravního provozu. Podpora výstavby a rekonstrukcí komunikací pro pěší měla zajistit zvýšení bezpečnosti </w:t>
      </w:r>
      <w:r w:rsidR="00316ECA">
        <w:rPr>
          <w:rFonts w:asciiTheme="minorHAnsi" w:hAnsiTheme="minorHAnsi" w:cstheme="minorHAnsi"/>
        </w:rPr>
        <w:br/>
      </w:r>
      <w:r w:rsidRPr="002F5290">
        <w:rPr>
          <w:rFonts w:asciiTheme="minorHAnsi" w:hAnsiTheme="minorHAnsi" w:cstheme="minorHAnsi"/>
        </w:rPr>
        <w:t xml:space="preserve">a bezbariérovosti těchto komunikací. </w:t>
      </w:r>
      <w:r w:rsidR="009177AC">
        <w:rPr>
          <w:rFonts w:asciiTheme="minorHAnsi" w:hAnsiTheme="minorHAnsi" w:cstheme="minorHAnsi"/>
        </w:rPr>
        <w:t>OSN prostřednictvím c</w:t>
      </w:r>
      <w:r>
        <w:rPr>
          <w:rFonts w:asciiTheme="minorHAnsi" w:hAnsiTheme="minorHAnsi" w:cstheme="minorHAnsi"/>
        </w:rPr>
        <w:t xml:space="preserve">íle </w:t>
      </w:r>
      <w:r w:rsidRPr="00D42C7A">
        <w:rPr>
          <w:rFonts w:asciiTheme="minorHAnsi" w:hAnsiTheme="minorHAnsi" w:cstheme="minorHAnsi"/>
        </w:rPr>
        <w:t xml:space="preserve">udržitelného rozvoje </w:t>
      </w:r>
      <w:r w:rsidRPr="00B12370">
        <w:rPr>
          <w:rFonts w:asciiTheme="minorHAnsi" w:hAnsiTheme="minorHAnsi" w:cstheme="minorHAnsi"/>
        </w:rPr>
        <w:t>„</w:t>
      </w:r>
      <w:r w:rsidR="009177AC" w:rsidRPr="000B29CF">
        <w:rPr>
          <w:rFonts w:asciiTheme="minorHAnsi" w:hAnsiTheme="minorHAnsi" w:cstheme="minorHAnsi"/>
          <w:i/>
          <w:iCs/>
        </w:rPr>
        <w:t>v</w:t>
      </w:r>
      <w:r w:rsidRPr="000B29CF">
        <w:rPr>
          <w:rFonts w:asciiTheme="minorHAnsi" w:hAnsiTheme="minorHAnsi" w:cstheme="minorHAnsi"/>
          <w:i/>
          <w:iCs/>
        </w:rPr>
        <w:t>ytvořit inkluzivní, bezpečná</w:t>
      </w:r>
      <w:r w:rsidR="009177AC">
        <w:rPr>
          <w:rFonts w:asciiTheme="minorHAnsi" w:hAnsiTheme="minorHAnsi" w:cstheme="minorHAnsi"/>
          <w:i/>
          <w:iCs/>
        </w:rPr>
        <w:t>, odolná</w:t>
      </w:r>
      <w:r w:rsidRPr="000B29CF">
        <w:rPr>
          <w:rFonts w:asciiTheme="minorHAnsi" w:hAnsiTheme="minorHAnsi" w:cstheme="minorHAnsi"/>
          <w:i/>
          <w:iCs/>
        </w:rPr>
        <w:t xml:space="preserve"> a udržitelná města a obce</w:t>
      </w:r>
      <w:r w:rsidRPr="00B12370">
        <w:rPr>
          <w:rFonts w:asciiTheme="minorHAnsi" w:hAnsiTheme="minorHAnsi" w:cstheme="minorHAnsi"/>
        </w:rPr>
        <w:t xml:space="preserve">“ </w:t>
      </w:r>
      <w:r w:rsidR="009177AC">
        <w:rPr>
          <w:rFonts w:asciiTheme="minorHAnsi" w:hAnsiTheme="minorHAnsi" w:cstheme="minorHAnsi"/>
        </w:rPr>
        <w:t xml:space="preserve">stanovila, že </w:t>
      </w:r>
      <w:r w:rsidRPr="00B12370">
        <w:rPr>
          <w:rFonts w:asciiTheme="minorHAnsi" w:hAnsiTheme="minorHAnsi" w:cstheme="minorHAnsi"/>
        </w:rPr>
        <w:t xml:space="preserve">je </w:t>
      </w:r>
      <w:r w:rsidR="009177AC">
        <w:rPr>
          <w:rFonts w:asciiTheme="minorHAnsi" w:hAnsiTheme="minorHAnsi" w:cstheme="minorHAnsi"/>
        </w:rPr>
        <w:t xml:space="preserve">třeba </w:t>
      </w:r>
      <w:r w:rsidRPr="00B12370">
        <w:rPr>
          <w:rFonts w:asciiTheme="minorHAnsi" w:hAnsiTheme="minorHAnsi" w:cstheme="minorHAnsi"/>
        </w:rPr>
        <w:t>poskytnout do roku 2030 všem přístup k bezpečným, finančně dostupným, snadno přístupným a udržitelným dopravním systémům, zlepšit bezpečnost silničního provozu zejména rozšířením veřejné dopravy, a to vše se zvláštním důrazem na specifické potřeby různých skupin obyvatelstva</w:t>
      </w:r>
      <w:r w:rsidR="00C65565">
        <w:rPr>
          <w:rFonts w:asciiTheme="minorHAnsi" w:hAnsiTheme="minorHAnsi" w:cstheme="minorHAnsi"/>
        </w:rPr>
        <w:t>,</w:t>
      </w:r>
      <w:r w:rsidRPr="00B12370">
        <w:rPr>
          <w:rFonts w:asciiTheme="minorHAnsi" w:hAnsiTheme="minorHAnsi" w:cstheme="minorHAnsi"/>
        </w:rPr>
        <w:t xml:space="preserve"> jako jsou ženy, děti, pečující osoby, osoby se zdravotním postižením nebo senioři.</w:t>
      </w:r>
    </w:p>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cstheme="minorHAnsi"/>
          <w:sz w:val="24"/>
          <w:szCs w:val="24"/>
        </w:rPr>
      </w:pPr>
      <w:bookmarkStart w:id="9" w:name="_Hlk178246915"/>
      <w:r w:rsidRPr="002F5290">
        <w:rPr>
          <w:rFonts w:cstheme="minorHAnsi"/>
          <w:sz w:val="24"/>
          <w:szCs w:val="24"/>
        </w:rPr>
        <w:t>2.</w:t>
      </w:r>
      <w:r>
        <w:rPr>
          <w:rFonts w:cstheme="minorHAnsi"/>
          <w:sz w:val="24"/>
          <w:szCs w:val="24"/>
        </w:rPr>
        <w:t>10</w:t>
      </w:r>
      <w:r w:rsidRPr="002F5290">
        <w:rPr>
          <w:rFonts w:cstheme="minorHAnsi"/>
          <w:sz w:val="24"/>
          <w:szCs w:val="24"/>
        </w:rPr>
        <w:t xml:space="preserve"> Výstavbu a rekonstrukce komunikací pro pěší SFDI podporoval v rámci příspěvků na zvýšení bezpečnosti nebo plynulosti dopravy nebo opatření ke zpřístupňování dopravy osobám s omezenou schopností pohybu nebo orientace. V letech 2014</w:t>
      </w:r>
      <w:r w:rsidR="002E3A32" w:rsidRPr="002F5290">
        <w:rPr>
          <w:rFonts w:cstheme="minorHAnsi"/>
          <w:sz w:val="24"/>
          <w:szCs w:val="24"/>
        </w:rPr>
        <w:t>–</w:t>
      </w:r>
      <w:r w:rsidRPr="002F5290">
        <w:rPr>
          <w:rFonts w:cstheme="minorHAnsi"/>
          <w:sz w:val="24"/>
          <w:szCs w:val="24"/>
        </w:rPr>
        <w:t xml:space="preserve">2023 schválil </w:t>
      </w:r>
      <w:r>
        <w:rPr>
          <w:rFonts w:cstheme="minorHAnsi"/>
          <w:sz w:val="24"/>
          <w:szCs w:val="24"/>
        </w:rPr>
        <w:br/>
      </w:r>
      <w:r w:rsidRPr="002F5290">
        <w:rPr>
          <w:rFonts w:cstheme="minorHAnsi"/>
          <w:sz w:val="24"/>
          <w:szCs w:val="24"/>
        </w:rPr>
        <w:t xml:space="preserve">1 724 projektů, na jejichž podporu poskytl celkem 5 079 mil. Kč. MMR v roli řídicího orgánu IROP na základě pěti </w:t>
      </w:r>
      <w:r w:rsidRPr="002F5290">
        <w:rPr>
          <w:rFonts w:cstheme="minorHAnsi"/>
          <w:sz w:val="24"/>
          <w:szCs w:val="24"/>
          <w:shd w:val="clear" w:color="auto" w:fill="FFFFFF"/>
        </w:rPr>
        <w:t xml:space="preserve">výzev k předkládání </w:t>
      </w:r>
      <w:r w:rsidRPr="002F5290">
        <w:rPr>
          <w:rFonts w:cstheme="minorHAnsi"/>
          <w:sz w:val="24"/>
          <w:szCs w:val="24"/>
        </w:rPr>
        <w:t>žádostí o poskytnutí podpory rozhodlo o poskytnutí podpory 1 461 projektům výstavby a rekonstrukce komunikací pro pěší, na jejichž podporu poskytlo celkem 4 </w:t>
      </w:r>
      <w:r>
        <w:rPr>
          <w:rFonts w:cstheme="minorHAnsi"/>
          <w:sz w:val="24"/>
          <w:szCs w:val="24"/>
        </w:rPr>
        <w:t>457</w:t>
      </w:r>
      <w:r w:rsidRPr="002F5290">
        <w:rPr>
          <w:rFonts w:cstheme="minorHAnsi"/>
          <w:sz w:val="24"/>
          <w:szCs w:val="24"/>
        </w:rPr>
        <w:t xml:space="preserve"> mil. Kč, z toho </w:t>
      </w:r>
      <w:r>
        <w:rPr>
          <w:rFonts w:cstheme="minorHAnsi"/>
          <w:sz w:val="24"/>
          <w:szCs w:val="24"/>
        </w:rPr>
        <w:t>116</w:t>
      </w:r>
      <w:r w:rsidRPr="002F5290">
        <w:rPr>
          <w:rFonts w:cstheme="minorHAnsi"/>
          <w:sz w:val="24"/>
          <w:szCs w:val="24"/>
        </w:rPr>
        <w:t xml:space="preserve"> mil. Kč ze státního rozpočtu a 4 341 mil. Kč ze strukturálních fondů EU</w:t>
      </w:r>
      <w:r w:rsidRPr="0073205E">
        <w:rPr>
          <w:rFonts w:cstheme="minorHAnsi"/>
          <w:sz w:val="24"/>
          <w:szCs w:val="24"/>
        </w:rPr>
        <w:t xml:space="preserve">. Blíže viz </w:t>
      </w:r>
      <w:r w:rsidRPr="007F6B2B">
        <w:rPr>
          <w:rFonts w:cstheme="minorHAnsi"/>
          <w:sz w:val="24"/>
          <w:szCs w:val="24"/>
        </w:rPr>
        <w:t xml:space="preserve">příloha č. </w:t>
      </w:r>
      <w:r w:rsidR="00650F28" w:rsidRPr="007F6B2B">
        <w:rPr>
          <w:rFonts w:cstheme="minorHAnsi"/>
          <w:sz w:val="24"/>
          <w:szCs w:val="24"/>
        </w:rPr>
        <w:t>1</w:t>
      </w:r>
      <w:r w:rsidR="00116942">
        <w:rPr>
          <w:rFonts w:cstheme="minorHAnsi"/>
          <w:sz w:val="24"/>
          <w:szCs w:val="24"/>
        </w:rPr>
        <w:t xml:space="preserve"> </w:t>
      </w:r>
      <w:r w:rsidR="009177AC">
        <w:rPr>
          <w:rFonts w:cstheme="minorHAnsi"/>
          <w:sz w:val="24"/>
          <w:szCs w:val="24"/>
        </w:rPr>
        <w:t xml:space="preserve">tohoto </w:t>
      </w:r>
      <w:r w:rsidR="00116942">
        <w:rPr>
          <w:rFonts w:cstheme="minorHAnsi"/>
          <w:sz w:val="24"/>
          <w:szCs w:val="24"/>
        </w:rPr>
        <w:t>kontrolního závěru</w:t>
      </w:r>
      <w:r w:rsidRPr="002F5290">
        <w:rPr>
          <w:rFonts w:cstheme="minorHAnsi"/>
          <w:sz w:val="24"/>
          <w:szCs w:val="24"/>
        </w:rPr>
        <w:t>.</w:t>
      </w:r>
    </w:p>
    <w:bookmarkEnd w:id="9"/>
    <w:p w:rsidR="009962CB" w:rsidRDefault="009962CB" w:rsidP="009962CB">
      <w:pPr>
        <w:spacing w:after="0" w:line="252" w:lineRule="auto"/>
        <w:contextualSpacing/>
        <w:jc w:val="both"/>
        <w:rPr>
          <w:rFonts w:eastAsia="Times New Roman"/>
        </w:rPr>
      </w:pPr>
    </w:p>
    <w:p w:rsidR="009962CB" w:rsidRPr="002F5290" w:rsidRDefault="009962CB" w:rsidP="009962CB">
      <w:pPr>
        <w:spacing w:after="0" w:line="252" w:lineRule="auto"/>
        <w:contextualSpacing/>
        <w:jc w:val="both"/>
        <w:rPr>
          <w:rFonts w:cstheme="minorHAnsi"/>
          <w:sz w:val="24"/>
          <w:szCs w:val="24"/>
        </w:rPr>
      </w:pPr>
      <w:r w:rsidRPr="002F5290">
        <w:rPr>
          <w:rFonts w:cstheme="minorHAnsi"/>
          <w:sz w:val="24"/>
          <w:szCs w:val="24"/>
        </w:rPr>
        <w:t>2.</w:t>
      </w:r>
      <w:r>
        <w:rPr>
          <w:rFonts w:cstheme="minorHAnsi"/>
          <w:sz w:val="24"/>
          <w:szCs w:val="24"/>
        </w:rPr>
        <w:t>11</w:t>
      </w:r>
      <w:r w:rsidRPr="002F5290">
        <w:rPr>
          <w:rFonts w:cstheme="minorHAnsi"/>
          <w:sz w:val="24"/>
          <w:szCs w:val="24"/>
        </w:rPr>
        <w:t xml:space="preserve"> Podmínky poskytnutí podpory z rozpočtu SFDI a z IROP se lišily mj. </w:t>
      </w:r>
      <w:bookmarkStart w:id="10" w:name="_Hlk177357390"/>
      <w:r w:rsidRPr="002F5290">
        <w:rPr>
          <w:rFonts w:cstheme="minorHAnsi"/>
          <w:sz w:val="24"/>
          <w:szCs w:val="24"/>
        </w:rPr>
        <w:t>vymezením okruhu financova</w:t>
      </w:r>
      <w:r w:rsidR="009177AC">
        <w:rPr>
          <w:rFonts w:cstheme="minorHAnsi"/>
          <w:sz w:val="24"/>
          <w:szCs w:val="24"/>
        </w:rPr>
        <w:t>tel</w:t>
      </w:r>
      <w:r w:rsidRPr="002F5290">
        <w:rPr>
          <w:rFonts w:cstheme="minorHAnsi"/>
          <w:sz w:val="24"/>
          <w:szCs w:val="24"/>
        </w:rPr>
        <w:t>ných nákladů i výší podpory.</w:t>
      </w:r>
      <w:bookmarkEnd w:id="10"/>
      <w:r w:rsidRPr="002F5290">
        <w:rPr>
          <w:rFonts w:cstheme="minorHAnsi"/>
          <w:sz w:val="24"/>
          <w:szCs w:val="24"/>
        </w:rPr>
        <w:t xml:space="preserve"> Rozsah tzv. uznatelných nákladů, které mohly být financovány z rozpočtu SFDI, byl užší než rozsah tzv. způsobilých výdajů, které mohly být financovány z IROP. Odlišný byl i podíl spoluúčasti příjemců </w:t>
      </w:r>
      <w:bookmarkStart w:id="11" w:name="_Hlk181336040"/>
      <w:r w:rsidRPr="002F5290">
        <w:rPr>
          <w:rFonts w:cstheme="minorHAnsi"/>
          <w:sz w:val="24"/>
          <w:szCs w:val="24"/>
        </w:rPr>
        <w:t>–</w:t>
      </w:r>
      <w:bookmarkEnd w:id="11"/>
      <w:r w:rsidRPr="002F5290">
        <w:rPr>
          <w:rFonts w:cstheme="minorHAnsi"/>
          <w:sz w:val="24"/>
          <w:szCs w:val="24"/>
        </w:rPr>
        <w:t xml:space="preserve"> z rozpočtu SFDI </w:t>
      </w:r>
      <w:r>
        <w:rPr>
          <w:rFonts w:cstheme="minorHAnsi"/>
          <w:sz w:val="24"/>
          <w:szCs w:val="24"/>
        </w:rPr>
        <w:t>bylo</w:t>
      </w:r>
      <w:r w:rsidRPr="002F5290">
        <w:rPr>
          <w:rFonts w:cstheme="minorHAnsi"/>
          <w:sz w:val="24"/>
          <w:szCs w:val="24"/>
        </w:rPr>
        <w:t xml:space="preserve"> financováno až 85 % uznatelných nákladů, z IROP až 90 %, resp. 95 % způsobilých výdajů podle typu žadatele a specifického cíle, k němuž </w:t>
      </w:r>
      <w:r>
        <w:rPr>
          <w:rFonts w:cstheme="minorHAnsi"/>
          <w:sz w:val="24"/>
          <w:szCs w:val="24"/>
        </w:rPr>
        <w:t>byla</w:t>
      </w:r>
      <w:r w:rsidRPr="002F5290">
        <w:rPr>
          <w:rFonts w:cstheme="minorHAnsi"/>
          <w:sz w:val="24"/>
          <w:szCs w:val="24"/>
        </w:rPr>
        <w:t xml:space="preserve"> žádost o podporu vztažena. Vedle toho mohly projekty v rámci celkových nákladů </w:t>
      </w:r>
      <w:r>
        <w:rPr>
          <w:rFonts w:cstheme="minorHAnsi"/>
          <w:sz w:val="24"/>
          <w:szCs w:val="24"/>
        </w:rPr>
        <w:t>obsah</w:t>
      </w:r>
      <w:r w:rsidRPr="002F5290">
        <w:rPr>
          <w:rFonts w:cstheme="minorHAnsi"/>
          <w:sz w:val="24"/>
          <w:szCs w:val="24"/>
        </w:rPr>
        <w:t xml:space="preserve">ovat i další náklady, na které </w:t>
      </w:r>
      <w:r w:rsidR="009177AC">
        <w:rPr>
          <w:rFonts w:cstheme="minorHAnsi"/>
          <w:sz w:val="24"/>
          <w:szCs w:val="24"/>
        </w:rPr>
        <w:t xml:space="preserve">však </w:t>
      </w:r>
      <w:r w:rsidRPr="002F5290">
        <w:rPr>
          <w:rFonts w:cstheme="minorHAnsi"/>
          <w:sz w:val="24"/>
          <w:szCs w:val="24"/>
        </w:rPr>
        <w:t>nebylo možno čerpat podporu. Do těchto neuznatelných nákladů</w:t>
      </w:r>
      <w:r w:rsidR="009177AC">
        <w:rPr>
          <w:rFonts w:cstheme="minorHAnsi"/>
          <w:sz w:val="24"/>
          <w:szCs w:val="24"/>
        </w:rPr>
        <w:t xml:space="preserve"> </w:t>
      </w:r>
      <w:r w:rsidRPr="002F5290">
        <w:rPr>
          <w:rFonts w:cstheme="minorHAnsi"/>
          <w:sz w:val="24"/>
          <w:szCs w:val="24"/>
        </w:rPr>
        <w:t>/</w:t>
      </w:r>
      <w:r w:rsidR="009177AC">
        <w:rPr>
          <w:rFonts w:cstheme="minorHAnsi"/>
          <w:sz w:val="24"/>
          <w:szCs w:val="24"/>
        </w:rPr>
        <w:t xml:space="preserve"> </w:t>
      </w:r>
      <w:r w:rsidRPr="002F5290">
        <w:rPr>
          <w:rFonts w:cstheme="minorHAnsi"/>
          <w:sz w:val="24"/>
          <w:szCs w:val="24"/>
        </w:rPr>
        <w:t xml:space="preserve">nezpůsobilých výdajů </w:t>
      </w:r>
      <w:r w:rsidR="009177AC" w:rsidRPr="002F5290">
        <w:rPr>
          <w:rFonts w:cstheme="minorHAnsi"/>
          <w:sz w:val="24"/>
          <w:szCs w:val="24"/>
        </w:rPr>
        <w:t xml:space="preserve">mohly </w:t>
      </w:r>
      <w:r w:rsidRPr="002F5290">
        <w:rPr>
          <w:rFonts w:cstheme="minorHAnsi"/>
          <w:sz w:val="24"/>
          <w:szCs w:val="24"/>
        </w:rPr>
        <w:t>obce zařadit stavební práce a dodávky, které nemusely mít s bezpečností a bezbariérovost</w:t>
      </w:r>
      <w:r>
        <w:rPr>
          <w:rFonts w:cstheme="minorHAnsi"/>
          <w:sz w:val="24"/>
          <w:szCs w:val="24"/>
        </w:rPr>
        <w:t>í</w:t>
      </w:r>
      <w:r w:rsidRPr="002F5290">
        <w:rPr>
          <w:rFonts w:cstheme="minorHAnsi"/>
          <w:sz w:val="24"/>
          <w:szCs w:val="24"/>
        </w:rPr>
        <w:t xml:space="preserve"> komunikací pro pěší přímou souvislost (např. přípravu území mimo stavbu, úpravy přilehlých komunikací, vybudování parkovišť atd.). </w:t>
      </w:r>
    </w:p>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cstheme="minorHAnsi"/>
          <w:sz w:val="24"/>
          <w:szCs w:val="24"/>
        </w:rPr>
      </w:pPr>
    </w:p>
    <w:p w:rsidR="009962CB" w:rsidRPr="009962CB" w:rsidRDefault="009962CB" w:rsidP="009962CB">
      <w:pPr>
        <w:pStyle w:val="Nadpis1"/>
        <w:tabs>
          <w:tab w:val="left" w:pos="2835"/>
        </w:tabs>
        <w:spacing w:before="0" w:after="0" w:line="252" w:lineRule="auto"/>
        <w:contextualSpacing/>
        <w:jc w:val="center"/>
        <w:rPr>
          <w:rFonts w:asciiTheme="minorHAnsi" w:hAnsiTheme="minorHAnsi" w:cstheme="minorHAnsi"/>
          <w:sz w:val="28"/>
          <w:szCs w:val="28"/>
        </w:rPr>
      </w:pPr>
      <w:r w:rsidRPr="009962CB">
        <w:rPr>
          <w:rFonts w:asciiTheme="minorHAnsi" w:hAnsiTheme="minorHAnsi" w:cstheme="minorHAnsi"/>
          <w:sz w:val="28"/>
          <w:szCs w:val="28"/>
        </w:rPr>
        <w:t>III. Rozsah kontroly</w:t>
      </w:r>
    </w:p>
    <w:p w:rsidR="009962CB" w:rsidRPr="002F5290" w:rsidRDefault="009962CB" w:rsidP="009962CB">
      <w:pPr>
        <w:pStyle w:val="Default"/>
        <w:keepNext/>
        <w:tabs>
          <w:tab w:val="left" w:pos="3481"/>
        </w:tabs>
        <w:spacing w:line="252" w:lineRule="auto"/>
        <w:contextualSpacing/>
        <w:jc w:val="center"/>
        <w:rPr>
          <w:rFonts w:asciiTheme="minorHAnsi" w:eastAsia="Arial Unicode MS" w:hAnsiTheme="minorHAnsi" w:cstheme="minorHAnsi"/>
          <w:b/>
          <w:bCs/>
          <w:color w:val="auto"/>
        </w:rPr>
      </w:pPr>
    </w:p>
    <w:p w:rsidR="009962CB" w:rsidRPr="002F5290" w:rsidRDefault="009962CB" w:rsidP="009962CB">
      <w:pPr>
        <w:spacing w:after="0" w:line="252" w:lineRule="auto"/>
        <w:contextualSpacing/>
        <w:jc w:val="both"/>
        <w:rPr>
          <w:rFonts w:eastAsia="Arial Unicode MS" w:cstheme="minorHAnsi"/>
          <w:bCs/>
          <w:sz w:val="24"/>
          <w:szCs w:val="24"/>
          <w:lang w:eastAsia="cs-CZ"/>
        </w:rPr>
      </w:pPr>
      <w:r w:rsidRPr="002F5290">
        <w:rPr>
          <w:rFonts w:eastAsia="Arial Unicode MS" w:cstheme="minorHAnsi"/>
          <w:bCs/>
          <w:sz w:val="24"/>
          <w:szCs w:val="24"/>
          <w:lang w:eastAsia="cs-CZ"/>
        </w:rPr>
        <w:t xml:space="preserve">3.1 NKÚ prověřoval poskytování, čerpání a použití peněžních prostředků státu a peněžních prostředků EU, které byly určeny na výstavbu a rekonstrukce komunikací pro pěší. Cílem kontroly bylo prověřit, zda jsou peněžní prostředky státu a Evropské unie určené na výstavbu a rekonstrukce komunikací pro pěší vynakládány účelně, hospodárně a v souladu </w:t>
      </w:r>
      <w:r w:rsidRPr="002F5290">
        <w:rPr>
          <w:rFonts w:eastAsia="Arial Unicode MS" w:cstheme="minorHAnsi"/>
          <w:bCs/>
          <w:sz w:val="24"/>
          <w:szCs w:val="24"/>
          <w:lang w:eastAsia="cs-CZ"/>
        </w:rPr>
        <w:br/>
        <w:t>s právními předpisy.</w:t>
      </w:r>
    </w:p>
    <w:p w:rsidR="009962CB" w:rsidRPr="002F5290" w:rsidRDefault="009962CB" w:rsidP="009962CB">
      <w:pPr>
        <w:spacing w:after="0" w:line="252" w:lineRule="auto"/>
        <w:contextualSpacing/>
        <w:jc w:val="both"/>
        <w:rPr>
          <w:rFonts w:eastAsia="Arial Unicode MS" w:cstheme="minorHAnsi"/>
          <w:bCs/>
          <w:sz w:val="24"/>
          <w:szCs w:val="24"/>
          <w:lang w:eastAsia="cs-CZ"/>
        </w:rPr>
      </w:pPr>
    </w:p>
    <w:p w:rsidR="009962CB" w:rsidRPr="002F5290" w:rsidRDefault="009962CB" w:rsidP="009962CB">
      <w:pPr>
        <w:spacing w:after="0" w:line="252" w:lineRule="auto"/>
        <w:contextualSpacing/>
        <w:jc w:val="both"/>
        <w:rPr>
          <w:rFonts w:cstheme="minorHAnsi"/>
          <w:sz w:val="24"/>
          <w:szCs w:val="24"/>
        </w:rPr>
      </w:pPr>
      <w:bookmarkStart w:id="12" w:name="_Hlk177357600"/>
      <w:r w:rsidRPr="002F5290">
        <w:rPr>
          <w:rFonts w:cstheme="minorHAnsi"/>
          <w:sz w:val="24"/>
          <w:szCs w:val="24"/>
        </w:rPr>
        <w:t>3.2 Při kontrole MD se NKÚ zaměřil na jeho koncepční, koordinační, řídicí a kontrolní činnost při stanovení priorit a cílů podpory výstavby a rekonstrukcí komunikací pro pěší a při vyhodnocování jejích výsledků. Na SFDI byla kontrola NKÚ zaměřena na jeho postup při poskytování této podpory a dále na její použití v podpořených projektech. V případě MMR NKÚ prověřoval jeho činnost</w:t>
      </w:r>
      <w:r>
        <w:rPr>
          <w:rFonts w:cstheme="minorHAnsi"/>
          <w:sz w:val="24"/>
          <w:szCs w:val="24"/>
        </w:rPr>
        <w:t>i</w:t>
      </w:r>
      <w:r w:rsidRPr="002F5290">
        <w:rPr>
          <w:rFonts w:cstheme="minorHAnsi"/>
          <w:sz w:val="24"/>
          <w:szCs w:val="24"/>
        </w:rPr>
        <w:t xml:space="preserve"> v roli řídicího orgánu </w:t>
      </w:r>
      <w:r w:rsidRPr="002F5290">
        <w:rPr>
          <w:rFonts w:cstheme="minorHAnsi"/>
          <w:bCs/>
          <w:sz w:val="24"/>
          <w:szCs w:val="24"/>
          <w:shd w:val="clear" w:color="auto" w:fill="FFFFFF"/>
        </w:rPr>
        <w:t>IROP a</w:t>
      </w:r>
      <w:r w:rsidR="00BA4C36">
        <w:rPr>
          <w:rFonts w:cstheme="minorHAnsi"/>
          <w:bCs/>
          <w:sz w:val="24"/>
          <w:szCs w:val="24"/>
          <w:shd w:val="clear" w:color="auto" w:fill="FFFFFF"/>
        </w:rPr>
        <w:t xml:space="preserve"> </w:t>
      </w:r>
      <w:r w:rsidRPr="002F5290">
        <w:rPr>
          <w:rFonts w:cstheme="minorHAnsi"/>
          <w:bCs/>
          <w:sz w:val="24"/>
          <w:szCs w:val="24"/>
          <w:shd w:val="clear" w:color="auto" w:fill="FFFFFF"/>
        </w:rPr>
        <w:t xml:space="preserve">IROP2 související s poskytováním </w:t>
      </w:r>
      <w:r w:rsidRPr="002F5290">
        <w:rPr>
          <w:rFonts w:cstheme="minorHAnsi"/>
          <w:sz w:val="24"/>
          <w:szCs w:val="24"/>
        </w:rPr>
        <w:t>podpory projektům výstavby a rekonstrukcí komunikací pro pěší</w:t>
      </w:r>
      <w:r>
        <w:rPr>
          <w:rFonts w:cstheme="minorHAnsi"/>
          <w:sz w:val="24"/>
          <w:szCs w:val="24"/>
        </w:rPr>
        <w:t xml:space="preserve"> a zaměřil se na</w:t>
      </w:r>
      <w:r w:rsidRPr="002F5290">
        <w:rPr>
          <w:rFonts w:cstheme="minorHAnsi"/>
          <w:sz w:val="24"/>
          <w:szCs w:val="24"/>
        </w:rPr>
        <w:t xml:space="preserve"> rozhodování </w:t>
      </w:r>
      <w:r>
        <w:rPr>
          <w:rFonts w:cstheme="minorHAnsi"/>
          <w:sz w:val="24"/>
          <w:szCs w:val="24"/>
        </w:rPr>
        <w:t xml:space="preserve">MMR </w:t>
      </w:r>
      <w:r w:rsidRPr="002F5290">
        <w:rPr>
          <w:rFonts w:cstheme="minorHAnsi"/>
          <w:sz w:val="24"/>
          <w:szCs w:val="24"/>
        </w:rPr>
        <w:t>o poskytnutí podpory</w:t>
      </w:r>
      <w:r>
        <w:rPr>
          <w:rFonts w:cstheme="minorHAnsi"/>
          <w:sz w:val="24"/>
          <w:szCs w:val="24"/>
        </w:rPr>
        <w:t xml:space="preserve"> z IROP</w:t>
      </w:r>
      <w:r w:rsidRPr="002F5290">
        <w:rPr>
          <w:rFonts w:cstheme="minorHAnsi"/>
          <w:sz w:val="24"/>
          <w:szCs w:val="24"/>
        </w:rPr>
        <w:t xml:space="preserve"> a dále </w:t>
      </w:r>
      <w:r>
        <w:rPr>
          <w:rFonts w:cstheme="minorHAnsi"/>
          <w:sz w:val="24"/>
          <w:szCs w:val="24"/>
        </w:rPr>
        <w:t xml:space="preserve">na </w:t>
      </w:r>
      <w:r w:rsidRPr="002F5290">
        <w:rPr>
          <w:rFonts w:cstheme="minorHAnsi"/>
          <w:sz w:val="24"/>
          <w:szCs w:val="24"/>
        </w:rPr>
        <w:t xml:space="preserve">její použití v podpořených projektech. Na CRR NKÚ </w:t>
      </w:r>
      <w:r>
        <w:rPr>
          <w:rFonts w:cstheme="minorHAnsi"/>
          <w:sz w:val="24"/>
          <w:szCs w:val="24"/>
        </w:rPr>
        <w:t>kontroloval především</w:t>
      </w:r>
      <w:r w:rsidRPr="002F5290">
        <w:rPr>
          <w:rFonts w:cstheme="minorHAnsi"/>
          <w:sz w:val="24"/>
          <w:szCs w:val="24"/>
        </w:rPr>
        <w:t xml:space="preserve"> administraci projektů </w:t>
      </w:r>
      <w:r>
        <w:rPr>
          <w:rFonts w:cstheme="minorHAnsi"/>
          <w:sz w:val="24"/>
          <w:szCs w:val="24"/>
        </w:rPr>
        <w:t xml:space="preserve">IROP </w:t>
      </w:r>
      <w:r w:rsidRPr="002F5290">
        <w:rPr>
          <w:rFonts w:cstheme="minorHAnsi"/>
          <w:sz w:val="24"/>
          <w:szCs w:val="24"/>
        </w:rPr>
        <w:t>vybraných ke kontrole.</w:t>
      </w:r>
    </w:p>
    <w:bookmarkEnd w:id="12"/>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eastAsiaTheme="majorEastAsia" w:cstheme="minorHAnsi"/>
          <w:sz w:val="24"/>
          <w:szCs w:val="24"/>
        </w:rPr>
      </w:pPr>
      <w:r w:rsidRPr="002F5290">
        <w:rPr>
          <w:rFonts w:cstheme="minorHAnsi"/>
          <w:sz w:val="24"/>
          <w:szCs w:val="24"/>
        </w:rPr>
        <w:t xml:space="preserve">3.3 </w:t>
      </w:r>
      <w:bookmarkStart w:id="13" w:name="_Hlk178142485"/>
      <w:r w:rsidRPr="002F5290">
        <w:rPr>
          <w:rFonts w:cstheme="minorHAnsi"/>
          <w:sz w:val="24"/>
          <w:szCs w:val="24"/>
        </w:rPr>
        <w:t>Kontrolu poskytování a použití podpory NKÚ provedl na vzorcích projektů</w:t>
      </w:r>
      <w:bookmarkEnd w:id="13"/>
      <w:r w:rsidRPr="002F5290">
        <w:rPr>
          <w:rFonts w:cstheme="minorHAnsi"/>
          <w:sz w:val="24"/>
          <w:szCs w:val="24"/>
        </w:rPr>
        <w:t xml:space="preserve">. </w:t>
      </w:r>
      <w:r w:rsidRPr="002F5290">
        <w:rPr>
          <w:rFonts w:eastAsiaTheme="majorEastAsia" w:cstheme="minorHAnsi"/>
          <w:sz w:val="24"/>
          <w:szCs w:val="24"/>
        </w:rPr>
        <w:t xml:space="preserve">Při výběru </w:t>
      </w:r>
      <w:r w:rsidR="004218C8">
        <w:rPr>
          <w:rFonts w:eastAsiaTheme="majorEastAsia" w:cstheme="minorHAnsi"/>
          <w:sz w:val="24"/>
          <w:szCs w:val="24"/>
        </w:rPr>
        <w:t xml:space="preserve">těchto </w:t>
      </w:r>
      <w:r w:rsidRPr="002F5290">
        <w:rPr>
          <w:rFonts w:eastAsiaTheme="majorEastAsia" w:cstheme="minorHAnsi"/>
          <w:sz w:val="24"/>
          <w:szCs w:val="24"/>
        </w:rPr>
        <w:t>vzorků projektů financovaných z rozpočtu SFDI a z IROP použil následující kritéria:</w:t>
      </w:r>
    </w:p>
    <w:p w:rsidR="009962CB" w:rsidRPr="002F5290" w:rsidRDefault="009962CB" w:rsidP="009962CB">
      <w:pPr>
        <w:pStyle w:val="Odstavecseseznamem"/>
        <w:numPr>
          <w:ilvl w:val="0"/>
          <w:numId w:val="6"/>
        </w:numPr>
        <w:autoSpaceDE w:val="0"/>
        <w:autoSpaceDN w:val="0"/>
        <w:adjustRightInd w:val="0"/>
        <w:spacing w:after="0" w:line="252" w:lineRule="auto"/>
        <w:ind w:left="284" w:hanging="218"/>
        <w:jc w:val="both"/>
        <w:rPr>
          <w:rFonts w:cstheme="minorHAnsi"/>
          <w:sz w:val="24"/>
          <w:szCs w:val="24"/>
        </w:rPr>
      </w:pPr>
      <w:r w:rsidRPr="002F5290">
        <w:rPr>
          <w:rFonts w:cstheme="minorHAnsi"/>
          <w:sz w:val="24"/>
          <w:szCs w:val="24"/>
        </w:rPr>
        <w:t>p</w:t>
      </w:r>
      <w:r w:rsidRPr="002F5290">
        <w:rPr>
          <w:rFonts w:eastAsiaTheme="majorEastAsia" w:cstheme="minorHAnsi"/>
          <w:sz w:val="24"/>
          <w:szCs w:val="24"/>
        </w:rPr>
        <w:t>rojekty zahrnující výstavbu a projekty zahrnující rekonstrukce komunikací pro pěší,</w:t>
      </w:r>
    </w:p>
    <w:p w:rsidR="009962CB" w:rsidRPr="002F5290" w:rsidRDefault="009962CB" w:rsidP="009962CB">
      <w:pPr>
        <w:pStyle w:val="Odstavecseseznamem"/>
        <w:numPr>
          <w:ilvl w:val="0"/>
          <w:numId w:val="6"/>
        </w:numPr>
        <w:autoSpaceDE w:val="0"/>
        <w:autoSpaceDN w:val="0"/>
        <w:adjustRightInd w:val="0"/>
        <w:spacing w:after="0" w:line="252" w:lineRule="auto"/>
        <w:ind w:left="284" w:hanging="218"/>
        <w:jc w:val="both"/>
        <w:rPr>
          <w:rFonts w:cstheme="minorHAnsi"/>
          <w:sz w:val="24"/>
          <w:szCs w:val="24"/>
        </w:rPr>
      </w:pPr>
      <w:r w:rsidRPr="002F5290">
        <w:rPr>
          <w:rFonts w:cstheme="minorHAnsi"/>
          <w:sz w:val="24"/>
          <w:szCs w:val="24"/>
        </w:rPr>
        <w:t>projekty financované v různých letech (SFDI), resp. v různých výzvách IROP,</w:t>
      </w:r>
    </w:p>
    <w:p w:rsidR="009962CB" w:rsidRPr="002F5290" w:rsidRDefault="009962CB" w:rsidP="009962CB">
      <w:pPr>
        <w:pStyle w:val="Odstavecseseznamem"/>
        <w:numPr>
          <w:ilvl w:val="0"/>
          <w:numId w:val="6"/>
        </w:numPr>
        <w:autoSpaceDE w:val="0"/>
        <w:autoSpaceDN w:val="0"/>
        <w:adjustRightInd w:val="0"/>
        <w:spacing w:after="0" w:line="252" w:lineRule="auto"/>
        <w:ind w:left="284" w:hanging="218"/>
        <w:jc w:val="both"/>
        <w:rPr>
          <w:rFonts w:cstheme="minorHAnsi"/>
          <w:sz w:val="24"/>
          <w:szCs w:val="24"/>
        </w:rPr>
      </w:pPr>
      <w:r w:rsidRPr="002F5290">
        <w:rPr>
          <w:rFonts w:cstheme="minorHAnsi"/>
          <w:sz w:val="24"/>
          <w:szCs w:val="24"/>
        </w:rPr>
        <w:t>projekty s různou výší podpory,</w:t>
      </w:r>
    </w:p>
    <w:p w:rsidR="009962CB" w:rsidRPr="002F5290" w:rsidRDefault="009962CB" w:rsidP="009962CB">
      <w:pPr>
        <w:pStyle w:val="Odstavecseseznamem"/>
        <w:numPr>
          <w:ilvl w:val="0"/>
          <w:numId w:val="6"/>
        </w:numPr>
        <w:autoSpaceDE w:val="0"/>
        <w:autoSpaceDN w:val="0"/>
        <w:adjustRightInd w:val="0"/>
        <w:spacing w:after="0" w:line="252" w:lineRule="auto"/>
        <w:ind w:left="284" w:hanging="218"/>
        <w:jc w:val="both"/>
        <w:rPr>
          <w:rFonts w:cstheme="minorHAnsi"/>
          <w:sz w:val="24"/>
          <w:szCs w:val="24"/>
        </w:rPr>
      </w:pPr>
      <w:r w:rsidRPr="002F5290">
        <w:rPr>
          <w:rFonts w:cstheme="minorHAnsi"/>
          <w:sz w:val="24"/>
          <w:szCs w:val="24"/>
        </w:rPr>
        <w:t>projekty z</w:t>
      </w:r>
      <w:r w:rsidR="004218C8">
        <w:rPr>
          <w:rFonts w:cstheme="minorHAnsi"/>
          <w:sz w:val="24"/>
          <w:szCs w:val="24"/>
        </w:rPr>
        <w:t xml:space="preserve"> pěti </w:t>
      </w:r>
      <w:r w:rsidRPr="002F5290">
        <w:rPr>
          <w:rFonts w:cstheme="minorHAnsi"/>
          <w:sz w:val="24"/>
          <w:szCs w:val="24"/>
        </w:rPr>
        <w:t>regionů (Středočesk</w:t>
      </w:r>
      <w:r w:rsidR="00BE077B">
        <w:rPr>
          <w:rFonts w:cstheme="minorHAnsi"/>
          <w:sz w:val="24"/>
          <w:szCs w:val="24"/>
        </w:rPr>
        <w:t>ého</w:t>
      </w:r>
      <w:r w:rsidRPr="002F5290">
        <w:rPr>
          <w:rFonts w:cstheme="minorHAnsi"/>
          <w:sz w:val="24"/>
          <w:szCs w:val="24"/>
        </w:rPr>
        <w:t>, Libereck</w:t>
      </w:r>
      <w:r w:rsidR="00BE077B">
        <w:rPr>
          <w:rFonts w:cstheme="minorHAnsi"/>
          <w:sz w:val="24"/>
          <w:szCs w:val="24"/>
        </w:rPr>
        <w:t>ého</w:t>
      </w:r>
      <w:r w:rsidRPr="002F5290">
        <w:rPr>
          <w:rFonts w:cstheme="minorHAnsi"/>
          <w:sz w:val="24"/>
          <w:szCs w:val="24"/>
        </w:rPr>
        <w:t>, Pardubick</w:t>
      </w:r>
      <w:r w:rsidR="00BE077B">
        <w:rPr>
          <w:rFonts w:cstheme="minorHAnsi"/>
          <w:sz w:val="24"/>
          <w:szCs w:val="24"/>
        </w:rPr>
        <w:t>ého</w:t>
      </w:r>
      <w:r w:rsidRPr="002F5290">
        <w:rPr>
          <w:rFonts w:cstheme="minorHAnsi"/>
          <w:sz w:val="24"/>
          <w:szCs w:val="24"/>
        </w:rPr>
        <w:t xml:space="preserve"> a Královéhradeck</w:t>
      </w:r>
      <w:r w:rsidR="00BE077B">
        <w:rPr>
          <w:rFonts w:cstheme="minorHAnsi"/>
          <w:sz w:val="24"/>
          <w:szCs w:val="24"/>
        </w:rPr>
        <w:t>ého</w:t>
      </w:r>
      <w:r w:rsidRPr="002F5290">
        <w:rPr>
          <w:rFonts w:cstheme="minorHAnsi"/>
          <w:sz w:val="24"/>
          <w:szCs w:val="24"/>
        </w:rPr>
        <w:t xml:space="preserve"> kraj</w:t>
      </w:r>
      <w:r w:rsidR="00BE077B">
        <w:rPr>
          <w:rFonts w:cstheme="minorHAnsi"/>
          <w:sz w:val="24"/>
          <w:szCs w:val="24"/>
        </w:rPr>
        <w:t>e</w:t>
      </w:r>
      <w:r w:rsidRPr="002F5290">
        <w:rPr>
          <w:rFonts w:cstheme="minorHAnsi"/>
          <w:sz w:val="24"/>
          <w:szCs w:val="24"/>
        </w:rPr>
        <w:t xml:space="preserve"> </w:t>
      </w:r>
      <w:r w:rsidR="00BE077B">
        <w:rPr>
          <w:rFonts w:cstheme="minorHAnsi"/>
          <w:sz w:val="24"/>
          <w:szCs w:val="24"/>
        </w:rPr>
        <w:t>a K</w:t>
      </w:r>
      <w:r w:rsidRPr="002F5290">
        <w:rPr>
          <w:rFonts w:cstheme="minorHAnsi"/>
          <w:sz w:val="24"/>
          <w:szCs w:val="24"/>
        </w:rPr>
        <w:t>raj</w:t>
      </w:r>
      <w:r w:rsidR="00BE077B">
        <w:rPr>
          <w:rFonts w:cstheme="minorHAnsi"/>
          <w:sz w:val="24"/>
          <w:szCs w:val="24"/>
        </w:rPr>
        <w:t>e</w:t>
      </w:r>
      <w:r w:rsidRPr="002F5290">
        <w:rPr>
          <w:rFonts w:cstheme="minorHAnsi"/>
          <w:sz w:val="24"/>
          <w:szCs w:val="24"/>
        </w:rPr>
        <w:t xml:space="preserve"> Vysočina),</w:t>
      </w:r>
    </w:p>
    <w:p w:rsidR="009962CB" w:rsidRPr="002F5290" w:rsidRDefault="009962CB" w:rsidP="009962CB">
      <w:pPr>
        <w:pStyle w:val="Odstavecseseznamem"/>
        <w:numPr>
          <w:ilvl w:val="0"/>
          <w:numId w:val="6"/>
        </w:numPr>
        <w:autoSpaceDE w:val="0"/>
        <w:autoSpaceDN w:val="0"/>
        <w:adjustRightInd w:val="0"/>
        <w:spacing w:after="0" w:line="252" w:lineRule="auto"/>
        <w:ind w:left="284" w:hanging="218"/>
        <w:jc w:val="both"/>
        <w:rPr>
          <w:rFonts w:cstheme="minorHAnsi"/>
          <w:sz w:val="24"/>
          <w:szCs w:val="24"/>
        </w:rPr>
      </w:pPr>
      <w:r w:rsidRPr="002F5290">
        <w:rPr>
          <w:rFonts w:cstheme="minorHAnsi"/>
          <w:sz w:val="24"/>
          <w:szCs w:val="24"/>
        </w:rPr>
        <w:t>zahrnutí příjemců s více podpořenými projekty.</w:t>
      </w:r>
    </w:p>
    <w:p w:rsidR="009962CB" w:rsidRPr="002F5290" w:rsidRDefault="009962CB" w:rsidP="009962CB">
      <w:pPr>
        <w:spacing w:after="0" w:line="252" w:lineRule="auto"/>
        <w:contextualSpacing/>
        <w:jc w:val="both"/>
        <w:rPr>
          <w:rFonts w:eastAsiaTheme="majorEastAsia" w:cstheme="minorHAnsi"/>
          <w:sz w:val="24"/>
          <w:szCs w:val="24"/>
        </w:rPr>
      </w:pPr>
    </w:p>
    <w:p w:rsidR="009962CB" w:rsidRPr="002F5290" w:rsidRDefault="009962CB" w:rsidP="009962CB">
      <w:pPr>
        <w:spacing w:after="0" w:line="252" w:lineRule="auto"/>
        <w:contextualSpacing/>
        <w:jc w:val="both"/>
        <w:rPr>
          <w:rFonts w:eastAsiaTheme="majorEastAsia" w:cstheme="minorHAnsi"/>
          <w:sz w:val="24"/>
          <w:szCs w:val="24"/>
        </w:rPr>
      </w:pPr>
      <w:r w:rsidRPr="002F5290">
        <w:rPr>
          <w:rFonts w:eastAsiaTheme="majorEastAsia" w:cstheme="minorHAnsi"/>
          <w:sz w:val="24"/>
          <w:szCs w:val="24"/>
        </w:rPr>
        <w:t xml:space="preserve">3.4 Vybrané vzorky 64 projektů financovaných z rozpočtu SFDI a 52 projektů financovaných z IROP NKÚ použil především pro orientační porovnání jednotkových nákladů projektů (podíl </w:t>
      </w:r>
      <w:r w:rsidRPr="002F5290">
        <w:rPr>
          <w:rFonts w:eastAsia="Arial Unicode MS" w:cstheme="minorHAnsi"/>
          <w:bCs/>
          <w:sz w:val="24"/>
          <w:szCs w:val="24"/>
          <w:lang w:eastAsia="cs-CZ"/>
        </w:rPr>
        <w:t xml:space="preserve">uznatelných nákladů, resp. způsobilých výdajů a délky vybudovaných nebo rekonstruovaných úseků komunikací pro pěší). </w:t>
      </w:r>
      <w:r w:rsidRPr="002F5290">
        <w:rPr>
          <w:rFonts w:eastAsiaTheme="majorEastAsia" w:cstheme="minorHAnsi"/>
          <w:sz w:val="24"/>
          <w:szCs w:val="24"/>
        </w:rPr>
        <w:t xml:space="preserve">Z uvedených vzorků NKÚ náhodným výběrem vybral dva užší vzorky po 10 projektech, na nichž provedl zejména </w:t>
      </w:r>
      <w:r w:rsidRPr="002F5290">
        <w:rPr>
          <w:rFonts w:cstheme="minorHAnsi"/>
          <w:sz w:val="24"/>
          <w:szCs w:val="24"/>
        </w:rPr>
        <w:t xml:space="preserve">kontrolu dodržení podmínek poskytnutí podpory, účelnosti a hospodárnosti použití poskytnuté podpory, transparentnosti výběru projektů a vyhodnocení jejich výsledků. </w:t>
      </w:r>
    </w:p>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cstheme="minorHAnsi"/>
          <w:sz w:val="24"/>
          <w:szCs w:val="24"/>
        </w:rPr>
      </w:pPr>
      <w:r w:rsidRPr="002F5290">
        <w:rPr>
          <w:rFonts w:cstheme="minorHAnsi"/>
          <w:sz w:val="24"/>
          <w:szCs w:val="24"/>
        </w:rPr>
        <w:t xml:space="preserve">3.5 V případě jednoho projektu financovaného z rozpočtu SFDI NKÚ provedl kontrolu jen v omezeném rozsahu, neboť žadatel svou žádost o podporu v době po jejím vyhodnocení </w:t>
      </w:r>
      <w:r w:rsidR="00316ECA">
        <w:rPr>
          <w:rFonts w:cstheme="minorHAnsi"/>
          <w:sz w:val="24"/>
          <w:szCs w:val="24"/>
        </w:rPr>
        <w:br/>
      </w:r>
      <w:r w:rsidRPr="002F5290">
        <w:rPr>
          <w:rFonts w:cstheme="minorHAnsi"/>
          <w:sz w:val="24"/>
          <w:szCs w:val="24"/>
        </w:rPr>
        <w:t xml:space="preserve">a schválení stáhl a podpora na tento projekt nebyla poskytnuta. Tento projekt proto byl nahrazen jiným projektem náhodně vybraným z širšího vzorku 64 projektů. Užší vzorek byl doplněn ještě o jeden cíleně vybraný projekt řešící rekonstrukci chodníku v blízkosti jiného projektu tak, aby bylo možno u obou </w:t>
      </w:r>
      <w:r>
        <w:rPr>
          <w:rFonts w:cstheme="minorHAnsi"/>
          <w:sz w:val="24"/>
          <w:szCs w:val="24"/>
        </w:rPr>
        <w:t xml:space="preserve">efektivně </w:t>
      </w:r>
      <w:r w:rsidRPr="002F5290">
        <w:rPr>
          <w:rFonts w:cstheme="minorHAnsi"/>
          <w:sz w:val="24"/>
          <w:szCs w:val="24"/>
        </w:rPr>
        <w:t xml:space="preserve">provést </w:t>
      </w:r>
      <w:r w:rsidR="00AA7239">
        <w:rPr>
          <w:rFonts w:cstheme="minorHAnsi"/>
          <w:sz w:val="24"/>
          <w:szCs w:val="24"/>
        </w:rPr>
        <w:t>kontrolu na místě</w:t>
      </w:r>
      <w:r w:rsidRPr="002F5290">
        <w:rPr>
          <w:rFonts w:cstheme="minorHAnsi"/>
          <w:sz w:val="24"/>
          <w:szCs w:val="24"/>
        </w:rPr>
        <w:t xml:space="preserve"> v rámci jedné cesty</w:t>
      </w:r>
      <w:r>
        <w:rPr>
          <w:rFonts w:cstheme="minorHAnsi"/>
          <w:sz w:val="24"/>
          <w:szCs w:val="24"/>
        </w:rPr>
        <w:t xml:space="preserve"> kontrolujících NKÚ</w:t>
      </w:r>
      <w:r w:rsidRPr="002F5290">
        <w:rPr>
          <w:rFonts w:cstheme="minorHAnsi"/>
          <w:sz w:val="24"/>
          <w:szCs w:val="24"/>
        </w:rPr>
        <w:t>. Užší vzorek 10 projektů financovaných z IROP byl doplněn o dva cíleně vybrané projekty se zaměřením na příjemce, který zároveň získal podporu pro jiné obdobné projekty z rozpočtu SFDI.</w:t>
      </w:r>
    </w:p>
    <w:p w:rsidR="009962CB" w:rsidRPr="002F5290" w:rsidRDefault="009962CB" w:rsidP="009962CB">
      <w:pPr>
        <w:spacing w:after="0" w:line="252" w:lineRule="auto"/>
        <w:contextualSpacing/>
        <w:jc w:val="both"/>
        <w:rPr>
          <w:rFonts w:cstheme="minorHAnsi"/>
          <w:sz w:val="24"/>
          <w:szCs w:val="24"/>
        </w:rPr>
      </w:pPr>
    </w:p>
    <w:p w:rsidR="009962CB" w:rsidRPr="002F5290" w:rsidRDefault="009962CB" w:rsidP="009962CB">
      <w:pPr>
        <w:spacing w:after="0" w:line="252" w:lineRule="auto"/>
        <w:contextualSpacing/>
        <w:jc w:val="both"/>
        <w:rPr>
          <w:rFonts w:eastAsia="Arial Unicode MS" w:cstheme="minorHAnsi"/>
          <w:bCs/>
          <w:sz w:val="24"/>
          <w:szCs w:val="24"/>
          <w:lang w:eastAsia="cs-CZ"/>
        </w:rPr>
      </w:pPr>
      <w:r w:rsidRPr="002F5290">
        <w:rPr>
          <w:rFonts w:cstheme="minorHAnsi"/>
          <w:sz w:val="24"/>
          <w:szCs w:val="24"/>
        </w:rPr>
        <w:t>3.</w:t>
      </w:r>
      <w:r w:rsidR="004218C8">
        <w:rPr>
          <w:rFonts w:cstheme="minorHAnsi"/>
          <w:sz w:val="24"/>
          <w:szCs w:val="24"/>
        </w:rPr>
        <w:t>6</w:t>
      </w:r>
      <w:r w:rsidRPr="002F5290">
        <w:rPr>
          <w:rFonts w:cstheme="minorHAnsi"/>
          <w:sz w:val="24"/>
          <w:szCs w:val="24"/>
        </w:rPr>
        <w:t xml:space="preserve"> Kontrolu poskytování a použití podpory z rozpočtu SFDI tedy NKÚ provedl na vzorku </w:t>
      </w:r>
      <w:r w:rsidR="00316ECA">
        <w:rPr>
          <w:rFonts w:cstheme="minorHAnsi"/>
          <w:sz w:val="24"/>
          <w:szCs w:val="24"/>
        </w:rPr>
        <w:br/>
      </w:r>
      <w:r w:rsidRPr="002F5290">
        <w:rPr>
          <w:rFonts w:cstheme="minorHAnsi"/>
          <w:sz w:val="24"/>
          <w:szCs w:val="24"/>
        </w:rPr>
        <w:t>11 projektů s </w:t>
      </w:r>
      <w:r w:rsidRPr="002F5290">
        <w:rPr>
          <w:rFonts w:eastAsia="Arial Unicode MS" w:cstheme="minorHAnsi"/>
          <w:bCs/>
          <w:sz w:val="24"/>
          <w:szCs w:val="24"/>
          <w:lang w:eastAsia="cs-CZ"/>
        </w:rPr>
        <w:t xml:space="preserve">celkovým objemem uznatelných nákladů </w:t>
      </w:r>
      <w:r w:rsidRPr="002F5290">
        <w:rPr>
          <w:rFonts w:cstheme="minorHAnsi"/>
          <w:color w:val="000000"/>
          <w:sz w:val="24"/>
          <w:szCs w:val="24"/>
          <w:lang w:eastAsia="cs-CZ"/>
        </w:rPr>
        <w:t>73 404 </w:t>
      </w:r>
      <w:r w:rsidRPr="002F5290">
        <w:rPr>
          <w:rFonts w:eastAsia="Arial Unicode MS" w:cstheme="minorHAnsi"/>
          <w:bCs/>
          <w:sz w:val="24"/>
          <w:szCs w:val="24"/>
          <w:lang w:eastAsia="cs-CZ"/>
        </w:rPr>
        <w:t>036 Kč a s celkovým objemem podpory 58 </w:t>
      </w:r>
      <w:r w:rsidR="003D70B7" w:rsidRPr="002F5290">
        <w:rPr>
          <w:rFonts w:eastAsia="Arial Unicode MS" w:cstheme="minorHAnsi"/>
          <w:bCs/>
          <w:sz w:val="24"/>
          <w:szCs w:val="24"/>
          <w:lang w:eastAsia="cs-CZ"/>
        </w:rPr>
        <w:t>1</w:t>
      </w:r>
      <w:r w:rsidR="003D70B7">
        <w:rPr>
          <w:rFonts w:eastAsia="Arial Unicode MS" w:cstheme="minorHAnsi"/>
          <w:bCs/>
          <w:sz w:val="24"/>
          <w:szCs w:val="24"/>
          <w:lang w:eastAsia="cs-CZ"/>
        </w:rPr>
        <w:t>26</w:t>
      </w:r>
      <w:r w:rsidR="003D70B7" w:rsidRPr="002F5290">
        <w:rPr>
          <w:rFonts w:eastAsia="Arial Unicode MS" w:cstheme="minorHAnsi"/>
          <w:bCs/>
          <w:sz w:val="24"/>
          <w:szCs w:val="24"/>
          <w:lang w:eastAsia="cs-CZ"/>
        </w:rPr>
        <w:t> </w:t>
      </w:r>
      <w:r w:rsidR="003D70B7">
        <w:rPr>
          <w:rFonts w:eastAsia="Arial Unicode MS" w:cstheme="minorHAnsi"/>
          <w:bCs/>
          <w:sz w:val="24"/>
          <w:szCs w:val="24"/>
          <w:lang w:eastAsia="cs-CZ"/>
        </w:rPr>
        <w:t>297</w:t>
      </w:r>
      <w:r w:rsidR="003D70B7" w:rsidRPr="002F5290">
        <w:rPr>
          <w:rFonts w:eastAsia="Arial Unicode MS" w:cstheme="minorHAnsi"/>
          <w:bCs/>
          <w:sz w:val="24"/>
          <w:szCs w:val="24"/>
          <w:lang w:eastAsia="cs-CZ"/>
        </w:rPr>
        <w:t xml:space="preserve"> </w:t>
      </w:r>
      <w:r w:rsidRPr="002F5290">
        <w:rPr>
          <w:rFonts w:eastAsia="Arial Unicode MS" w:cstheme="minorHAnsi"/>
          <w:bCs/>
          <w:sz w:val="24"/>
          <w:szCs w:val="24"/>
          <w:lang w:eastAsia="cs-CZ"/>
        </w:rPr>
        <w:t xml:space="preserve">Kč. Kontrolu poskytování a použití podpory z IROP provedl NKÚ na vzorku 12 projektů s celkovým objemem způsobilých výdajů 87 665 546 Kč a s celkovým objemem podpory 79 901 791 Kč, z toho 76 473 105 Kč z peněžních prostředků EU. </w:t>
      </w:r>
    </w:p>
    <w:p w:rsidR="009962CB" w:rsidRPr="002F5290" w:rsidRDefault="009962CB" w:rsidP="009962CB">
      <w:pPr>
        <w:spacing w:after="0" w:line="252" w:lineRule="auto"/>
        <w:contextualSpacing/>
        <w:jc w:val="both"/>
        <w:rPr>
          <w:rFonts w:eastAsia="Arial Unicode MS" w:cstheme="minorHAnsi"/>
          <w:bCs/>
          <w:sz w:val="24"/>
          <w:szCs w:val="24"/>
          <w:lang w:eastAsia="cs-CZ"/>
        </w:rPr>
      </w:pPr>
    </w:p>
    <w:p w:rsidR="009962CB" w:rsidRDefault="009962CB" w:rsidP="009962CB">
      <w:pPr>
        <w:spacing w:after="0" w:line="252" w:lineRule="auto"/>
        <w:contextualSpacing/>
        <w:jc w:val="both"/>
        <w:rPr>
          <w:rFonts w:cstheme="minorHAnsi"/>
          <w:sz w:val="24"/>
          <w:szCs w:val="24"/>
        </w:rPr>
      </w:pPr>
      <w:r w:rsidRPr="002F5290">
        <w:rPr>
          <w:rFonts w:cstheme="minorHAnsi"/>
          <w:sz w:val="24"/>
          <w:szCs w:val="24"/>
        </w:rPr>
        <w:lastRenderedPageBreak/>
        <w:t>3.</w:t>
      </w:r>
      <w:r w:rsidR="004218C8">
        <w:rPr>
          <w:rFonts w:cstheme="minorHAnsi"/>
          <w:sz w:val="24"/>
          <w:szCs w:val="24"/>
        </w:rPr>
        <w:t>7</w:t>
      </w:r>
      <w:r w:rsidRPr="002F5290">
        <w:rPr>
          <w:rFonts w:cstheme="minorHAnsi"/>
          <w:sz w:val="24"/>
          <w:szCs w:val="24"/>
        </w:rPr>
        <w:t xml:space="preserve"> Při kontrole účelnosti a hospodárnosti vynakládání peněžních prostředků NKÚ </w:t>
      </w:r>
      <w:r>
        <w:rPr>
          <w:rFonts w:cstheme="minorHAnsi"/>
          <w:sz w:val="24"/>
          <w:szCs w:val="24"/>
        </w:rPr>
        <w:t xml:space="preserve">vycházel </w:t>
      </w:r>
      <w:proofErr w:type="gramStart"/>
      <w:r>
        <w:rPr>
          <w:rFonts w:cstheme="minorHAnsi"/>
          <w:sz w:val="24"/>
          <w:szCs w:val="24"/>
        </w:rPr>
        <w:t>ze</w:t>
      </w:r>
      <w:proofErr w:type="gramEnd"/>
      <w:r>
        <w:rPr>
          <w:rFonts w:cstheme="minorHAnsi"/>
          <w:sz w:val="24"/>
          <w:szCs w:val="24"/>
        </w:rPr>
        <w:t xml:space="preserve"> zákonem stanovené</w:t>
      </w:r>
      <w:r w:rsidR="00BE077B">
        <w:rPr>
          <w:rFonts w:cstheme="minorHAnsi"/>
          <w:sz w:val="24"/>
          <w:szCs w:val="24"/>
        </w:rPr>
        <w:t xml:space="preserve"> </w:t>
      </w:r>
      <w:r>
        <w:rPr>
          <w:rFonts w:cstheme="minorHAnsi"/>
          <w:sz w:val="24"/>
          <w:szCs w:val="24"/>
        </w:rPr>
        <w:t>definice těchto kritérií</w:t>
      </w:r>
      <w:r>
        <w:rPr>
          <w:rStyle w:val="Znakapoznpodarou"/>
          <w:rFonts w:cstheme="minorHAnsi"/>
          <w:sz w:val="24"/>
          <w:szCs w:val="24"/>
        </w:rPr>
        <w:footnoteReference w:id="21"/>
      </w:r>
      <w:r>
        <w:rPr>
          <w:rFonts w:cstheme="minorHAnsi"/>
          <w:sz w:val="24"/>
          <w:szCs w:val="24"/>
        </w:rPr>
        <w:t>:</w:t>
      </w:r>
    </w:p>
    <w:p w:rsidR="009962CB" w:rsidRDefault="009962CB" w:rsidP="009962CB">
      <w:pPr>
        <w:pStyle w:val="Odstavecseseznamem"/>
        <w:numPr>
          <w:ilvl w:val="0"/>
          <w:numId w:val="8"/>
        </w:numPr>
        <w:spacing w:after="0" w:line="252" w:lineRule="auto"/>
        <w:ind w:left="426"/>
        <w:jc w:val="both"/>
        <w:rPr>
          <w:rFonts w:cstheme="minorHAnsi"/>
          <w:sz w:val="24"/>
          <w:szCs w:val="24"/>
        </w:rPr>
      </w:pPr>
      <w:r w:rsidRPr="00EA4E48">
        <w:rPr>
          <w:rFonts w:cstheme="minorHAnsi"/>
          <w:sz w:val="24"/>
          <w:szCs w:val="24"/>
        </w:rPr>
        <w:t xml:space="preserve">Účelností je takové použití veřejných prostředků, které zajistí optimální míru dosažení cílů při plnění stanovených úkolů. </w:t>
      </w:r>
    </w:p>
    <w:p w:rsidR="009962CB" w:rsidRDefault="009962CB" w:rsidP="009962CB">
      <w:pPr>
        <w:pStyle w:val="Odstavecseseznamem"/>
        <w:numPr>
          <w:ilvl w:val="0"/>
          <w:numId w:val="8"/>
        </w:numPr>
        <w:spacing w:after="0" w:line="252" w:lineRule="auto"/>
        <w:ind w:left="426"/>
        <w:jc w:val="both"/>
        <w:rPr>
          <w:rFonts w:cstheme="minorHAnsi"/>
          <w:sz w:val="24"/>
          <w:szCs w:val="24"/>
        </w:rPr>
      </w:pPr>
      <w:r w:rsidRPr="00EA4E48">
        <w:rPr>
          <w:rFonts w:cstheme="minorHAnsi"/>
          <w:sz w:val="24"/>
          <w:szCs w:val="24"/>
        </w:rPr>
        <w:t xml:space="preserve">Hospodárností je použití veřejných prostředků k zajištění stanovených úkolů s co nejnižším vynaložením těchto prostředků, a to při dodržení odpovídající kvality plněných úkolů. </w:t>
      </w:r>
    </w:p>
    <w:p w:rsidR="009962CB" w:rsidRPr="003F1F77" w:rsidRDefault="009962CB" w:rsidP="009962CB">
      <w:pPr>
        <w:spacing w:after="0" w:line="252" w:lineRule="auto"/>
        <w:ind w:left="66"/>
        <w:jc w:val="both"/>
        <w:rPr>
          <w:rFonts w:cstheme="minorHAnsi"/>
          <w:sz w:val="24"/>
          <w:szCs w:val="24"/>
        </w:rPr>
      </w:pPr>
      <w:r w:rsidRPr="00EA4E48">
        <w:rPr>
          <w:rFonts w:cstheme="minorHAnsi"/>
          <w:sz w:val="24"/>
          <w:szCs w:val="24"/>
        </w:rPr>
        <w:t xml:space="preserve">Pro aplikaci těchto pojmů na kontrolované projekty NKÚ použil Pomůcku pro vyhodnocení účelnosti a hospodárnosti použití peněžních prostředků určených na podporu projektů, v níž jsou popsána východiska, postupy a kritéria pro tuto část </w:t>
      </w:r>
      <w:r w:rsidRPr="00650F28">
        <w:rPr>
          <w:rFonts w:cstheme="minorHAnsi"/>
          <w:sz w:val="24"/>
          <w:szCs w:val="24"/>
        </w:rPr>
        <w:t>kontroly (</w:t>
      </w:r>
      <w:r w:rsidR="00BE077B">
        <w:rPr>
          <w:rFonts w:cstheme="minorHAnsi"/>
          <w:sz w:val="24"/>
          <w:szCs w:val="24"/>
        </w:rPr>
        <w:t xml:space="preserve">viz </w:t>
      </w:r>
      <w:r w:rsidRPr="00650F28">
        <w:rPr>
          <w:rFonts w:cstheme="minorHAnsi"/>
          <w:sz w:val="24"/>
          <w:szCs w:val="24"/>
        </w:rPr>
        <w:t>příloha č.</w:t>
      </w:r>
      <w:r w:rsidR="00802FDF">
        <w:rPr>
          <w:rFonts w:cstheme="minorHAnsi"/>
          <w:sz w:val="24"/>
          <w:szCs w:val="24"/>
        </w:rPr>
        <w:t xml:space="preserve"> </w:t>
      </w:r>
      <w:r w:rsidR="00650F28" w:rsidRPr="00650F28">
        <w:rPr>
          <w:rFonts w:cstheme="minorHAnsi"/>
          <w:sz w:val="24"/>
          <w:szCs w:val="24"/>
        </w:rPr>
        <w:t>4</w:t>
      </w:r>
      <w:r w:rsidRPr="00650F28">
        <w:rPr>
          <w:rFonts w:cstheme="minorHAnsi"/>
          <w:sz w:val="24"/>
          <w:szCs w:val="24"/>
        </w:rPr>
        <w:t xml:space="preserve"> </w:t>
      </w:r>
      <w:r w:rsidR="00BE077B">
        <w:rPr>
          <w:rFonts w:cstheme="minorHAnsi"/>
          <w:sz w:val="24"/>
          <w:szCs w:val="24"/>
        </w:rPr>
        <w:t xml:space="preserve">tohoto </w:t>
      </w:r>
      <w:r w:rsidRPr="00650F28">
        <w:rPr>
          <w:rFonts w:cstheme="minorHAnsi"/>
          <w:sz w:val="24"/>
          <w:szCs w:val="24"/>
        </w:rPr>
        <w:t>kontrolního</w:t>
      </w:r>
      <w:r w:rsidRPr="00EA4E48">
        <w:rPr>
          <w:rFonts w:cstheme="minorHAnsi"/>
          <w:sz w:val="24"/>
          <w:szCs w:val="24"/>
        </w:rPr>
        <w:t xml:space="preserve"> závěru).</w:t>
      </w:r>
    </w:p>
    <w:p w:rsidR="009962CB" w:rsidRPr="003F1F77" w:rsidRDefault="009962CB" w:rsidP="009962CB">
      <w:pPr>
        <w:spacing w:after="0" w:line="252" w:lineRule="auto"/>
        <w:contextualSpacing/>
        <w:jc w:val="both"/>
        <w:rPr>
          <w:rFonts w:cstheme="minorHAnsi"/>
          <w:sz w:val="24"/>
          <w:szCs w:val="24"/>
        </w:rPr>
      </w:pPr>
    </w:p>
    <w:p w:rsidR="009962CB" w:rsidRPr="003F1F77" w:rsidRDefault="009962CB" w:rsidP="009962CB">
      <w:pPr>
        <w:spacing w:after="0" w:line="252" w:lineRule="auto"/>
        <w:contextualSpacing/>
        <w:jc w:val="both"/>
        <w:rPr>
          <w:rFonts w:cstheme="minorHAnsi"/>
          <w:sz w:val="24"/>
          <w:szCs w:val="24"/>
        </w:rPr>
      </w:pPr>
      <w:r w:rsidRPr="003F1F77">
        <w:rPr>
          <w:rFonts w:cstheme="minorHAnsi"/>
          <w:sz w:val="24"/>
          <w:szCs w:val="24"/>
        </w:rPr>
        <w:t>3.</w:t>
      </w:r>
      <w:r w:rsidR="004218C8">
        <w:rPr>
          <w:rFonts w:cstheme="minorHAnsi"/>
          <w:sz w:val="24"/>
          <w:szCs w:val="24"/>
        </w:rPr>
        <w:t>8</w:t>
      </w:r>
      <w:r w:rsidRPr="003F1F77">
        <w:rPr>
          <w:rFonts w:cstheme="minorHAnsi"/>
          <w:sz w:val="24"/>
          <w:szCs w:val="24"/>
        </w:rPr>
        <w:t xml:space="preserve"> Při kontrole účelnosti NKÚ vycházel především z posouzení míry naplnění cílů </w:t>
      </w:r>
      <w:r w:rsidR="004615A2">
        <w:rPr>
          <w:rFonts w:cstheme="minorHAnsi"/>
          <w:sz w:val="24"/>
          <w:szCs w:val="24"/>
        </w:rPr>
        <w:br/>
      </w:r>
      <w:r w:rsidRPr="003F1F77">
        <w:rPr>
          <w:rFonts w:cstheme="minorHAnsi"/>
          <w:sz w:val="24"/>
          <w:szCs w:val="24"/>
        </w:rPr>
        <w:t>a očekávaných výsledků (přínosů) každého kontrolovaného projektu. Zaměřil se při</w:t>
      </w:r>
      <w:r w:rsidR="00BE077B">
        <w:rPr>
          <w:rFonts w:cstheme="minorHAnsi"/>
          <w:sz w:val="24"/>
          <w:szCs w:val="24"/>
        </w:rPr>
        <w:t xml:space="preserve"> </w:t>
      </w:r>
      <w:r w:rsidRPr="003F1F77">
        <w:rPr>
          <w:rFonts w:cstheme="minorHAnsi"/>
          <w:sz w:val="24"/>
          <w:szCs w:val="24"/>
        </w:rPr>
        <w:t>tom na nedostatky, které naplnění těchto cílů a výsledků negativně ovlivňují. Při kontrole hospodárnosti NKÚ kontroloval výši a oprávněnost uznatelných nákladů, resp. způsobilých výdajů projektů. Posuzoval při</w:t>
      </w:r>
      <w:r w:rsidR="00BE077B">
        <w:rPr>
          <w:rFonts w:cstheme="minorHAnsi"/>
          <w:sz w:val="24"/>
          <w:szCs w:val="24"/>
        </w:rPr>
        <w:t xml:space="preserve"> </w:t>
      </w:r>
      <w:r w:rsidRPr="003F1F77">
        <w:rPr>
          <w:rFonts w:cstheme="minorHAnsi"/>
          <w:sz w:val="24"/>
          <w:szCs w:val="24"/>
        </w:rPr>
        <w:t>tom</w:t>
      </w:r>
      <w:r w:rsidR="00BE077B">
        <w:rPr>
          <w:rFonts w:cstheme="minorHAnsi"/>
          <w:sz w:val="24"/>
          <w:szCs w:val="24"/>
        </w:rPr>
        <w:t xml:space="preserve"> </w:t>
      </w:r>
      <w:r w:rsidRPr="003F1F77">
        <w:rPr>
          <w:rFonts w:cstheme="minorHAnsi"/>
          <w:sz w:val="24"/>
          <w:szCs w:val="24"/>
        </w:rPr>
        <w:t>rozsah a ceny prací a dodávek v</w:t>
      </w:r>
      <w:r w:rsidR="00967A4B">
        <w:rPr>
          <w:rFonts w:cstheme="minorHAnsi"/>
          <w:sz w:val="24"/>
          <w:szCs w:val="24"/>
        </w:rPr>
        <w:t xml:space="preserve"> </w:t>
      </w:r>
      <w:r w:rsidRPr="003F1F77">
        <w:rPr>
          <w:rFonts w:cstheme="minorHAnsi"/>
          <w:sz w:val="24"/>
          <w:szCs w:val="24"/>
        </w:rPr>
        <w:t>porovnání s</w:t>
      </w:r>
      <w:r w:rsidR="00967A4B">
        <w:rPr>
          <w:rFonts w:cstheme="minorHAnsi"/>
          <w:sz w:val="24"/>
          <w:szCs w:val="24"/>
        </w:rPr>
        <w:t xml:space="preserve"> </w:t>
      </w:r>
      <w:r w:rsidRPr="003F1F77">
        <w:rPr>
          <w:rFonts w:cstheme="minorHAnsi"/>
          <w:sz w:val="24"/>
          <w:szCs w:val="24"/>
        </w:rPr>
        <w:t>jinými obdobnými projekty. Zjišťoval mj.</w:t>
      </w:r>
      <w:r w:rsidR="00BE077B">
        <w:rPr>
          <w:rFonts w:cstheme="minorHAnsi"/>
          <w:sz w:val="24"/>
          <w:szCs w:val="24"/>
        </w:rPr>
        <w:t>,</w:t>
      </w:r>
      <w:r w:rsidRPr="003F1F77">
        <w:rPr>
          <w:rFonts w:cstheme="minorHAnsi"/>
          <w:sz w:val="24"/>
          <w:szCs w:val="24"/>
        </w:rPr>
        <w:t xml:space="preserve"> zda nebyly při realizaci projektu použity neodůvodněně nákladné materiály nebo stavebně-technická řešení</w:t>
      </w:r>
      <w:r w:rsidR="00BE077B">
        <w:rPr>
          <w:rFonts w:cstheme="minorHAnsi"/>
          <w:sz w:val="24"/>
          <w:szCs w:val="24"/>
        </w:rPr>
        <w:t>,</w:t>
      </w:r>
      <w:r w:rsidRPr="003F1F77">
        <w:rPr>
          <w:rFonts w:cstheme="minorHAnsi"/>
          <w:sz w:val="24"/>
          <w:szCs w:val="24"/>
        </w:rPr>
        <w:t xml:space="preserve"> a posuzoval i nezbytnost a nákladnost vyvolaných investic souvisejících s výstavbou nebo rekonstrukcí komunikací pro pěší.</w:t>
      </w:r>
    </w:p>
    <w:p w:rsidR="009962CB" w:rsidRPr="003F1F77" w:rsidRDefault="009962CB" w:rsidP="009962CB">
      <w:pPr>
        <w:spacing w:after="0" w:line="252" w:lineRule="auto"/>
        <w:contextualSpacing/>
        <w:jc w:val="both"/>
        <w:rPr>
          <w:rFonts w:cstheme="minorHAnsi"/>
          <w:sz w:val="24"/>
          <w:szCs w:val="24"/>
        </w:rPr>
      </w:pPr>
    </w:p>
    <w:p w:rsidR="009962CB" w:rsidRPr="003F1F77" w:rsidRDefault="009962CB" w:rsidP="009962CB">
      <w:pPr>
        <w:spacing w:after="0" w:line="252" w:lineRule="auto"/>
        <w:contextualSpacing/>
        <w:jc w:val="both"/>
        <w:rPr>
          <w:rFonts w:eastAsia="Arial Unicode MS" w:cstheme="minorHAnsi"/>
          <w:bCs/>
          <w:sz w:val="24"/>
          <w:szCs w:val="24"/>
          <w:lang w:eastAsia="cs-CZ"/>
        </w:rPr>
      </w:pPr>
      <w:r w:rsidRPr="003F1F77">
        <w:rPr>
          <w:rFonts w:cstheme="minorHAnsi"/>
          <w:sz w:val="24"/>
          <w:szCs w:val="24"/>
        </w:rPr>
        <w:t>3.</w:t>
      </w:r>
      <w:r w:rsidR="004218C8">
        <w:rPr>
          <w:rFonts w:cstheme="minorHAnsi"/>
          <w:sz w:val="24"/>
          <w:szCs w:val="24"/>
        </w:rPr>
        <w:t>9</w:t>
      </w:r>
      <w:r w:rsidR="004218C8" w:rsidRPr="003F1F77">
        <w:rPr>
          <w:rFonts w:cstheme="minorHAnsi"/>
          <w:sz w:val="24"/>
          <w:szCs w:val="24"/>
        </w:rPr>
        <w:t xml:space="preserve"> </w:t>
      </w:r>
      <w:r w:rsidRPr="003F1F77">
        <w:rPr>
          <w:rFonts w:eastAsia="Arial Unicode MS" w:cstheme="minorHAnsi"/>
          <w:bCs/>
          <w:sz w:val="24"/>
          <w:szCs w:val="24"/>
          <w:lang w:eastAsia="cs-CZ"/>
        </w:rPr>
        <w:t xml:space="preserve">NKÚ kontrolu účelnosti a hospodárnosti podpory v jednotlivých projektech prováděl </w:t>
      </w:r>
      <w:r w:rsidR="00316ECA">
        <w:rPr>
          <w:rFonts w:eastAsia="Arial Unicode MS" w:cstheme="minorHAnsi"/>
          <w:bCs/>
          <w:sz w:val="24"/>
          <w:szCs w:val="24"/>
          <w:lang w:eastAsia="cs-CZ"/>
        </w:rPr>
        <w:br/>
      </w:r>
      <w:r w:rsidRPr="003F1F77">
        <w:rPr>
          <w:rFonts w:eastAsia="Arial Unicode MS" w:cstheme="minorHAnsi"/>
          <w:bCs/>
          <w:sz w:val="24"/>
          <w:szCs w:val="24"/>
          <w:lang w:eastAsia="cs-CZ"/>
        </w:rPr>
        <w:t xml:space="preserve">u poskytovatelů této podpory. </w:t>
      </w:r>
      <w:r w:rsidRPr="003F1F77">
        <w:rPr>
          <w:rFonts w:cstheme="minorHAnsi"/>
          <w:sz w:val="24"/>
          <w:szCs w:val="24"/>
        </w:rPr>
        <w:t xml:space="preserve">Jednotlivé kontrolované projekty NKÚ posoudil, vyhodnotil </w:t>
      </w:r>
      <w:r w:rsidR="00316ECA">
        <w:rPr>
          <w:rFonts w:cstheme="minorHAnsi"/>
          <w:sz w:val="24"/>
          <w:szCs w:val="24"/>
        </w:rPr>
        <w:br/>
      </w:r>
      <w:r w:rsidRPr="003F1F77">
        <w:rPr>
          <w:rFonts w:cstheme="minorHAnsi"/>
          <w:sz w:val="24"/>
          <w:szCs w:val="24"/>
        </w:rPr>
        <w:t xml:space="preserve">a podle počtu a závažnosti zjištěných nedostatků zařadil do příslušných stupňů čtyřstupňové škály účelnosti a hospodárnosti vynaložených peněžních prostředků. </w:t>
      </w:r>
      <w:r w:rsidRPr="003F1F77">
        <w:rPr>
          <w:rFonts w:eastAsia="Arial Unicode MS" w:cstheme="minorHAnsi"/>
          <w:bCs/>
          <w:sz w:val="24"/>
          <w:szCs w:val="24"/>
          <w:lang w:eastAsia="cs-CZ"/>
        </w:rPr>
        <w:t>V případě 1</w:t>
      </w:r>
      <w:r w:rsidR="004218C8">
        <w:rPr>
          <w:rFonts w:eastAsia="Arial Unicode MS" w:cstheme="minorHAnsi"/>
          <w:bCs/>
          <w:sz w:val="24"/>
          <w:szCs w:val="24"/>
          <w:lang w:eastAsia="cs-CZ"/>
        </w:rPr>
        <w:t>9</w:t>
      </w:r>
      <w:r w:rsidRPr="003F1F77">
        <w:rPr>
          <w:rFonts w:eastAsia="Arial Unicode MS" w:cstheme="minorHAnsi"/>
          <w:bCs/>
          <w:sz w:val="24"/>
          <w:szCs w:val="24"/>
          <w:lang w:eastAsia="cs-CZ"/>
        </w:rPr>
        <w:t xml:space="preserve"> projektů NKÚ kontrolu doplnil o </w:t>
      </w:r>
      <w:r w:rsidR="004218C8">
        <w:rPr>
          <w:rFonts w:eastAsia="Arial Unicode MS" w:cstheme="minorHAnsi"/>
          <w:bCs/>
          <w:sz w:val="24"/>
          <w:szCs w:val="24"/>
          <w:lang w:eastAsia="cs-CZ"/>
        </w:rPr>
        <w:t>kontrolu</w:t>
      </w:r>
      <w:r w:rsidRPr="003F1F77">
        <w:rPr>
          <w:rFonts w:eastAsia="Arial Unicode MS" w:cstheme="minorHAnsi"/>
          <w:bCs/>
          <w:sz w:val="24"/>
          <w:szCs w:val="24"/>
          <w:lang w:eastAsia="cs-CZ"/>
        </w:rPr>
        <w:t xml:space="preserve"> v místě jejich realizace</w:t>
      </w:r>
      <w:r w:rsidR="005262A2">
        <w:rPr>
          <w:rStyle w:val="Znakapoznpodarou"/>
          <w:rFonts w:eastAsia="Arial Unicode MS" w:cstheme="minorHAnsi"/>
          <w:bCs/>
          <w:sz w:val="24"/>
          <w:szCs w:val="24"/>
          <w:lang w:eastAsia="cs-CZ"/>
        </w:rPr>
        <w:footnoteReference w:id="22"/>
      </w:r>
      <w:r w:rsidRPr="003F1F77">
        <w:rPr>
          <w:rFonts w:eastAsia="Arial Unicode MS" w:cstheme="minorHAnsi"/>
          <w:bCs/>
          <w:sz w:val="24"/>
          <w:szCs w:val="24"/>
          <w:lang w:eastAsia="cs-CZ"/>
        </w:rPr>
        <w:t>. Výsledky z kontroly jednotlivých projektů jsou v</w:t>
      </w:r>
      <w:r w:rsidR="0046431D">
        <w:rPr>
          <w:rFonts w:eastAsia="Arial Unicode MS" w:cstheme="minorHAnsi"/>
          <w:bCs/>
          <w:sz w:val="24"/>
          <w:szCs w:val="24"/>
          <w:lang w:eastAsia="cs-CZ"/>
        </w:rPr>
        <w:t xml:space="preserve"> </w:t>
      </w:r>
      <w:r w:rsidRPr="003F1F77">
        <w:rPr>
          <w:rFonts w:eastAsia="Arial Unicode MS" w:cstheme="minorHAnsi"/>
          <w:bCs/>
          <w:sz w:val="24"/>
          <w:szCs w:val="24"/>
          <w:lang w:eastAsia="cs-CZ"/>
        </w:rPr>
        <w:t>kontrolním závěru anonymizovány z</w:t>
      </w:r>
      <w:r w:rsidR="0046431D">
        <w:rPr>
          <w:rFonts w:eastAsia="Arial Unicode MS" w:cstheme="minorHAnsi"/>
          <w:bCs/>
          <w:sz w:val="24"/>
          <w:szCs w:val="24"/>
          <w:lang w:eastAsia="cs-CZ"/>
        </w:rPr>
        <w:t xml:space="preserve"> </w:t>
      </w:r>
      <w:r w:rsidRPr="003F1F77">
        <w:rPr>
          <w:rFonts w:eastAsia="Arial Unicode MS" w:cstheme="minorHAnsi"/>
          <w:bCs/>
          <w:sz w:val="24"/>
          <w:szCs w:val="24"/>
          <w:lang w:eastAsia="cs-CZ"/>
        </w:rPr>
        <w:t xml:space="preserve">důvodu ochrany údajů o příjemcích podpory, kteří nebyli kontrolovanými osobami. Výstupy z kontroly jednotlivých projektů obsahující popisy projektů a zjištěných nedostatků včetně příslušné fotodokumentace jsou </w:t>
      </w:r>
      <w:r w:rsidR="00650F28">
        <w:rPr>
          <w:sz w:val="24"/>
          <w:szCs w:val="24"/>
        </w:rPr>
        <w:t>přílohou č. 3</w:t>
      </w:r>
      <w:r w:rsidR="00BE077B">
        <w:rPr>
          <w:sz w:val="24"/>
          <w:szCs w:val="24"/>
        </w:rPr>
        <w:t xml:space="preserve"> tohoto</w:t>
      </w:r>
      <w:r w:rsidR="00650F28">
        <w:rPr>
          <w:sz w:val="24"/>
          <w:szCs w:val="24"/>
        </w:rPr>
        <w:t xml:space="preserve"> kontrolního závěru </w:t>
      </w:r>
      <w:r w:rsidR="00650F28">
        <w:rPr>
          <w:rFonts w:eastAsia="Arial Unicode MS" w:cstheme="minorHAnsi"/>
          <w:bCs/>
          <w:sz w:val="24"/>
          <w:szCs w:val="24"/>
          <w:lang w:eastAsia="cs-CZ"/>
        </w:rPr>
        <w:t>a jsou dostupn</w:t>
      </w:r>
      <w:r w:rsidR="00650F28" w:rsidRPr="00C5748A">
        <w:rPr>
          <w:rFonts w:eastAsia="Arial Unicode MS" w:cstheme="minorHAnsi"/>
          <w:bCs/>
          <w:sz w:val="24"/>
          <w:szCs w:val="24"/>
          <w:lang w:eastAsia="cs-CZ"/>
        </w:rPr>
        <w:t>é</w:t>
      </w:r>
      <w:r w:rsidRPr="00C5748A">
        <w:rPr>
          <w:rFonts w:eastAsia="Arial Unicode MS" w:cstheme="minorHAnsi"/>
          <w:bCs/>
          <w:sz w:val="24"/>
          <w:szCs w:val="24"/>
          <w:lang w:eastAsia="cs-CZ"/>
        </w:rPr>
        <w:t xml:space="preserve"> </w:t>
      </w:r>
      <w:hyperlink r:id="rId11" w:history="1">
        <w:r w:rsidR="00C5748A" w:rsidRPr="00C5748A">
          <w:rPr>
            <w:rStyle w:val="Hypertextovodkaz"/>
            <w:sz w:val="24"/>
            <w:szCs w:val="24"/>
          </w:rPr>
          <w:t>zde</w:t>
        </w:r>
      </w:hyperlink>
      <w:r w:rsidR="00C5748A" w:rsidRPr="00C5748A">
        <w:rPr>
          <w:rFonts w:eastAsia="Arial Unicode MS" w:cstheme="minorHAnsi"/>
          <w:bCs/>
          <w:sz w:val="24"/>
          <w:szCs w:val="24"/>
          <w:lang w:eastAsia="cs-CZ"/>
        </w:rPr>
        <w:t>.</w:t>
      </w:r>
    </w:p>
    <w:p w:rsidR="009962CB" w:rsidRPr="003F1F77" w:rsidRDefault="009962CB" w:rsidP="009962CB">
      <w:pPr>
        <w:spacing w:after="0" w:line="252" w:lineRule="auto"/>
        <w:contextualSpacing/>
        <w:jc w:val="both"/>
        <w:rPr>
          <w:rFonts w:eastAsia="Arial Unicode MS" w:cstheme="minorHAnsi"/>
          <w:bCs/>
          <w:sz w:val="24"/>
          <w:szCs w:val="24"/>
          <w:lang w:eastAsia="cs-CZ"/>
        </w:rPr>
      </w:pPr>
    </w:p>
    <w:p w:rsidR="00A75443" w:rsidRPr="000B29CF" w:rsidRDefault="009962CB" w:rsidP="00C71E29">
      <w:pPr>
        <w:spacing w:after="0" w:line="252" w:lineRule="auto"/>
        <w:contextualSpacing/>
        <w:rPr>
          <w:rFonts w:cstheme="minorHAnsi"/>
          <w:b/>
          <w:bCs/>
          <w:iCs/>
        </w:rPr>
      </w:pPr>
      <w:bookmarkStart w:id="14" w:name="_Hlk182403058"/>
      <w:r w:rsidRPr="000B29CF">
        <w:rPr>
          <w:rFonts w:cstheme="minorHAnsi"/>
          <w:b/>
          <w:bCs/>
          <w:iCs/>
        </w:rPr>
        <w:t xml:space="preserve">Pozn.: </w:t>
      </w:r>
    </w:p>
    <w:p w:rsidR="00A75443" w:rsidRPr="00A75443" w:rsidRDefault="009962CB" w:rsidP="00EF3C87">
      <w:pPr>
        <w:pStyle w:val="Odstavecseseznamem"/>
        <w:numPr>
          <w:ilvl w:val="0"/>
          <w:numId w:val="26"/>
        </w:numPr>
        <w:spacing w:after="0" w:line="252" w:lineRule="auto"/>
        <w:ind w:left="284" w:hanging="284"/>
        <w:jc w:val="both"/>
        <w:rPr>
          <w:i/>
        </w:rPr>
      </w:pPr>
      <w:r w:rsidRPr="00A75443">
        <w:rPr>
          <w:rFonts w:cstheme="minorHAnsi"/>
          <w:i/>
        </w:rPr>
        <w:t>Právní předpisy uvedené v</w:t>
      </w:r>
      <w:r w:rsidR="00BE077B">
        <w:rPr>
          <w:rFonts w:cstheme="minorHAnsi"/>
          <w:i/>
        </w:rPr>
        <w:t xml:space="preserve"> </w:t>
      </w:r>
      <w:r w:rsidRPr="00A75443">
        <w:rPr>
          <w:rFonts w:cstheme="minorHAnsi"/>
          <w:i/>
        </w:rPr>
        <w:t>tomto kontrolním závěru jsou aplikovány ve znění účinném pro kontrolované období.</w:t>
      </w:r>
    </w:p>
    <w:p w:rsidR="00666242" w:rsidRPr="00C71E29" w:rsidRDefault="00666242" w:rsidP="00EF3C87">
      <w:pPr>
        <w:pStyle w:val="Odstavecseseznamem"/>
        <w:numPr>
          <w:ilvl w:val="0"/>
          <w:numId w:val="26"/>
        </w:numPr>
        <w:spacing w:after="0" w:line="252" w:lineRule="auto"/>
        <w:ind w:left="284" w:hanging="284"/>
        <w:jc w:val="both"/>
        <w:rPr>
          <w:i/>
        </w:rPr>
      </w:pPr>
      <w:r w:rsidRPr="00C71E29">
        <w:rPr>
          <w:i/>
          <w:color w:val="000000"/>
        </w:rPr>
        <w:t>K</w:t>
      </w:r>
      <w:r w:rsidR="00DB5A3E" w:rsidRPr="00C71E29">
        <w:rPr>
          <w:i/>
          <w:color w:val="000000"/>
        </w:rPr>
        <w:t xml:space="preserve"> možným </w:t>
      </w:r>
      <w:r w:rsidRPr="00C71E29">
        <w:rPr>
          <w:i/>
          <w:color w:val="000000"/>
        </w:rPr>
        <w:t xml:space="preserve">drobným </w:t>
      </w:r>
      <w:r w:rsidR="00DB5A3E" w:rsidRPr="00C71E29">
        <w:rPr>
          <w:i/>
          <w:color w:val="000000"/>
        </w:rPr>
        <w:t>nesouladům finančních údajů</w:t>
      </w:r>
      <w:r w:rsidRPr="00C71E29">
        <w:rPr>
          <w:i/>
          <w:color w:val="000000"/>
        </w:rPr>
        <w:t xml:space="preserve"> </w:t>
      </w:r>
      <w:r w:rsidR="009C3035">
        <w:rPr>
          <w:i/>
          <w:color w:val="000000"/>
        </w:rPr>
        <w:t>může docházet</w:t>
      </w:r>
      <w:r w:rsidRPr="00C71E29">
        <w:rPr>
          <w:i/>
          <w:color w:val="000000"/>
        </w:rPr>
        <w:t xml:space="preserve"> z důvodu zaokrouhlení</w:t>
      </w:r>
      <w:r w:rsidR="00DB5A3E" w:rsidRPr="00C71E29">
        <w:rPr>
          <w:i/>
          <w:color w:val="000000"/>
        </w:rPr>
        <w:t xml:space="preserve"> dílčích hodnot a/nebo celkových součtů</w:t>
      </w:r>
      <w:r w:rsidRPr="00C71E29">
        <w:rPr>
          <w:i/>
          <w:color w:val="000000"/>
        </w:rPr>
        <w:t>.</w:t>
      </w:r>
    </w:p>
    <w:p w:rsidR="00955C21" w:rsidRDefault="00955C21" w:rsidP="009962CB">
      <w:pPr>
        <w:pStyle w:val="Nadpis1"/>
        <w:tabs>
          <w:tab w:val="left" w:pos="2835"/>
        </w:tabs>
        <w:spacing w:before="0" w:after="0" w:line="252" w:lineRule="auto"/>
        <w:contextualSpacing/>
        <w:jc w:val="center"/>
        <w:rPr>
          <w:rFonts w:asciiTheme="minorHAnsi" w:hAnsiTheme="minorHAnsi" w:cstheme="minorHAnsi"/>
          <w:sz w:val="28"/>
          <w:szCs w:val="28"/>
        </w:rPr>
      </w:pPr>
      <w:bookmarkStart w:id="15" w:name="_Hlk177707936"/>
      <w:bookmarkEnd w:id="14"/>
    </w:p>
    <w:p w:rsidR="00955C21" w:rsidRDefault="00955C21" w:rsidP="009962CB">
      <w:pPr>
        <w:pStyle w:val="Nadpis1"/>
        <w:tabs>
          <w:tab w:val="left" w:pos="2835"/>
        </w:tabs>
        <w:spacing w:before="0" w:after="0" w:line="252" w:lineRule="auto"/>
        <w:contextualSpacing/>
        <w:jc w:val="center"/>
        <w:rPr>
          <w:rFonts w:asciiTheme="minorHAnsi" w:hAnsiTheme="minorHAnsi" w:cstheme="minorHAnsi"/>
          <w:sz w:val="28"/>
          <w:szCs w:val="28"/>
        </w:rPr>
      </w:pPr>
    </w:p>
    <w:p w:rsidR="00116942" w:rsidRDefault="00116942" w:rsidP="00116942">
      <w:pPr>
        <w:rPr>
          <w:lang w:eastAsia="cs-CZ"/>
        </w:rPr>
      </w:pPr>
    </w:p>
    <w:p w:rsidR="009962CB" w:rsidRPr="009962CB" w:rsidRDefault="009962CB" w:rsidP="009962CB">
      <w:pPr>
        <w:pStyle w:val="Nadpis1"/>
        <w:tabs>
          <w:tab w:val="left" w:pos="2835"/>
        </w:tabs>
        <w:spacing w:before="0" w:after="0" w:line="252" w:lineRule="auto"/>
        <w:contextualSpacing/>
        <w:jc w:val="center"/>
        <w:rPr>
          <w:rFonts w:asciiTheme="minorHAnsi" w:hAnsiTheme="minorHAnsi" w:cstheme="minorHAnsi"/>
          <w:sz w:val="28"/>
          <w:szCs w:val="28"/>
        </w:rPr>
      </w:pPr>
      <w:r w:rsidRPr="009962CB">
        <w:rPr>
          <w:rFonts w:asciiTheme="minorHAnsi" w:hAnsiTheme="minorHAnsi" w:cstheme="minorHAnsi"/>
          <w:sz w:val="28"/>
          <w:szCs w:val="28"/>
        </w:rPr>
        <w:lastRenderedPageBreak/>
        <w:t>IV. Podrobné skutečnosti zjištěné kontrolou</w:t>
      </w:r>
    </w:p>
    <w:p w:rsidR="009962CB" w:rsidRPr="003F1F77" w:rsidRDefault="009962CB" w:rsidP="009962CB">
      <w:pPr>
        <w:spacing w:after="0" w:line="252" w:lineRule="auto"/>
        <w:contextualSpacing/>
        <w:jc w:val="both"/>
        <w:rPr>
          <w:rFonts w:cstheme="minorHAnsi"/>
          <w:sz w:val="24"/>
          <w:szCs w:val="24"/>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 xml:space="preserve">MD, SFDI ani MMR nevědí, </w:t>
      </w:r>
      <w:r w:rsidR="002E140C">
        <w:rPr>
          <w:rFonts w:eastAsia="Calibri" w:cstheme="minorHAnsi"/>
          <w:b/>
          <w:i/>
          <w:color w:val="4472C4" w:themeColor="accent5"/>
          <w:sz w:val="24"/>
          <w:szCs w:val="24"/>
        </w:rPr>
        <w:t>jakých celkových výsledků</w:t>
      </w:r>
      <w:r w:rsidRPr="00C101CB">
        <w:rPr>
          <w:rFonts w:eastAsia="Calibri" w:cstheme="minorHAnsi"/>
          <w:b/>
          <w:i/>
          <w:color w:val="4472C4" w:themeColor="accent5"/>
          <w:sz w:val="24"/>
          <w:szCs w:val="24"/>
        </w:rPr>
        <w:t xml:space="preserve"> by podporou mělo být dosaženo ... </w:t>
      </w:r>
    </w:p>
    <w:p w:rsidR="009962CB" w:rsidRPr="003F1F77" w:rsidRDefault="009962CB" w:rsidP="009962CB">
      <w:pPr>
        <w:pStyle w:val="Default"/>
        <w:spacing w:line="252" w:lineRule="auto"/>
        <w:contextualSpacing/>
        <w:jc w:val="both"/>
        <w:rPr>
          <w:rFonts w:asciiTheme="minorHAnsi" w:hAnsiTheme="minorHAnsi" w:cstheme="minorHAnsi"/>
        </w:rPr>
      </w:pPr>
    </w:p>
    <w:p w:rsidR="009962CB" w:rsidRPr="003F1F77" w:rsidRDefault="009962CB" w:rsidP="009962CB">
      <w:pPr>
        <w:pStyle w:val="Default"/>
        <w:spacing w:line="252" w:lineRule="auto"/>
        <w:contextualSpacing/>
        <w:jc w:val="both"/>
        <w:rPr>
          <w:rFonts w:asciiTheme="minorHAnsi" w:hAnsiTheme="minorHAnsi" w:cstheme="minorHAnsi"/>
        </w:rPr>
      </w:pPr>
      <w:r w:rsidRPr="003F1F77">
        <w:rPr>
          <w:rFonts w:asciiTheme="minorHAnsi" w:hAnsiTheme="minorHAnsi" w:cstheme="minorHAnsi"/>
        </w:rPr>
        <w:t xml:space="preserve">4.1 Podle </w:t>
      </w:r>
      <w:r w:rsidRPr="000B29CF">
        <w:rPr>
          <w:rFonts w:asciiTheme="minorHAnsi" w:hAnsiTheme="minorHAnsi" w:cstheme="minorHAnsi"/>
          <w:i/>
          <w:iCs/>
        </w:rPr>
        <w:t xml:space="preserve">Metodiky </w:t>
      </w:r>
      <w:r w:rsidR="00442679" w:rsidRPr="000B29CF">
        <w:rPr>
          <w:rFonts w:asciiTheme="minorHAnsi" w:hAnsiTheme="minorHAnsi" w:cstheme="minorHAnsi"/>
          <w:i/>
          <w:iCs/>
        </w:rPr>
        <w:t xml:space="preserve">přípravy </w:t>
      </w:r>
      <w:r w:rsidRPr="000B29CF">
        <w:rPr>
          <w:rFonts w:asciiTheme="minorHAnsi" w:hAnsiTheme="minorHAnsi" w:cstheme="minorHAnsi"/>
          <w:i/>
          <w:iCs/>
        </w:rPr>
        <w:t>veřejných strategií</w:t>
      </w:r>
      <w:r w:rsidRPr="003F1F77">
        <w:rPr>
          <w:rStyle w:val="Znakapoznpodarou"/>
          <w:rFonts w:asciiTheme="minorHAnsi" w:hAnsiTheme="minorHAnsi" w:cstheme="minorHAnsi"/>
        </w:rPr>
        <w:footnoteReference w:id="23"/>
      </w:r>
      <w:r w:rsidRPr="003F1F77">
        <w:rPr>
          <w:rFonts w:asciiTheme="minorHAnsi" w:hAnsiTheme="minorHAnsi" w:cstheme="minorHAnsi"/>
        </w:rPr>
        <w:t xml:space="preserve"> musí být strategie založen</w:t>
      </w:r>
      <w:r w:rsidR="00BE096C">
        <w:rPr>
          <w:rFonts w:asciiTheme="minorHAnsi" w:hAnsiTheme="minorHAnsi" w:cstheme="minorHAnsi"/>
        </w:rPr>
        <w:t>a</w:t>
      </w:r>
      <w:r w:rsidRPr="003F1F77">
        <w:rPr>
          <w:rFonts w:asciiTheme="minorHAnsi" w:hAnsiTheme="minorHAnsi" w:cstheme="minorHAnsi"/>
        </w:rPr>
        <w:t xml:space="preserve"> na důkazech. </w:t>
      </w:r>
      <w:r w:rsidRPr="003F1F77">
        <w:rPr>
          <w:rFonts w:asciiTheme="minorHAnsi" w:hAnsiTheme="minorHAnsi" w:cstheme="minorHAnsi"/>
          <w:color w:val="auto"/>
          <w:lang w:eastAsia="en-US"/>
        </w:rPr>
        <w:t>M</w:t>
      </w:r>
      <w:r w:rsidR="00BE096C">
        <w:rPr>
          <w:rFonts w:asciiTheme="minorHAnsi" w:hAnsiTheme="minorHAnsi" w:cstheme="minorHAnsi"/>
          <w:color w:val="auto"/>
          <w:lang w:eastAsia="en-US"/>
        </w:rPr>
        <w:t>á</w:t>
      </w:r>
      <w:r w:rsidRPr="003F1F77">
        <w:rPr>
          <w:rFonts w:asciiTheme="minorHAnsi" w:hAnsiTheme="minorHAnsi" w:cstheme="minorHAnsi"/>
          <w:color w:val="auto"/>
          <w:lang w:eastAsia="en-US"/>
        </w:rPr>
        <w:t xml:space="preserve"> obsahovat konkrétní a adresná opatření, definovat implementační strukturu a procesy realizace dané strategie a také stanovovat metriky (a indikátory) pro měření úspěšnosti </w:t>
      </w:r>
      <w:r w:rsidR="006B5EF6">
        <w:rPr>
          <w:rFonts w:asciiTheme="minorHAnsi" w:hAnsiTheme="minorHAnsi" w:cstheme="minorHAnsi"/>
          <w:color w:val="auto"/>
          <w:lang w:eastAsia="en-US"/>
        </w:rPr>
        <w:br/>
      </w:r>
      <w:r w:rsidRPr="003F1F77">
        <w:rPr>
          <w:rFonts w:asciiTheme="minorHAnsi" w:hAnsiTheme="minorHAnsi" w:cstheme="minorHAnsi"/>
          <w:color w:val="auto"/>
          <w:lang w:eastAsia="en-US"/>
        </w:rPr>
        <w:t xml:space="preserve">a postupu její implementace. </w:t>
      </w:r>
      <w:r w:rsidRPr="003F1F77">
        <w:rPr>
          <w:rFonts w:asciiTheme="minorHAnsi" w:hAnsiTheme="minorHAnsi" w:cstheme="minorHAnsi"/>
        </w:rPr>
        <w:t xml:space="preserve">Součástí strategie také mají být předpokládané přínosy </w:t>
      </w:r>
      <w:r w:rsidR="006B5EF6">
        <w:rPr>
          <w:rFonts w:asciiTheme="minorHAnsi" w:hAnsiTheme="minorHAnsi" w:cstheme="minorHAnsi"/>
        </w:rPr>
        <w:br/>
      </w:r>
      <w:r w:rsidRPr="003F1F77">
        <w:rPr>
          <w:rFonts w:asciiTheme="minorHAnsi" w:hAnsiTheme="minorHAnsi" w:cstheme="minorHAnsi"/>
        </w:rPr>
        <w:t>a dopady. Stanovení konkrétních, měřitelných, dosažitelných, relevantních a časově vymezených cílů a ukazatelů výkonnosti pro sledování jejich plnění patří mezi základní předpoklady řádného finančního řízení</w:t>
      </w:r>
      <w:r w:rsidRPr="003F1F77">
        <w:rPr>
          <w:rStyle w:val="Znakapoznpodarou"/>
          <w:rFonts w:asciiTheme="minorHAnsi" w:hAnsiTheme="minorHAnsi" w:cstheme="minorHAnsi"/>
        </w:rPr>
        <w:footnoteReference w:id="24"/>
      </w:r>
      <w:r>
        <w:rPr>
          <w:rFonts w:asciiTheme="minorHAnsi" w:hAnsiTheme="minorHAnsi" w:cstheme="minorHAnsi"/>
        </w:rPr>
        <w:t xml:space="preserve"> (blíže viz odstavec </w:t>
      </w:r>
      <w:r w:rsidRPr="00A75443">
        <w:rPr>
          <w:rFonts w:asciiTheme="minorHAnsi" w:hAnsiTheme="minorHAnsi" w:cstheme="minorHAnsi"/>
        </w:rPr>
        <w:t>4.10</w:t>
      </w:r>
      <w:r>
        <w:rPr>
          <w:rFonts w:asciiTheme="minorHAnsi" w:hAnsiTheme="minorHAnsi" w:cstheme="minorHAnsi"/>
        </w:rPr>
        <w:t>)</w:t>
      </w:r>
      <w:r w:rsidRPr="003F1F77">
        <w:rPr>
          <w:rFonts w:asciiTheme="minorHAnsi" w:hAnsiTheme="minorHAnsi" w:cstheme="minorHAnsi"/>
        </w:rPr>
        <w:t>.</w:t>
      </w:r>
    </w:p>
    <w:p w:rsidR="009962CB" w:rsidRPr="003F1F77" w:rsidRDefault="009962CB" w:rsidP="009962CB">
      <w:pPr>
        <w:pStyle w:val="Default"/>
        <w:spacing w:line="252" w:lineRule="auto"/>
        <w:contextualSpacing/>
        <w:jc w:val="both"/>
        <w:rPr>
          <w:rFonts w:asciiTheme="minorHAnsi" w:hAnsiTheme="minorHAnsi" w:cstheme="minorHAnsi"/>
        </w:rPr>
      </w:pPr>
    </w:p>
    <w:p w:rsidR="009962CB" w:rsidRPr="007E3DFA" w:rsidRDefault="009962CB" w:rsidP="009962CB">
      <w:pPr>
        <w:pStyle w:val="Default"/>
        <w:spacing w:line="252" w:lineRule="auto"/>
        <w:contextualSpacing/>
        <w:jc w:val="both"/>
        <w:rPr>
          <w:rFonts w:asciiTheme="minorHAnsi" w:hAnsiTheme="minorHAnsi" w:cstheme="minorHAnsi"/>
        </w:rPr>
      </w:pPr>
      <w:r w:rsidRPr="003F1F77">
        <w:rPr>
          <w:rFonts w:asciiTheme="minorHAnsi" w:hAnsiTheme="minorHAnsi" w:cstheme="minorHAnsi"/>
        </w:rPr>
        <w:t xml:space="preserve">4.2 Před přijetím strategie zahrnující poskytování podpory </w:t>
      </w:r>
      <w:r w:rsidR="009B4A39" w:rsidRPr="003F1F77">
        <w:rPr>
          <w:rFonts w:asciiTheme="minorHAnsi" w:hAnsiTheme="minorHAnsi" w:cstheme="minorHAnsi"/>
        </w:rPr>
        <w:t>ně</w:t>
      </w:r>
      <w:r w:rsidR="009B4A39">
        <w:rPr>
          <w:rFonts w:asciiTheme="minorHAnsi" w:hAnsiTheme="minorHAnsi" w:cstheme="minorHAnsi"/>
        </w:rPr>
        <w:t>které</w:t>
      </w:r>
      <w:r w:rsidR="009B4A39" w:rsidRPr="003F1F77">
        <w:rPr>
          <w:rFonts w:asciiTheme="minorHAnsi" w:hAnsiTheme="minorHAnsi" w:cstheme="minorHAnsi"/>
        </w:rPr>
        <w:t xml:space="preserve"> </w:t>
      </w:r>
      <w:r w:rsidRPr="003F1F77">
        <w:rPr>
          <w:rFonts w:asciiTheme="minorHAnsi" w:hAnsiTheme="minorHAnsi" w:cstheme="minorHAnsi"/>
        </w:rPr>
        <w:t xml:space="preserve">oblasti jsou důležité informace o jejím výchozím stavu, existujících problémech, nedostatcích a možnostech jejich řešení. Věcně i časově by měl být vymezen cílový stav, kterého má být poskytováním podpory dosaženo. Podkladem pro strategické rozhodování o poskytování podpory by měla být analýza skutečných potřeb a reálně dostupných možností a zdrojů pro jejich uspokojení (finančních, časových, personálních, </w:t>
      </w:r>
      <w:r w:rsidRPr="007E3DFA">
        <w:rPr>
          <w:rFonts w:asciiTheme="minorHAnsi" w:hAnsiTheme="minorHAnsi" w:cstheme="minorHAnsi"/>
        </w:rPr>
        <w:t>organizačních, legislativních atd.). Analyzovány by měly být i možnosti a postupy pro sledování a vyhodnocování výsledků podpory.</w:t>
      </w:r>
    </w:p>
    <w:p w:rsidR="009962CB" w:rsidRPr="007E3DFA" w:rsidRDefault="009962CB" w:rsidP="009962CB">
      <w:pPr>
        <w:pStyle w:val="Default"/>
        <w:spacing w:line="252" w:lineRule="auto"/>
        <w:contextualSpacing/>
        <w:jc w:val="both"/>
        <w:rPr>
          <w:rFonts w:asciiTheme="minorHAnsi" w:hAnsiTheme="minorHAnsi" w:cstheme="minorHAnsi"/>
        </w:rPr>
      </w:pPr>
    </w:p>
    <w:p w:rsidR="009962CB" w:rsidRDefault="009962CB" w:rsidP="009962CB">
      <w:pPr>
        <w:spacing w:after="0" w:line="252" w:lineRule="auto"/>
        <w:contextualSpacing/>
        <w:jc w:val="both"/>
        <w:rPr>
          <w:sz w:val="24"/>
          <w:szCs w:val="24"/>
        </w:rPr>
      </w:pPr>
      <w:r w:rsidRPr="007E3DFA">
        <w:rPr>
          <w:rFonts w:cstheme="minorHAnsi"/>
          <w:sz w:val="24"/>
          <w:szCs w:val="24"/>
        </w:rPr>
        <w:t xml:space="preserve">4.3 NKÚ ovšem kontrolou zjistil, že v oblasti podpory výstavby a rekonstrukcí komunikací pro pěší MD, SFDI ani MMR žádnou takovouto analýzou nedisponují. </w:t>
      </w:r>
      <w:r>
        <w:rPr>
          <w:sz w:val="24"/>
          <w:szCs w:val="24"/>
        </w:rPr>
        <w:t>N</w:t>
      </w:r>
      <w:r w:rsidRPr="007E3DFA">
        <w:rPr>
          <w:sz w:val="24"/>
          <w:szCs w:val="24"/>
        </w:rPr>
        <w:t>evyhodnotily</w:t>
      </w:r>
      <w:r>
        <w:rPr>
          <w:sz w:val="24"/>
          <w:szCs w:val="24"/>
        </w:rPr>
        <w:t xml:space="preserve"> mj.</w:t>
      </w:r>
      <w:r w:rsidRPr="007E3DFA">
        <w:rPr>
          <w:sz w:val="24"/>
          <w:szCs w:val="24"/>
        </w:rPr>
        <w:t>, jakou část svých potřeb v</w:t>
      </w:r>
      <w:r>
        <w:rPr>
          <w:sz w:val="24"/>
          <w:szCs w:val="24"/>
        </w:rPr>
        <w:t xml:space="preserve"> této </w:t>
      </w:r>
      <w:r w:rsidRPr="007E3DFA">
        <w:rPr>
          <w:sz w:val="24"/>
          <w:szCs w:val="24"/>
        </w:rPr>
        <w:t xml:space="preserve">oblasti </w:t>
      </w:r>
      <w:r w:rsidR="00FB3C20" w:rsidRPr="007E3DFA">
        <w:rPr>
          <w:sz w:val="24"/>
          <w:szCs w:val="24"/>
        </w:rPr>
        <w:t xml:space="preserve">nejsou </w:t>
      </w:r>
      <w:r w:rsidRPr="007E3DFA">
        <w:rPr>
          <w:sz w:val="24"/>
          <w:szCs w:val="24"/>
        </w:rPr>
        <w:t xml:space="preserve">obce schopny pokrýt v rámci svých rozpočtů a z jakých důvodů. Chybí i vyhodnocení toho, jaké jsou možnosti řešení tohoto problému – např. </w:t>
      </w:r>
      <w:r w:rsidR="006A04DE">
        <w:rPr>
          <w:sz w:val="24"/>
          <w:szCs w:val="24"/>
        </w:rPr>
        <w:t>a</w:t>
      </w:r>
      <w:r w:rsidRPr="007E3DFA">
        <w:rPr>
          <w:sz w:val="24"/>
          <w:szCs w:val="24"/>
        </w:rPr>
        <w:t>lternativních druhů podpory (bezúročné půjčky, záruky státu za úvěry atd.).</w:t>
      </w:r>
      <w:r>
        <w:rPr>
          <w:sz w:val="24"/>
          <w:szCs w:val="24"/>
        </w:rPr>
        <w:t xml:space="preserve"> </w:t>
      </w:r>
      <w:r w:rsidRPr="007E3DFA">
        <w:rPr>
          <w:rFonts w:cstheme="minorHAnsi"/>
          <w:sz w:val="24"/>
          <w:szCs w:val="24"/>
        </w:rPr>
        <w:t>Podpora z peněžních prostředků státu a EU je sice poskytována, ale nezodpovězeny zůstávají důležité otázky</w:t>
      </w:r>
      <w:r>
        <w:rPr>
          <w:rFonts w:cstheme="minorHAnsi"/>
          <w:sz w:val="24"/>
          <w:szCs w:val="24"/>
        </w:rPr>
        <w:t>:</w:t>
      </w:r>
      <w:r w:rsidRPr="007E3DFA">
        <w:rPr>
          <w:rFonts w:cstheme="minorHAnsi"/>
          <w:sz w:val="24"/>
          <w:szCs w:val="24"/>
        </w:rPr>
        <w:t xml:space="preserve"> </w:t>
      </w:r>
      <w:r w:rsidR="00BE096C">
        <w:rPr>
          <w:rFonts w:cstheme="minorHAnsi"/>
          <w:sz w:val="24"/>
          <w:szCs w:val="24"/>
        </w:rPr>
        <w:t>J</w:t>
      </w:r>
      <w:r w:rsidRPr="007E3DFA">
        <w:rPr>
          <w:rFonts w:cstheme="minorHAnsi"/>
          <w:sz w:val="24"/>
          <w:szCs w:val="24"/>
        </w:rPr>
        <w:t>aký je výchozí stav dané oblasti</w:t>
      </w:r>
      <w:r w:rsidR="00BE096C">
        <w:rPr>
          <w:rFonts w:cstheme="minorHAnsi"/>
          <w:sz w:val="24"/>
          <w:szCs w:val="24"/>
        </w:rPr>
        <w:t>?</w:t>
      </w:r>
      <w:r w:rsidRPr="007E3DFA">
        <w:rPr>
          <w:rFonts w:cstheme="minorHAnsi"/>
          <w:sz w:val="24"/>
          <w:szCs w:val="24"/>
        </w:rPr>
        <w:t xml:space="preserve"> </w:t>
      </w:r>
      <w:r w:rsidR="00BE096C">
        <w:rPr>
          <w:rFonts w:cstheme="minorHAnsi"/>
          <w:sz w:val="24"/>
          <w:szCs w:val="24"/>
        </w:rPr>
        <w:t>K</w:t>
      </w:r>
      <w:r w:rsidRPr="007E3DFA">
        <w:rPr>
          <w:rFonts w:cstheme="minorHAnsi"/>
          <w:sz w:val="24"/>
          <w:szCs w:val="24"/>
        </w:rPr>
        <w:t>de jsou nejzávažnější nedostatky</w:t>
      </w:r>
      <w:r w:rsidR="00BE096C">
        <w:rPr>
          <w:rFonts w:cstheme="minorHAnsi"/>
          <w:sz w:val="24"/>
          <w:szCs w:val="24"/>
        </w:rPr>
        <w:t>?</w:t>
      </w:r>
      <w:r w:rsidRPr="007E3DFA">
        <w:rPr>
          <w:rFonts w:cstheme="minorHAnsi"/>
          <w:sz w:val="24"/>
          <w:szCs w:val="24"/>
        </w:rPr>
        <w:t xml:space="preserve"> </w:t>
      </w:r>
      <w:r w:rsidR="00BE096C">
        <w:rPr>
          <w:rFonts w:cstheme="minorHAnsi"/>
          <w:sz w:val="24"/>
          <w:szCs w:val="24"/>
        </w:rPr>
        <w:t>V</w:t>
      </w:r>
      <w:r w:rsidRPr="007E3DFA">
        <w:rPr>
          <w:rFonts w:cstheme="minorHAnsi"/>
          <w:sz w:val="24"/>
          <w:szCs w:val="24"/>
        </w:rPr>
        <w:t> jakém rozsahu budou řešeny</w:t>
      </w:r>
      <w:r w:rsidR="00BE096C">
        <w:rPr>
          <w:rFonts w:cstheme="minorHAnsi"/>
          <w:sz w:val="24"/>
          <w:szCs w:val="24"/>
        </w:rPr>
        <w:t>?</w:t>
      </w:r>
      <w:r w:rsidRPr="007E3DFA">
        <w:rPr>
          <w:rFonts w:cstheme="minorHAnsi"/>
          <w:sz w:val="24"/>
          <w:szCs w:val="24"/>
        </w:rPr>
        <w:t xml:space="preserve"> </w:t>
      </w:r>
      <w:r w:rsidR="00BE096C">
        <w:rPr>
          <w:rFonts w:cstheme="minorHAnsi"/>
          <w:sz w:val="24"/>
          <w:szCs w:val="24"/>
        </w:rPr>
        <w:t>K</w:t>
      </w:r>
      <w:r w:rsidRPr="007E3DFA">
        <w:rPr>
          <w:rFonts w:cstheme="minorHAnsi"/>
          <w:sz w:val="24"/>
          <w:szCs w:val="24"/>
        </w:rPr>
        <w:t xml:space="preserve">dy a z jaké části budou </w:t>
      </w:r>
      <w:r w:rsidR="00BE096C">
        <w:rPr>
          <w:rFonts w:cstheme="minorHAnsi"/>
          <w:sz w:val="24"/>
          <w:szCs w:val="24"/>
        </w:rPr>
        <w:t xml:space="preserve">tyto nedostatky </w:t>
      </w:r>
      <w:r w:rsidRPr="007E3DFA">
        <w:rPr>
          <w:rFonts w:cstheme="minorHAnsi"/>
          <w:sz w:val="24"/>
          <w:szCs w:val="24"/>
        </w:rPr>
        <w:t xml:space="preserve">díky poskytování podpory </w:t>
      </w:r>
      <w:r w:rsidR="00BE096C">
        <w:rPr>
          <w:rFonts w:cstheme="minorHAnsi"/>
          <w:sz w:val="24"/>
          <w:szCs w:val="24"/>
        </w:rPr>
        <w:t xml:space="preserve">od </w:t>
      </w:r>
      <w:r>
        <w:rPr>
          <w:rFonts w:cstheme="minorHAnsi"/>
          <w:sz w:val="24"/>
          <w:szCs w:val="24"/>
        </w:rPr>
        <w:t>státu a</w:t>
      </w:r>
      <w:r w:rsidR="0046431D">
        <w:rPr>
          <w:rFonts w:cstheme="minorHAnsi"/>
          <w:sz w:val="24"/>
          <w:szCs w:val="24"/>
        </w:rPr>
        <w:t> </w:t>
      </w:r>
      <w:r>
        <w:rPr>
          <w:rFonts w:cstheme="minorHAnsi"/>
          <w:sz w:val="24"/>
          <w:szCs w:val="24"/>
        </w:rPr>
        <w:t xml:space="preserve">EU </w:t>
      </w:r>
      <w:r w:rsidRPr="007E3DFA">
        <w:rPr>
          <w:rFonts w:cstheme="minorHAnsi"/>
          <w:sz w:val="24"/>
          <w:szCs w:val="24"/>
        </w:rPr>
        <w:t>vyřešeny a kolik to bude celkem stát</w:t>
      </w:r>
      <w:r w:rsidR="00BE096C">
        <w:rPr>
          <w:rFonts w:cstheme="minorHAnsi"/>
          <w:sz w:val="24"/>
          <w:szCs w:val="24"/>
        </w:rPr>
        <w:t>?</w:t>
      </w:r>
      <w:r w:rsidRPr="007E3DFA">
        <w:rPr>
          <w:rFonts w:cstheme="minorHAnsi"/>
          <w:sz w:val="24"/>
          <w:szCs w:val="24"/>
        </w:rPr>
        <w:t xml:space="preserve"> </w:t>
      </w:r>
    </w:p>
    <w:p w:rsidR="009962CB" w:rsidRPr="007E3DFA" w:rsidRDefault="009962CB" w:rsidP="009962CB">
      <w:pPr>
        <w:spacing w:after="0" w:line="252" w:lineRule="auto"/>
        <w:contextualSpacing/>
        <w:jc w:val="both"/>
        <w:rPr>
          <w:rFonts w:cstheme="minorHAnsi"/>
          <w:sz w:val="24"/>
          <w:szCs w:val="24"/>
        </w:rPr>
      </w:pPr>
    </w:p>
    <w:p w:rsidR="009962CB" w:rsidRPr="003F1F77" w:rsidRDefault="009962CB" w:rsidP="009962CB">
      <w:pPr>
        <w:pStyle w:val="Default"/>
        <w:spacing w:line="252" w:lineRule="auto"/>
        <w:contextualSpacing/>
        <w:jc w:val="both"/>
        <w:rPr>
          <w:rFonts w:asciiTheme="minorHAnsi" w:hAnsiTheme="minorHAnsi" w:cstheme="minorHAnsi"/>
        </w:rPr>
      </w:pPr>
      <w:r w:rsidRPr="007E3DFA">
        <w:rPr>
          <w:rFonts w:asciiTheme="minorHAnsi" w:hAnsiTheme="minorHAnsi" w:cstheme="minorHAnsi"/>
        </w:rPr>
        <w:t xml:space="preserve">4.4 NKÚ dále zjistil, že MD jako ministerstvo s působností ve věcech dopravy (viz </w:t>
      </w:r>
      <w:r>
        <w:rPr>
          <w:rFonts w:asciiTheme="minorHAnsi" w:hAnsiTheme="minorHAnsi" w:cstheme="minorHAnsi"/>
        </w:rPr>
        <w:t>odstavec</w:t>
      </w:r>
      <w:r w:rsidRPr="007E3DFA">
        <w:rPr>
          <w:rFonts w:asciiTheme="minorHAnsi" w:hAnsiTheme="minorHAnsi" w:cstheme="minorHAnsi"/>
        </w:rPr>
        <w:t xml:space="preserve"> 2.1) ani SFDI a MMR jako poskytovatelé podpory (viz </w:t>
      </w:r>
      <w:r>
        <w:rPr>
          <w:rFonts w:asciiTheme="minorHAnsi" w:hAnsiTheme="minorHAnsi" w:cstheme="minorHAnsi"/>
        </w:rPr>
        <w:t>odstavce</w:t>
      </w:r>
      <w:r w:rsidRPr="007E3DFA">
        <w:rPr>
          <w:rFonts w:asciiTheme="minorHAnsi" w:hAnsiTheme="minorHAnsi" w:cstheme="minorHAnsi"/>
        </w:rPr>
        <w:t xml:space="preserve"> 2</w:t>
      </w:r>
      <w:r w:rsidRPr="003F1F77">
        <w:rPr>
          <w:rFonts w:asciiTheme="minorHAnsi" w:hAnsiTheme="minorHAnsi" w:cstheme="minorHAnsi"/>
        </w:rPr>
        <w:t xml:space="preserve">.2 a 2.3) nemají stanoveny konkrétní měřitelné cíle ani ukazatele a postupy pro sledování a vyhodnocování celkových výsledků podpory. Obecně formulovaný </w:t>
      </w:r>
      <w:r w:rsidR="005465F9">
        <w:rPr>
          <w:rFonts w:asciiTheme="minorHAnsi" w:hAnsiTheme="minorHAnsi" w:cstheme="minorHAnsi"/>
        </w:rPr>
        <w:t>požadavek na</w:t>
      </w:r>
      <w:r w:rsidR="005465F9" w:rsidRPr="003F1F77">
        <w:rPr>
          <w:rFonts w:asciiTheme="minorHAnsi" w:hAnsiTheme="minorHAnsi" w:cstheme="minorHAnsi"/>
        </w:rPr>
        <w:t xml:space="preserve"> zvýš</w:t>
      </w:r>
      <w:r w:rsidR="005465F9">
        <w:rPr>
          <w:rFonts w:asciiTheme="minorHAnsi" w:hAnsiTheme="minorHAnsi" w:cstheme="minorHAnsi"/>
        </w:rPr>
        <w:t>ení</w:t>
      </w:r>
      <w:r w:rsidR="005465F9" w:rsidRPr="003F1F77">
        <w:rPr>
          <w:rFonts w:asciiTheme="minorHAnsi" w:hAnsiTheme="minorHAnsi" w:cstheme="minorHAnsi"/>
        </w:rPr>
        <w:t xml:space="preserve"> </w:t>
      </w:r>
      <w:r w:rsidRPr="003F1F77">
        <w:rPr>
          <w:rFonts w:asciiTheme="minorHAnsi" w:hAnsiTheme="minorHAnsi" w:cstheme="minorHAnsi"/>
        </w:rPr>
        <w:t>bezpečnost</w:t>
      </w:r>
      <w:r w:rsidR="005465F9">
        <w:rPr>
          <w:rFonts w:asciiTheme="minorHAnsi" w:hAnsiTheme="minorHAnsi" w:cstheme="minorHAnsi"/>
        </w:rPr>
        <w:t>i</w:t>
      </w:r>
      <w:r w:rsidRPr="003F1F77">
        <w:rPr>
          <w:rFonts w:asciiTheme="minorHAnsi" w:hAnsiTheme="minorHAnsi" w:cstheme="minorHAnsi"/>
        </w:rPr>
        <w:t xml:space="preserve"> a bezbariérovost</w:t>
      </w:r>
      <w:r w:rsidR="005465F9">
        <w:rPr>
          <w:rFonts w:asciiTheme="minorHAnsi" w:hAnsiTheme="minorHAnsi" w:cstheme="minorHAnsi"/>
        </w:rPr>
        <w:t>i</w:t>
      </w:r>
      <w:r w:rsidRPr="003F1F77">
        <w:rPr>
          <w:rFonts w:asciiTheme="minorHAnsi" w:hAnsiTheme="minorHAnsi" w:cstheme="minorHAnsi"/>
        </w:rPr>
        <w:t xml:space="preserve"> komunikací pro pěší nepostačuje. Má-li být zajištěna účelnost poskytování a použití podpory, nemůže být jejím cílem jen neměřitelné a objektivně nevyhodnotitelné „zlepšení stavu“, </w:t>
      </w:r>
      <w:r w:rsidRPr="003F1F77">
        <w:rPr>
          <w:rFonts w:asciiTheme="minorHAnsi" w:hAnsiTheme="minorHAnsi" w:cstheme="minorHAnsi"/>
        </w:rPr>
        <w:lastRenderedPageBreak/>
        <w:t>u</w:t>
      </w:r>
      <w:r w:rsidR="001A729B">
        <w:rPr>
          <w:rFonts w:asciiTheme="minorHAnsi" w:hAnsiTheme="minorHAnsi" w:cstheme="minorHAnsi"/>
        </w:rPr>
        <w:t> </w:t>
      </w:r>
      <w:r w:rsidRPr="003F1F77">
        <w:rPr>
          <w:rFonts w:asciiTheme="minorHAnsi" w:hAnsiTheme="minorHAnsi" w:cstheme="minorHAnsi"/>
        </w:rPr>
        <w:t>něhož není nijak vymezena výchozí ani cílová úroveň a není ani zřejmé, jak bude sledován pokrok při odstraňování nedostatků.</w:t>
      </w:r>
    </w:p>
    <w:p w:rsidR="009962CB" w:rsidRDefault="009962CB" w:rsidP="009962CB">
      <w:pPr>
        <w:pStyle w:val="Default"/>
        <w:spacing w:line="252" w:lineRule="auto"/>
        <w:contextualSpacing/>
        <w:jc w:val="both"/>
        <w:rPr>
          <w:rFonts w:asciiTheme="minorHAnsi" w:hAnsiTheme="minorHAnsi" w:cstheme="minorHAnsi"/>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 ani jaké jsou její skutečné výsledky</w:t>
      </w:r>
      <w:r>
        <w:rPr>
          <w:rFonts w:eastAsia="Calibri" w:cstheme="minorHAnsi"/>
          <w:b/>
          <w:i/>
          <w:color w:val="4472C4" w:themeColor="accent5"/>
          <w:sz w:val="24"/>
          <w:szCs w:val="24"/>
        </w:rPr>
        <w:t>.</w:t>
      </w:r>
    </w:p>
    <w:p w:rsidR="009962CB" w:rsidRPr="003F1F77" w:rsidRDefault="009962CB" w:rsidP="009962CB">
      <w:pPr>
        <w:pStyle w:val="Default"/>
        <w:spacing w:line="252" w:lineRule="auto"/>
        <w:contextualSpacing/>
        <w:jc w:val="both"/>
        <w:rPr>
          <w:rFonts w:asciiTheme="minorHAnsi" w:hAnsiTheme="minorHAnsi" w:cstheme="minorHAnsi"/>
        </w:rPr>
      </w:pPr>
    </w:p>
    <w:p w:rsidR="009962CB" w:rsidRPr="003F1F77" w:rsidRDefault="009962CB" w:rsidP="009962CB">
      <w:pPr>
        <w:spacing w:after="0" w:line="252" w:lineRule="auto"/>
        <w:contextualSpacing/>
        <w:jc w:val="both"/>
        <w:rPr>
          <w:rFonts w:eastAsia="Calibri" w:cstheme="minorHAnsi"/>
          <w:sz w:val="24"/>
          <w:szCs w:val="24"/>
        </w:rPr>
      </w:pPr>
      <w:r w:rsidRPr="003F1F77">
        <w:rPr>
          <w:rFonts w:eastAsia="Calibri" w:cstheme="minorHAnsi"/>
          <w:sz w:val="24"/>
          <w:szCs w:val="24"/>
        </w:rPr>
        <w:t xml:space="preserve">4.5 Povinnost analyzovat dosahované výsledky a činit opatření k řešení aktuálních otázek vyplývá MD z ustanovení § 22 zákona České národní rady č. 2/1969 Sb. </w:t>
      </w:r>
      <w:r w:rsidRPr="003F1F77">
        <w:rPr>
          <w:rFonts w:cstheme="minorHAnsi"/>
          <w:sz w:val="24"/>
          <w:szCs w:val="24"/>
        </w:rPr>
        <w:t xml:space="preserve">(viz </w:t>
      </w:r>
      <w:r>
        <w:rPr>
          <w:rFonts w:cstheme="minorHAnsi"/>
          <w:sz w:val="24"/>
          <w:szCs w:val="24"/>
        </w:rPr>
        <w:t xml:space="preserve">odstavec </w:t>
      </w:r>
      <w:r w:rsidRPr="003F1F77">
        <w:rPr>
          <w:rFonts w:cstheme="minorHAnsi"/>
          <w:sz w:val="24"/>
          <w:szCs w:val="24"/>
        </w:rPr>
        <w:t xml:space="preserve">2.1). </w:t>
      </w:r>
      <w:r w:rsidRPr="003F1F77">
        <w:rPr>
          <w:rFonts w:eastAsia="Calibri" w:cstheme="minorHAnsi"/>
          <w:sz w:val="24"/>
          <w:szCs w:val="24"/>
        </w:rPr>
        <w:t xml:space="preserve">Podle zmíněné </w:t>
      </w:r>
      <w:r w:rsidRPr="000B29CF">
        <w:rPr>
          <w:rFonts w:eastAsia="Calibri" w:cstheme="minorHAnsi"/>
          <w:i/>
          <w:iCs/>
          <w:sz w:val="24"/>
          <w:szCs w:val="24"/>
        </w:rPr>
        <w:t xml:space="preserve">Metodiky </w:t>
      </w:r>
      <w:r w:rsidR="009B4A39" w:rsidRPr="000B29CF">
        <w:rPr>
          <w:rFonts w:eastAsia="Calibri" w:cstheme="minorHAnsi"/>
          <w:i/>
          <w:iCs/>
          <w:sz w:val="24"/>
          <w:szCs w:val="24"/>
        </w:rPr>
        <w:t xml:space="preserve">přípravy </w:t>
      </w:r>
      <w:r w:rsidRPr="000B29CF">
        <w:rPr>
          <w:rFonts w:eastAsia="Calibri" w:cstheme="minorHAnsi"/>
          <w:i/>
          <w:iCs/>
          <w:sz w:val="24"/>
          <w:szCs w:val="24"/>
        </w:rPr>
        <w:t>veřejných strategií</w:t>
      </w:r>
      <w:r w:rsidRPr="003F1F77">
        <w:rPr>
          <w:rFonts w:eastAsia="Calibri" w:cstheme="minorHAnsi"/>
          <w:sz w:val="24"/>
          <w:szCs w:val="24"/>
        </w:rPr>
        <w:t xml:space="preserve"> má být průběžně vyhodnocována efektivnost opatření realizovaných v rámci strategie a mají být navrhovány korektivní mechanismy. Vyhodnocování celkových výsledků podpory by totiž mělo poskytnout zpětnou vazbu umožňující mj. vyhodnotit i účelnost použití podpory a získat informace nezbytné pro přijímání opatření směřujících k</w:t>
      </w:r>
      <w:r>
        <w:rPr>
          <w:rFonts w:eastAsia="Calibri" w:cstheme="minorHAnsi"/>
          <w:sz w:val="24"/>
          <w:szCs w:val="24"/>
        </w:rPr>
        <w:t>e</w:t>
      </w:r>
      <w:r w:rsidRPr="003F1F77">
        <w:rPr>
          <w:rFonts w:eastAsia="Calibri" w:cstheme="minorHAnsi"/>
          <w:sz w:val="24"/>
          <w:szCs w:val="24"/>
        </w:rPr>
        <w:t> zvýšení účinnosti této podpory.</w:t>
      </w:r>
    </w:p>
    <w:p w:rsidR="009962CB" w:rsidRPr="003F1F77" w:rsidRDefault="009962CB" w:rsidP="009962CB">
      <w:pPr>
        <w:spacing w:after="0" w:line="252" w:lineRule="auto"/>
        <w:contextualSpacing/>
        <w:jc w:val="both"/>
        <w:rPr>
          <w:rFonts w:eastAsia="Calibri" w:cstheme="minorHAnsi"/>
          <w:sz w:val="24"/>
          <w:szCs w:val="24"/>
        </w:rPr>
      </w:pPr>
    </w:p>
    <w:p w:rsidR="009962CB" w:rsidRPr="003F1F77" w:rsidRDefault="009962CB" w:rsidP="009962CB">
      <w:pPr>
        <w:spacing w:after="0" w:line="252" w:lineRule="auto"/>
        <w:contextualSpacing/>
        <w:jc w:val="both"/>
        <w:rPr>
          <w:rFonts w:eastAsia="Calibri" w:cstheme="minorHAnsi"/>
          <w:sz w:val="24"/>
          <w:szCs w:val="24"/>
        </w:rPr>
      </w:pPr>
      <w:r w:rsidRPr="003F1F77">
        <w:rPr>
          <w:rFonts w:eastAsia="Calibri" w:cstheme="minorHAnsi"/>
          <w:sz w:val="24"/>
          <w:szCs w:val="24"/>
        </w:rPr>
        <w:t>4.6 Na podporu výstavby a rekonstrukcí komunikací pro pěší</w:t>
      </w:r>
      <w:r w:rsidR="00222D03">
        <w:rPr>
          <w:rFonts w:eastAsia="Calibri" w:cstheme="minorHAnsi"/>
          <w:sz w:val="24"/>
          <w:szCs w:val="24"/>
        </w:rPr>
        <w:t xml:space="preserve"> </w:t>
      </w:r>
      <w:r w:rsidRPr="003F1F77">
        <w:rPr>
          <w:rFonts w:eastAsia="Calibri" w:cstheme="minorHAnsi"/>
          <w:sz w:val="24"/>
          <w:szCs w:val="24"/>
        </w:rPr>
        <w:t>bylo v</w:t>
      </w:r>
      <w:r w:rsidR="00222D03">
        <w:rPr>
          <w:rFonts w:eastAsia="Calibri" w:cstheme="minorHAnsi"/>
          <w:sz w:val="24"/>
          <w:szCs w:val="24"/>
        </w:rPr>
        <w:t xml:space="preserve"> </w:t>
      </w:r>
      <w:r w:rsidRPr="003F1F77">
        <w:rPr>
          <w:rFonts w:eastAsia="Calibri" w:cstheme="minorHAnsi"/>
          <w:sz w:val="24"/>
          <w:szCs w:val="24"/>
        </w:rPr>
        <w:t xml:space="preserve">letech </w:t>
      </w:r>
      <w:r w:rsidRPr="003F1F77">
        <w:rPr>
          <w:rFonts w:cstheme="minorHAnsi"/>
          <w:sz w:val="24"/>
          <w:szCs w:val="24"/>
        </w:rPr>
        <w:t>2014</w:t>
      </w:r>
      <w:r w:rsidR="00A97354">
        <w:rPr>
          <w:rFonts w:cstheme="minorHAnsi"/>
          <w:sz w:val="24"/>
          <w:szCs w:val="24"/>
        </w:rPr>
        <w:t>–</w:t>
      </w:r>
      <w:r w:rsidRPr="003F1F77">
        <w:rPr>
          <w:rFonts w:cstheme="minorHAnsi"/>
          <w:sz w:val="24"/>
          <w:szCs w:val="24"/>
        </w:rPr>
        <w:t>2023 v</w:t>
      </w:r>
      <w:r w:rsidR="00222D03">
        <w:rPr>
          <w:rFonts w:cstheme="minorHAnsi"/>
          <w:sz w:val="24"/>
          <w:szCs w:val="24"/>
        </w:rPr>
        <w:t xml:space="preserve"> </w:t>
      </w:r>
      <w:r w:rsidRPr="003F1F77">
        <w:rPr>
          <w:rFonts w:cstheme="minorHAnsi"/>
          <w:sz w:val="24"/>
          <w:szCs w:val="24"/>
        </w:rPr>
        <w:t xml:space="preserve">resortu dopravy vynaloženo přes 5 mld. Kč </w:t>
      </w:r>
      <w:r>
        <w:rPr>
          <w:rFonts w:cstheme="minorHAnsi"/>
          <w:sz w:val="24"/>
          <w:szCs w:val="24"/>
        </w:rPr>
        <w:t>z</w:t>
      </w:r>
      <w:r w:rsidRPr="003F1F77">
        <w:rPr>
          <w:rFonts w:cstheme="minorHAnsi"/>
          <w:sz w:val="24"/>
          <w:szCs w:val="24"/>
        </w:rPr>
        <w:t xml:space="preserve"> rozpočtu SFDI. Dalších </w:t>
      </w:r>
      <w:r>
        <w:rPr>
          <w:rFonts w:cstheme="minorHAnsi"/>
          <w:sz w:val="24"/>
          <w:szCs w:val="24"/>
        </w:rPr>
        <w:t xml:space="preserve">téměř </w:t>
      </w:r>
      <w:r w:rsidRPr="003F1F77">
        <w:rPr>
          <w:rFonts w:cstheme="minorHAnsi"/>
          <w:sz w:val="24"/>
          <w:szCs w:val="24"/>
        </w:rPr>
        <w:t>4,</w:t>
      </w:r>
      <w:r>
        <w:rPr>
          <w:rFonts w:cstheme="minorHAnsi"/>
          <w:sz w:val="24"/>
          <w:szCs w:val="24"/>
        </w:rPr>
        <w:t>5</w:t>
      </w:r>
      <w:r w:rsidRPr="003F1F77">
        <w:rPr>
          <w:rFonts w:cstheme="minorHAnsi"/>
          <w:sz w:val="24"/>
          <w:szCs w:val="24"/>
        </w:rPr>
        <w:t xml:space="preserve"> mld. Kč na tento účel poskytlo MMR z peněžních prostředků </w:t>
      </w:r>
      <w:r w:rsidR="00FB3C20">
        <w:rPr>
          <w:rFonts w:cstheme="minorHAnsi"/>
          <w:sz w:val="24"/>
          <w:szCs w:val="24"/>
        </w:rPr>
        <w:t>státního rozpočtu</w:t>
      </w:r>
      <w:r w:rsidR="00FB3C20" w:rsidRPr="003F1F77">
        <w:rPr>
          <w:rFonts w:cstheme="minorHAnsi"/>
          <w:sz w:val="24"/>
          <w:szCs w:val="24"/>
        </w:rPr>
        <w:t xml:space="preserve"> </w:t>
      </w:r>
      <w:r w:rsidRPr="003F1F77">
        <w:rPr>
          <w:rFonts w:cstheme="minorHAnsi"/>
          <w:sz w:val="24"/>
          <w:szCs w:val="24"/>
        </w:rPr>
        <w:t xml:space="preserve">a EU v rámci IROP </w:t>
      </w:r>
      <w:r w:rsidRPr="003F1F77">
        <w:rPr>
          <w:rFonts w:eastAsia="Calibri" w:cstheme="minorHAnsi"/>
          <w:sz w:val="24"/>
          <w:szCs w:val="24"/>
        </w:rPr>
        <w:t xml:space="preserve">(viz </w:t>
      </w:r>
      <w:r>
        <w:rPr>
          <w:rFonts w:eastAsia="Calibri" w:cstheme="minorHAnsi"/>
          <w:sz w:val="24"/>
          <w:szCs w:val="24"/>
        </w:rPr>
        <w:t xml:space="preserve">odstavec </w:t>
      </w:r>
      <w:r w:rsidRPr="003F1F77">
        <w:rPr>
          <w:rFonts w:eastAsia="Calibri" w:cstheme="minorHAnsi"/>
          <w:sz w:val="24"/>
          <w:szCs w:val="24"/>
        </w:rPr>
        <w:t xml:space="preserve">2.10). NKÚ kontrolou zjistil, že celkové výsledky této podpory ale nejsou známy. MD, SFDI ani MMR je totiž nesledují a nevyhodnocují, nakolik </w:t>
      </w:r>
      <w:r w:rsidR="003A0651">
        <w:rPr>
          <w:rFonts w:eastAsia="Calibri" w:cstheme="minorHAnsi"/>
          <w:sz w:val="24"/>
          <w:szCs w:val="24"/>
        </w:rPr>
        <w:t>došlo díky poskytování této podpory ke zlepšení</w:t>
      </w:r>
      <w:r w:rsidRPr="003F1F77">
        <w:rPr>
          <w:rFonts w:eastAsia="Calibri" w:cstheme="minorHAnsi"/>
          <w:sz w:val="24"/>
          <w:szCs w:val="24"/>
        </w:rPr>
        <w:t xml:space="preserve"> stav</w:t>
      </w:r>
      <w:r w:rsidR="003A0651">
        <w:rPr>
          <w:rFonts w:eastAsia="Calibri" w:cstheme="minorHAnsi"/>
          <w:sz w:val="24"/>
          <w:szCs w:val="24"/>
        </w:rPr>
        <w:t>u</w:t>
      </w:r>
      <w:r w:rsidRPr="003F1F77">
        <w:rPr>
          <w:rFonts w:eastAsia="Calibri" w:cstheme="minorHAnsi"/>
          <w:sz w:val="24"/>
          <w:szCs w:val="24"/>
        </w:rPr>
        <w:t xml:space="preserve"> dané oblasti a jaká část identifikovaných nedostatků byla odstraněna.</w:t>
      </w:r>
    </w:p>
    <w:p w:rsidR="009962CB" w:rsidRPr="003F1F77" w:rsidRDefault="009962CB" w:rsidP="009962CB">
      <w:pPr>
        <w:spacing w:after="0" w:line="252" w:lineRule="auto"/>
        <w:contextualSpacing/>
        <w:jc w:val="both"/>
        <w:rPr>
          <w:rFonts w:eastAsia="Calibri" w:cstheme="minorHAnsi"/>
          <w:sz w:val="24"/>
          <w:szCs w:val="24"/>
        </w:rPr>
      </w:pPr>
    </w:p>
    <w:p w:rsidR="009962CB" w:rsidRPr="003F1F77" w:rsidRDefault="009962CB" w:rsidP="009962CB">
      <w:pPr>
        <w:spacing w:after="0" w:line="252" w:lineRule="auto"/>
        <w:contextualSpacing/>
        <w:jc w:val="both"/>
        <w:rPr>
          <w:rFonts w:eastAsia="Calibri" w:cstheme="minorHAnsi"/>
          <w:sz w:val="24"/>
          <w:szCs w:val="24"/>
        </w:rPr>
      </w:pPr>
      <w:r w:rsidRPr="003F1F77">
        <w:rPr>
          <w:rFonts w:eastAsia="Calibri" w:cstheme="minorHAnsi"/>
          <w:sz w:val="24"/>
          <w:szCs w:val="24"/>
        </w:rPr>
        <w:t xml:space="preserve">4.7 MD výsledky poskytnuté podpory a její vliv na oblast pěší dopravy, bezpečnost </w:t>
      </w:r>
      <w:r w:rsidR="006B5EF6">
        <w:rPr>
          <w:rFonts w:eastAsia="Calibri" w:cstheme="minorHAnsi"/>
          <w:sz w:val="24"/>
          <w:szCs w:val="24"/>
        </w:rPr>
        <w:br/>
      </w:r>
      <w:r w:rsidRPr="003F1F77">
        <w:rPr>
          <w:rFonts w:eastAsia="Calibri" w:cstheme="minorHAnsi"/>
          <w:sz w:val="24"/>
          <w:szCs w:val="24"/>
        </w:rPr>
        <w:t xml:space="preserve">a bezbariérovost komunikací pro pěší nevyhodnotilo s odůvodněním, že podporu poskytuje SFDI a výsledky podpory vyhodnocují obce ve své samostatné působnosti. NKÚ ale zjistil, že SFDI poskytování podpory řídí a vyhodnocuje jen na úrovni jednotlivých projektů. </w:t>
      </w:r>
      <w:r>
        <w:rPr>
          <w:rFonts w:eastAsia="Calibri" w:cstheme="minorHAnsi"/>
          <w:sz w:val="24"/>
          <w:szCs w:val="24"/>
        </w:rPr>
        <w:t xml:space="preserve">SFDI </w:t>
      </w:r>
      <w:r w:rsidRPr="003F1F77">
        <w:rPr>
          <w:rFonts w:eastAsia="Calibri" w:cstheme="minorHAnsi"/>
          <w:sz w:val="24"/>
          <w:szCs w:val="24"/>
        </w:rPr>
        <w:t xml:space="preserve">přitom </w:t>
      </w:r>
      <w:r>
        <w:rPr>
          <w:rFonts w:eastAsia="Calibri" w:cstheme="minorHAnsi"/>
          <w:sz w:val="24"/>
          <w:szCs w:val="24"/>
        </w:rPr>
        <w:t>n</w:t>
      </w:r>
      <w:r w:rsidRPr="003F1F77">
        <w:rPr>
          <w:rFonts w:eastAsia="Calibri" w:cstheme="minorHAnsi"/>
          <w:sz w:val="24"/>
          <w:szCs w:val="24"/>
        </w:rPr>
        <w:t xml:space="preserve">estanovil žádné konkrétní měřitelné cíle, kterých má být dosaženo. Vyhodnocoval </w:t>
      </w:r>
      <w:r w:rsidR="00FB3C20">
        <w:rPr>
          <w:rFonts w:eastAsia="Calibri" w:cstheme="minorHAnsi"/>
          <w:sz w:val="24"/>
          <w:szCs w:val="24"/>
        </w:rPr>
        <w:t xml:space="preserve">pouze </w:t>
      </w:r>
      <w:r w:rsidRPr="003F1F77">
        <w:rPr>
          <w:rFonts w:eastAsia="Calibri" w:cstheme="minorHAnsi"/>
          <w:sz w:val="24"/>
          <w:szCs w:val="24"/>
        </w:rPr>
        <w:t>dodržení účelu, na který podporu poskytl, nikoliv ale účelnost použití podpory</w:t>
      </w:r>
      <w:r>
        <w:rPr>
          <w:rStyle w:val="Znakapoznpodarou"/>
          <w:rFonts w:eastAsia="Calibri" w:cstheme="minorHAnsi"/>
          <w:sz w:val="24"/>
          <w:szCs w:val="24"/>
        </w:rPr>
        <w:footnoteReference w:id="25"/>
      </w:r>
      <w:r w:rsidRPr="003F1F77">
        <w:rPr>
          <w:rFonts w:eastAsia="Calibri" w:cstheme="minorHAnsi"/>
          <w:sz w:val="24"/>
          <w:szCs w:val="24"/>
        </w:rPr>
        <w:t xml:space="preserve">. </w:t>
      </w:r>
    </w:p>
    <w:p w:rsidR="009962CB" w:rsidRPr="003F1F77" w:rsidRDefault="009962CB" w:rsidP="009962CB">
      <w:pPr>
        <w:spacing w:after="0" w:line="252" w:lineRule="auto"/>
        <w:contextualSpacing/>
        <w:jc w:val="both"/>
        <w:rPr>
          <w:rFonts w:eastAsia="Calibri" w:cstheme="minorHAnsi"/>
          <w:sz w:val="24"/>
          <w:szCs w:val="24"/>
        </w:rPr>
      </w:pPr>
    </w:p>
    <w:p w:rsidR="009962CB" w:rsidRPr="003F1F77" w:rsidRDefault="009962CB" w:rsidP="009962CB">
      <w:pPr>
        <w:spacing w:after="0" w:line="252" w:lineRule="auto"/>
        <w:contextualSpacing/>
        <w:jc w:val="both"/>
        <w:rPr>
          <w:rFonts w:eastAsia="Calibri" w:cstheme="minorHAnsi"/>
          <w:sz w:val="24"/>
          <w:szCs w:val="24"/>
        </w:rPr>
      </w:pPr>
      <w:r w:rsidRPr="003F1F77">
        <w:rPr>
          <w:rFonts w:eastAsia="Calibri" w:cstheme="minorHAnsi"/>
          <w:sz w:val="24"/>
          <w:szCs w:val="24"/>
        </w:rPr>
        <w:t>4.8 Skutečné výsledky projektů SFDI vyhodnocoval na základě podkladů poskytnutých příjemci podpory při tzv. závěrečném vyhodnocení akce. T</w:t>
      </w:r>
      <w:r w:rsidR="00A97354">
        <w:rPr>
          <w:rFonts w:eastAsia="Calibri" w:cstheme="minorHAnsi"/>
          <w:sz w:val="24"/>
          <w:szCs w:val="24"/>
        </w:rPr>
        <w:t>o</w:t>
      </w:r>
      <w:r w:rsidRPr="003F1F77">
        <w:rPr>
          <w:rFonts w:eastAsia="Calibri" w:cstheme="minorHAnsi"/>
          <w:sz w:val="24"/>
          <w:szCs w:val="24"/>
        </w:rPr>
        <w:t xml:space="preserve">to vyhodnocení měl příjemce povinnost předložit do konce roku následujícího po ukončení financování akce. NKÚ ale kontrolou zjistil, že závěrečná vyhodnocení </w:t>
      </w:r>
      <w:r>
        <w:rPr>
          <w:rFonts w:eastAsia="Calibri" w:cstheme="minorHAnsi"/>
          <w:sz w:val="24"/>
          <w:szCs w:val="24"/>
        </w:rPr>
        <w:t>akcí</w:t>
      </w:r>
      <w:r w:rsidRPr="003F1F77">
        <w:rPr>
          <w:rFonts w:eastAsia="Calibri" w:cstheme="minorHAnsi"/>
          <w:sz w:val="24"/>
          <w:szCs w:val="24"/>
        </w:rPr>
        <w:t xml:space="preserve"> byla </w:t>
      </w:r>
      <w:r w:rsidR="00FB3C20">
        <w:rPr>
          <w:rFonts w:eastAsia="Calibri" w:cstheme="minorHAnsi"/>
          <w:sz w:val="24"/>
          <w:szCs w:val="24"/>
        </w:rPr>
        <w:t xml:space="preserve">v některých případech </w:t>
      </w:r>
      <w:r w:rsidRPr="003F1F77">
        <w:rPr>
          <w:rFonts w:eastAsia="Calibri" w:cstheme="minorHAnsi"/>
          <w:sz w:val="24"/>
          <w:szCs w:val="24"/>
        </w:rPr>
        <w:t>předkládána a SFDI schvalována s prodlením odůvod</w:t>
      </w:r>
      <w:r>
        <w:rPr>
          <w:rFonts w:eastAsia="Calibri" w:cstheme="minorHAnsi"/>
          <w:sz w:val="24"/>
          <w:szCs w:val="24"/>
        </w:rPr>
        <w:t>ňova</w:t>
      </w:r>
      <w:r w:rsidRPr="003F1F77">
        <w:rPr>
          <w:rFonts w:eastAsia="Calibri" w:cstheme="minorHAnsi"/>
          <w:sz w:val="24"/>
          <w:szCs w:val="24"/>
        </w:rPr>
        <w:t xml:space="preserve">ným nedokončeným majetkoprávním vypořádáním pozemků dotčených stavbami. SFDI </w:t>
      </w:r>
      <w:r>
        <w:rPr>
          <w:rFonts w:eastAsia="Calibri" w:cstheme="minorHAnsi"/>
          <w:sz w:val="24"/>
          <w:szCs w:val="24"/>
        </w:rPr>
        <w:t>l</w:t>
      </w:r>
      <w:r w:rsidRPr="003F1F77">
        <w:rPr>
          <w:rFonts w:eastAsia="Calibri" w:cstheme="minorHAnsi"/>
          <w:sz w:val="24"/>
          <w:szCs w:val="24"/>
        </w:rPr>
        <w:t xml:space="preserve">hůty pro předložení závěrečných vyhodnocení akce prodlužoval, </w:t>
      </w:r>
      <w:r w:rsidR="006B5EF6">
        <w:rPr>
          <w:rFonts w:eastAsia="Calibri" w:cstheme="minorHAnsi"/>
          <w:sz w:val="24"/>
          <w:szCs w:val="24"/>
        </w:rPr>
        <w:br/>
      </w:r>
      <w:r w:rsidRPr="003F1F77">
        <w:rPr>
          <w:rFonts w:eastAsia="Calibri" w:cstheme="minorHAnsi"/>
          <w:sz w:val="24"/>
          <w:szCs w:val="24"/>
        </w:rPr>
        <w:t xml:space="preserve">a to i opakovaně. Oprávněnost důvodů uváděných příjemci podpory v žádostech o prodloužení lhůty pro předložení závěrečného vyhodnocení akce SFDI neprověřoval. </w:t>
      </w:r>
      <w:r>
        <w:rPr>
          <w:rFonts w:eastAsia="Calibri" w:cstheme="minorHAnsi"/>
          <w:sz w:val="24"/>
          <w:szCs w:val="24"/>
        </w:rPr>
        <w:t xml:space="preserve">Případ opakovaného a dlouhodobého prodlužování </w:t>
      </w:r>
      <w:r w:rsidR="00A97354">
        <w:rPr>
          <w:rFonts w:eastAsia="Calibri" w:cstheme="minorHAnsi"/>
          <w:sz w:val="24"/>
          <w:szCs w:val="24"/>
        </w:rPr>
        <w:t xml:space="preserve">termínu pro odevzdání </w:t>
      </w:r>
      <w:r>
        <w:rPr>
          <w:rFonts w:eastAsia="Calibri" w:cstheme="minorHAnsi"/>
          <w:sz w:val="24"/>
          <w:szCs w:val="24"/>
        </w:rPr>
        <w:t xml:space="preserve">závěrečného vyhodnocení </w:t>
      </w:r>
      <w:r w:rsidR="00A97354">
        <w:rPr>
          <w:rFonts w:eastAsia="Calibri" w:cstheme="minorHAnsi"/>
          <w:sz w:val="24"/>
          <w:szCs w:val="24"/>
        </w:rPr>
        <w:t xml:space="preserve">akce </w:t>
      </w:r>
      <w:r>
        <w:rPr>
          <w:rFonts w:eastAsia="Calibri" w:cstheme="minorHAnsi"/>
          <w:sz w:val="24"/>
          <w:szCs w:val="24"/>
        </w:rPr>
        <w:t>je uveden v příkladu č. 1.</w:t>
      </w:r>
    </w:p>
    <w:p w:rsidR="009962CB" w:rsidRPr="003F1F77" w:rsidRDefault="009962CB" w:rsidP="009962CB">
      <w:pPr>
        <w:spacing w:after="0" w:line="252" w:lineRule="auto"/>
        <w:contextualSpacing/>
        <w:jc w:val="both"/>
        <w:rPr>
          <w:rFonts w:eastAsia="Calibri" w:cstheme="minorHAnsi"/>
          <w:sz w:val="24"/>
          <w:szCs w:val="24"/>
        </w:rPr>
      </w:pPr>
    </w:p>
    <w:p w:rsidR="009962CB" w:rsidRPr="00CE4C30" w:rsidRDefault="009962CB" w:rsidP="009962CB">
      <w:pPr>
        <w:spacing w:after="0" w:line="252" w:lineRule="auto"/>
        <w:contextualSpacing/>
        <w:jc w:val="both"/>
        <w:rPr>
          <w:rFonts w:eastAsia="Calibri" w:cstheme="minorHAnsi"/>
          <w:b/>
          <w:i/>
          <w:color w:val="2EB3A1"/>
        </w:rPr>
      </w:pPr>
      <w:r w:rsidRPr="00CE4C30">
        <w:rPr>
          <w:rFonts w:eastAsia="Calibri" w:cstheme="minorHAnsi"/>
          <w:b/>
          <w:i/>
          <w:color w:val="2EB3A1"/>
        </w:rPr>
        <w:t>Příklad č. 1: Prodlení při vyhodnocení projektu</w:t>
      </w: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Kontrolovaný projekt č. 1 byl realizován v</w:t>
      </w:r>
      <w:r w:rsidR="00A97354">
        <w:rPr>
          <w:rFonts w:eastAsia="Calibri" w:cstheme="minorHAnsi"/>
          <w:i/>
        </w:rPr>
        <w:t xml:space="preserve"> </w:t>
      </w:r>
      <w:r w:rsidRPr="00435049">
        <w:rPr>
          <w:rFonts w:eastAsia="Calibri" w:cstheme="minorHAnsi"/>
          <w:i/>
        </w:rPr>
        <w:t>letech 2014</w:t>
      </w:r>
      <w:r w:rsidR="00D3469D" w:rsidRPr="002F5290">
        <w:rPr>
          <w:rFonts w:cstheme="minorHAnsi"/>
          <w:sz w:val="24"/>
          <w:szCs w:val="24"/>
        </w:rPr>
        <w:t>–</w:t>
      </w:r>
      <w:r w:rsidRPr="00435049">
        <w:rPr>
          <w:rFonts w:eastAsia="Calibri" w:cstheme="minorHAnsi"/>
          <w:i/>
        </w:rPr>
        <w:t xml:space="preserve">2015. Jeho celkové a zároveň i </w:t>
      </w:r>
      <w:r w:rsidR="00D75AE1">
        <w:rPr>
          <w:rFonts w:eastAsia="Calibri" w:cstheme="minorHAnsi"/>
          <w:i/>
        </w:rPr>
        <w:t>uznateln</w:t>
      </w:r>
      <w:r w:rsidR="00D75AE1" w:rsidRPr="00435049">
        <w:rPr>
          <w:rFonts w:eastAsia="Calibri" w:cstheme="minorHAnsi"/>
          <w:i/>
        </w:rPr>
        <w:t xml:space="preserve">é </w:t>
      </w:r>
      <w:r w:rsidRPr="00435049">
        <w:rPr>
          <w:rFonts w:eastAsia="Calibri" w:cstheme="minorHAnsi"/>
          <w:i/>
        </w:rPr>
        <w:t>náklady činily 7,2</w:t>
      </w:r>
      <w:r w:rsidR="00F427F3">
        <w:rPr>
          <w:rFonts w:eastAsia="Calibri" w:cstheme="minorHAnsi"/>
          <w:i/>
        </w:rPr>
        <w:t>0</w:t>
      </w:r>
      <w:r w:rsidRPr="00435049">
        <w:rPr>
          <w:rFonts w:eastAsia="Calibri" w:cstheme="minorHAnsi"/>
          <w:i/>
        </w:rPr>
        <w:t xml:space="preserve"> mil. Kč, schválený limitní příspěvek SFDI na ně</w:t>
      </w:r>
      <w:r w:rsidR="00A17045">
        <w:rPr>
          <w:rFonts w:eastAsia="Calibri" w:cstheme="minorHAnsi"/>
          <w:i/>
        </w:rPr>
        <w:t>j</w:t>
      </w:r>
      <w:r w:rsidRPr="00435049">
        <w:rPr>
          <w:rFonts w:eastAsia="Calibri" w:cstheme="minorHAnsi"/>
          <w:i/>
        </w:rPr>
        <w:t xml:space="preserve"> činil 5,9</w:t>
      </w:r>
      <w:r w:rsidR="00F427F3">
        <w:rPr>
          <w:rFonts w:eastAsia="Calibri" w:cstheme="minorHAnsi"/>
          <w:i/>
        </w:rPr>
        <w:t>0</w:t>
      </w:r>
      <w:r w:rsidRPr="00435049">
        <w:rPr>
          <w:rFonts w:eastAsia="Calibri" w:cstheme="minorHAnsi"/>
          <w:i/>
        </w:rPr>
        <w:t xml:space="preserve"> mil. Kč. Příjemce podpory byl povinen předložit závěrečné vyhodnocení akce do konce roku 2016. Z důvodu majetkoprávního nevypořádání pozemků se státní příspěvkovou organizací však lhůtu nedodržel a SFDI mu ji na základě jeho žádostí </w:t>
      </w:r>
      <w:r w:rsidRPr="00435049">
        <w:rPr>
          <w:rFonts w:eastAsia="Calibri" w:cstheme="minorHAnsi"/>
          <w:i/>
        </w:rPr>
        <w:lastRenderedPageBreak/>
        <w:t>celkem 16</w:t>
      </w:r>
      <w:r w:rsidR="00A97354">
        <w:rPr>
          <w:rFonts w:eastAsia="Calibri" w:cstheme="minorHAnsi"/>
          <w:i/>
        </w:rPr>
        <w:t>×</w:t>
      </w:r>
      <w:r w:rsidRPr="00435049">
        <w:rPr>
          <w:rFonts w:eastAsia="Calibri" w:cstheme="minorHAnsi"/>
          <w:i/>
        </w:rPr>
        <w:t xml:space="preserve"> (!) prodloužil. Závěrečné vyhodnocení akce příjemce předložil až v době probíhající kontroly NKÚ v červnu 2024 a SFDI jej do doby ukončení kontroly NKÚ neschválil. Projekt tedy devět let po dokončení zůstával nevyhodnocen. </w:t>
      </w:r>
    </w:p>
    <w:p w:rsidR="009962CB" w:rsidRPr="000B29CF"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sz w:val="12"/>
          <w:szCs w:val="12"/>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 xml:space="preserve">NKÚ kontrolou tohoto projektu zjistil řadu závažných nedostatků, které byly důvodem pro jeho zařazení do stupně 4 – neúčelný. </w:t>
      </w:r>
      <w:r w:rsidRPr="00435049">
        <w:rPr>
          <w:rFonts w:cstheme="minorHAnsi"/>
          <w:i/>
        </w:rPr>
        <w:t xml:space="preserve">SFDI se nezabýval tím, že žadatel v žádosti o podporu uvedl </w:t>
      </w:r>
      <w:r w:rsidR="003D70B7">
        <w:rPr>
          <w:rFonts w:cstheme="minorHAnsi"/>
          <w:i/>
        </w:rPr>
        <w:t>nepřesné</w:t>
      </w:r>
      <w:r w:rsidR="00FB3C20">
        <w:rPr>
          <w:rFonts w:cstheme="minorHAnsi"/>
          <w:i/>
        </w:rPr>
        <w:t xml:space="preserve"> </w:t>
      </w:r>
      <w:r w:rsidR="006B5EF6">
        <w:rPr>
          <w:rFonts w:cstheme="minorHAnsi"/>
          <w:i/>
        </w:rPr>
        <w:br/>
      </w:r>
      <w:r w:rsidR="00FB3C20">
        <w:rPr>
          <w:rFonts w:cstheme="minorHAnsi"/>
          <w:i/>
        </w:rPr>
        <w:t>a</w:t>
      </w:r>
      <w:r w:rsidRPr="00435049">
        <w:rPr>
          <w:rFonts w:cstheme="minorHAnsi"/>
          <w:i/>
        </w:rPr>
        <w:t xml:space="preserve"> rozporuplné informace. Jako neprůkazné NKÚ vyhodnotil i přínosy projektu. Jeho realizace sice prokazatelně zlepšila stav chodníků v obci, významně ale nezvýšila bezpečnost chodců a nevyřešila některá místa problematická zejména pro osoby se sníženou schopností pohybu nebo orientace. </w:t>
      </w:r>
      <w:r w:rsidRPr="00435049">
        <w:rPr>
          <w:rFonts w:eastAsia="Calibri" w:cstheme="minorHAnsi"/>
          <w:i/>
        </w:rPr>
        <w:t>Devítiletý odstup vyhodnocení projektu od jeho realizace představuje komplikaci pro řešení takovýchto nedostatků mj. kvůli obtížnému zjišťování a prokazování skutečností z doby realizace projektu.</w:t>
      </w:r>
    </w:p>
    <w:bookmarkEnd w:id="15"/>
    <w:p w:rsidR="009962CB" w:rsidRDefault="009962CB" w:rsidP="009962CB">
      <w:pPr>
        <w:spacing w:after="0" w:line="252" w:lineRule="auto"/>
        <w:contextualSpacing/>
        <w:jc w:val="both"/>
        <w:rPr>
          <w:rFonts w:eastAsia="Calibri" w:cstheme="minorHAnsi"/>
          <w:sz w:val="24"/>
          <w:szCs w:val="24"/>
        </w:rPr>
      </w:pPr>
    </w:p>
    <w:p w:rsidR="009962CB" w:rsidRPr="00C101CB" w:rsidRDefault="009962CB" w:rsidP="009962CB">
      <w:pPr>
        <w:spacing w:after="0" w:line="252" w:lineRule="auto"/>
        <w:contextualSpacing/>
        <w:rPr>
          <w:rFonts w:eastAsia="Calibri" w:cstheme="minorHAnsi"/>
          <w:b/>
          <w:i/>
          <w:color w:val="4472C4" w:themeColor="accent5"/>
          <w:sz w:val="24"/>
          <w:szCs w:val="24"/>
        </w:rPr>
      </w:pPr>
      <w:bookmarkStart w:id="16" w:name="_Hlk177719703"/>
      <w:bookmarkStart w:id="17" w:name="_Hlk177720456"/>
      <w:r w:rsidRPr="00C101CB">
        <w:rPr>
          <w:rFonts w:eastAsia="Calibri" w:cstheme="minorHAnsi"/>
          <w:b/>
          <w:i/>
          <w:color w:val="4472C4" w:themeColor="accent5"/>
          <w:sz w:val="24"/>
          <w:szCs w:val="24"/>
        </w:rPr>
        <w:t>MMR nevytvořilo předpoklady pro objektivní vyhodnocení výsledků podpory</w:t>
      </w:r>
      <w:r>
        <w:rPr>
          <w:rFonts w:eastAsia="Calibri" w:cstheme="minorHAnsi"/>
          <w:b/>
          <w:i/>
          <w:color w:val="4472C4" w:themeColor="accent5"/>
          <w:sz w:val="24"/>
          <w:szCs w:val="24"/>
        </w:rPr>
        <w:t>.</w:t>
      </w:r>
    </w:p>
    <w:p w:rsidR="009962CB" w:rsidRPr="003F1F77" w:rsidRDefault="009962CB" w:rsidP="009962CB">
      <w:pPr>
        <w:spacing w:after="0" w:line="252" w:lineRule="auto"/>
        <w:contextualSpacing/>
        <w:jc w:val="both"/>
        <w:rPr>
          <w:rFonts w:eastAsia="Calibri" w:cstheme="minorHAnsi"/>
          <w:sz w:val="24"/>
          <w:szCs w:val="24"/>
        </w:rPr>
      </w:pPr>
    </w:p>
    <w:p w:rsidR="009962CB" w:rsidRPr="00690133" w:rsidRDefault="009962CB" w:rsidP="009962CB">
      <w:pPr>
        <w:spacing w:after="0" w:line="252" w:lineRule="auto"/>
        <w:contextualSpacing/>
        <w:jc w:val="both"/>
        <w:rPr>
          <w:rFonts w:cstheme="minorHAnsi"/>
          <w:sz w:val="24"/>
          <w:szCs w:val="24"/>
        </w:rPr>
      </w:pPr>
      <w:r w:rsidRPr="00690133">
        <w:rPr>
          <w:rFonts w:cstheme="minorHAnsi"/>
          <w:sz w:val="24"/>
          <w:szCs w:val="24"/>
        </w:rPr>
        <w:t>4.</w:t>
      </w:r>
      <w:r>
        <w:rPr>
          <w:rFonts w:cstheme="minorHAnsi"/>
          <w:sz w:val="24"/>
          <w:szCs w:val="24"/>
        </w:rPr>
        <w:t>9</w:t>
      </w:r>
      <w:r w:rsidRPr="00690133">
        <w:rPr>
          <w:rFonts w:cstheme="minorHAnsi"/>
          <w:sz w:val="24"/>
          <w:szCs w:val="24"/>
        </w:rPr>
        <w:t xml:space="preserve"> Strategie IROP byla založena na zvyšování regionální konkurenceschopnosti. Projekty zahrnující výstavbu a rekonstrukce</w:t>
      </w:r>
      <w:r w:rsidRPr="00690133">
        <w:rPr>
          <w:rFonts w:eastAsia="Calibri" w:cstheme="minorHAnsi"/>
          <w:sz w:val="24"/>
          <w:szCs w:val="24"/>
        </w:rPr>
        <w:t xml:space="preserve"> komunikací pro pěší byly z IROP podporovány především v rámci aktivity </w:t>
      </w:r>
      <w:r>
        <w:rPr>
          <w:rFonts w:eastAsia="Calibri" w:cstheme="minorHAnsi"/>
          <w:sz w:val="24"/>
          <w:szCs w:val="24"/>
        </w:rPr>
        <w:t>„</w:t>
      </w:r>
      <w:r w:rsidRPr="000B29CF">
        <w:rPr>
          <w:rFonts w:cstheme="minorHAnsi"/>
          <w:i/>
          <w:iCs/>
          <w:sz w:val="24"/>
          <w:szCs w:val="24"/>
        </w:rPr>
        <w:t>Bezpečnost dopravy</w:t>
      </w:r>
      <w:r>
        <w:rPr>
          <w:rFonts w:cstheme="minorHAnsi"/>
          <w:sz w:val="24"/>
          <w:szCs w:val="24"/>
        </w:rPr>
        <w:t>“</w:t>
      </w:r>
      <w:r w:rsidRPr="00690133">
        <w:rPr>
          <w:rFonts w:cstheme="minorHAnsi"/>
          <w:sz w:val="24"/>
          <w:szCs w:val="24"/>
        </w:rPr>
        <w:t xml:space="preserve">. Tato aktivita měla </w:t>
      </w:r>
      <w:r>
        <w:rPr>
          <w:rFonts w:cstheme="minorHAnsi"/>
          <w:sz w:val="24"/>
          <w:szCs w:val="24"/>
        </w:rPr>
        <w:t xml:space="preserve">přispět k plnění </w:t>
      </w:r>
      <w:bookmarkStart w:id="18" w:name="_Hlk179541956"/>
      <w:r w:rsidRPr="00690133">
        <w:rPr>
          <w:rFonts w:cstheme="minorHAnsi"/>
          <w:sz w:val="24"/>
          <w:szCs w:val="24"/>
        </w:rPr>
        <w:t>specifické</w:t>
      </w:r>
      <w:r>
        <w:rPr>
          <w:rFonts w:cstheme="minorHAnsi"/>
          <w:sz w:val="24"/>
          <w:szCs w:val="24"/>
        </w:rPr>
        <w:t>ho</w:t>
      </w:r>
      <w:r w:rsidRPr="00690133">
        <w:rPr>
          <w:rFonts w:cstheme="minorHAnsi"/>
          <w:sz w:val="24"/>
          <w:szCs w:val="24"/>
        </w:rPr>
        <w:t xml:space="preserve"> cíl</w:t>
      </w:r>
      <w:r>
        <w:rPr>
          <w:rFonts w:cstheme="minorHAnsi"/>
          <w:sz w:val="24"/>
          <w:szCs w:val="24"/>
        </w:rPr>
        <w:t>e</w:t>
      </w:r>
      <w:r w:rsidRPr="00690133">
        <w:rPr>
          <w:rFonts w:cstheme="minorHAnsi"/>
          <w:sz w:val="24"/>
          <w:szCs w:val="24"/>
        </w:rPr>
        <w:t xml:space="preserve"> 1.2</w:t>
      </w:r>
      <w:r w:rsidR="00A97354">
        <w:rPr>
          <w:rFonts w:cstheme="minorHAnsi"/>
          <w:sz w:val="24"/>
          <w:szCs w:val="24"/>
        </w:rPr>
        <w:t> </w:t>
      </w:r>
      <w:r w:rsidRPr="000B29CF">
        <w:rPr>
          <w:rFonts w:cstheme="minorHAnsi"/>
          <w:i/>
          <w:iCs/>
          <w:sz w:val="24"/>
          <w:szCs w:val="24"/>
        </w:rPr>
        <w:t>Zvýšení podílu udržitelných forem dopravy</w:t>
      </w:r>
      <w:r w:rsidRPr="00690133">
        <w:rPr>
          <w:rFonts w:cstheme="minorHAnsi"/>
          <w:sz w:val="24"/>
          <w:szCs w:val="24"/>
        </w:rPr>
        <w:t xml:space="preserve"> </w:t>
      </w:r>
      <w:bookmarkEnd w:id="18"/>
      <w:r>
        <w:rPr>
          <w:rFonts w:cstheme="minorHAnsi"/>
          <w:sz w:val="24"/>
          <w:szCs w:val="24"/>
        </w:rPr>
        <w:t xml:space="preserve">(dále též „SC 1.2“ </w:t>
      </w:r>
      <w:r w:rsidR="00A97354">
        <w:rPr>
          <w:rFonts w:cstheme="minorHAnsi"/>
          <w:sz w:val="24"/>
          <w:szCs w:val="24"/>
        </w:rPr>
        <w:t xml:space="preserve">– tento cíl byl </w:t>
      </w:r>
      <w:r w:rsidRPr="00690133">
        <w:rPr>
          <w:rFonts w:cstheme="minorHAnsi"/>
          <w:sz w:val="24"/>
          <w:szCs w:val="24"/>
        </w:rPr>
        <w:t>zaměřen mj. na pokles využívání automobilové dopravy ve prospěch šetrnějších způsobů dopravy</w:t>
      </w:r>
      <w:r>
        <w:rPr>
          <w:rFonts w:cstheme="minorHAnsi"/>
          <w:sz w:val="24"/>
          <w:szCs w:val="24"/>
        </w:rPr>
        <w:t xml:space="preserve"> a</w:t>
      </w:r>
      <w:r w:rsidRPr="00690133">
        <w:rPr>
          <w:rFonts w:cstheme="minorHAnsi"/>
          <w:sz w:val="24"/>
          <w:szCs w:val="24"/>
        </w:rPr>
        <w:t xml:space="preserve"> na zvýšení </w:t>
      </w:r>
      <w:r>
        <w:rPr>
          <w:rFonts w:cstheme="minorHAnsi"/>
          <w:sz w:val="24"/>
          <w:szCs w:val="24"/>
        </w:rPr>
        <w:t xml:space="preserve">jejich </w:t>
      </w:r>
      <w:r w:rsidRPr="00690133">
        <w:rPr>
          <w:rFonts w:cstheme="minorHAnsi"/>
          <w:sz w:val="24"/>
          <w:szCs w:val="24"/>
        </w:rPr>
        <w:t>bezpečnosti a dostupnosti zajištěním bezbariérového přístupu</w:t>
      </w:r>
      <w:r w:rsidR="00A97354">
        <w:rPr>
          <w:rFonts w:cstheme="minorHAnsi"/>
          <w:sz w:val="24"/>
          <w:szCs w:val="24"/>
        </w:rPr>
        <w:t>)</w:t>
      </w:r>
      <w:r>
        <w:rPr>
          <w:rFonts w:cstheme="minorHAnsi"/>
          <w:sz w:val="24"/>
          <w:szCs w:val="24"/>
        </w:rPr>
        <w:t xml:space="preserve"> a rovněž </w:t>
      </w:r>
      <w:bookmarkStart w:id="19" w:name="_Hlk179541969"/>
      <w:r w:rsidRPr="00690133">
        <w:rPr>
          <w:rFonts w:cstheme="minorHAnsi"/>
          <w:sz w:val="24"/>
          <w:szCs w:val="24"/>
        </w:rPr>
        <w:t xml:space="preserve">specifického cíle 4.1 </w:t>
      </w:r>
      <w:r w:rsidRPr="000B29CF">
        <w:rPr>
          <w:rFonts w:cstheme="minorHAnsi"/>
          <w:i/>
          <w:iCs/>
          <w:sz w:val="24"/>
          <w:szCs w:val="24"/>
        </w:rPr>
        <w:t>Posílení komunitně vedeného místního rozvoje za účelem zvýšení kvality života ve venkovských oblastech a aktivizace místního potenciálu</w:t>
      </w:r>
      <w:bookmarkEnd w:id="19"/>
      <w:r>
        <w:rPr>
          <w:rFonts w:cstheme="minorHAnsi"/>
          <w:sz w:val="24"/>
          <w:szCs w:val="24"/>
        </w:rPr>
        <w:t xml:space="preserve"> (dále též „SC 4.1“).</w:t>
      </w:r>
    </w:p>
    <w:p w:rsidR="009962CB" w:rsidRPr="00690133" w:rsidRDefault="009962CB" w:rsidP="009962CB">
      <w:pPr>
        <w:spacing w:after="0" w:line="252" w:lineRule="auto"/>
        <w:contextualSpacing/>
        <w:jc w:val="both"/>
        <w:rPr>
          <w:rFonts w:eastAsia="Calibri" w:cstheme="minorHAnsi"/>
          <w:sz w:val="24"/>
          <w:szCs w:val="24"/>
        </w:rPr>
      </w:pPr>
    </w:p>
    <w:p w:rsidR="009962CB" w:rsidRPr="000B29CF" w:rsidRDefault="009962CB" w:rsidP="009962CB">
      <w:pPr>
        <w:pStyle w:val="Odstavecseseznamem"/>
        <w:spacing w:after="0" w:line="252" w:lineRule="auto"/>
        <w:ind w:left="0"/>
        <w:jc w:val="both"/>
        <w:rPr>
          <w:rFonts w:cstheme="minorHAnsi"/>
          <w:sz w:val="24"/>
          <w:szCs w:val="24"/>
          <w:lang w:eastAsia="cs-CZ"/>
        </w:rPr>
      </w:pPr>
      <w:r w:rsidRPr="00C630C0">
        <w:rPr>
          <w:rFonts w:eastAsia="Calibri" w:cstheme="minorHAnsi"/>
          <w:sz w:val="24"/>
          <w:szCs w:val="24"/>
        </w:rPr>
        <w:t>4.</w:t>
      </w:r>
      <w:r>
        <w:rPr>
          <w:rFonts w:eastAsia="Calibri" w:cstheme="minorHAnsi"/>
          <w:sz w:val="24"/>
          <w:szCs w:val="24"/>
        </w:rPr>
        <w:t>10</w:t>
      </w:r>
      <w:r w:rsidRPr="00C630C0">
        <w:rPr>
          <w:rFonts w:eastAsia="Calibri" w:cstheme="minorHAnsi"/>
          <w:sz w:val="24"/>
          <w:szCs w:val="24"/>
        </w:rPr>
        <w:t xml:space="preserve"> Článek 96 odst. 2 první pododstavec písm. b) bod </w:t>
      </w:r>
      <w:proofErr w:type="spellStart"/>
      <w:r w:rsidRPr="00C630C0">
        <w:rPr>
          <w:rFonts w:eastAsia="Calibri" w:cstheme="minorHAnsi"/>
          <w:sz w:val="24"/>
          <w:szCs w:val="24"/>
        </w:rPr>
        <w:t>iv</w:t>
      </w:r>
      <w:proofErr w:type="spellEnd"/>
      <w:r w:rsidRPr="00C630C0">
        <w:rPr>
          <w:rFonts w:eastAsia="Calibri" w:cstheme="minorHAnsi"/>
          <w:sz w:val="24"/>
          <w:szCs w:val="24"/>
        </w:rPr>
        <w:t xml:space="preserve">) </w:t>
      </w:r>
      <w:r w:rsidR="00032499">
        <w:rPr>
          <w:rFonts w:eastAsia="Calibri" w:cstheme="minorHAnsi"/>
          <w:sz w:val="24"/>
          <w:szCs w:val="24"/>
        </w:rPr>
        <w:t>n</w:t>
      </w:r>
      <w:r w:rsidRPr="00C630C0">
        <w:rPr>
          <w:rFonts w:eastAsia="Calibri" w:cstheme="minorHAnsi"/>
          <w:sz w:val="24"/>
          <w:szCs w:val="24"/>
        </w:rPr>
        <w:t xml:space="preserve">ařízení Evropského parlamentu </w:t>
      </w:r>
      <w:r w:rsidR="006B5EF6">
        <w:rPr>
          <w:rFonts w:eastAsia="Calibri" w:cstheme="minorHAnsi"/>
          <w:sz w:val="24"/>
          <w:szCs w:val="24"/>
        </w:rPr>
        <w:br/>
      </w:r>
      <w:r w:rsidRPr="00C630C0">
        <w:rPr>
          <w:rFonts w:eastAsia="Calibri" w:cstheme="minorHAnsi"/>
          <w:sz w:val="24"/>
          <w:szCs w:val="24"/>
        </w:rPr>
        <w:t xml:space="preserve">a </w:t>
      </w:r>
      <w:r w:rsidR="00032499">
        <w:rPr>
          <w:rFonts w:eastAsia="Calibri" w:cstheme="minorHAnsi"/>
          <w:sz w:val="24"/>
          <w:szCs w:val="24"/>
        </w:rPr>
        <w:t>R</w:t>
      </w:r>
      <w:r w:rsidRPr="00C630C0">
        <w:rPr>
          <w:rFonts w:eastAsia="Calibri" w:cstheme="minorHAnsi"/>
          <w:sz w:val="24"/>
          <w:szCs w:val="24"/>
        </w:rPr>
        <w:t>ady (EU) č. 1303/2013</w:t>
      </w:r>
      <w:r w:rsidR="002774F5">
        <w:rPr>
          <w:rStyle w:val="Znakapoznpodarou"/>
          <w:rFonts w:eastAsia="Calibri" w:cstheme="minorHAnsi"/>
          <w:sz w:val="24"/>
          <w:szCs w:val="24"/>
        </w:rPr>
        <w:footnoteReference w:id="26"/>
      </w:r>
      <w:r w:rsidRPr="00C630C0">
        <w:rPr>
          <w:rFonts w:eastAsia="Calibri" w:cstheme="minorHAnsi"/>
          <w:sz w:val="24"/>
          <w:szCs w:val="24"/>
        </w:rPr>
        <w:t xml:space="preserve"> stanoví, že operační program pro každou prioritní osu nastaví: </w:t>
      </w:r>
      <w:r w:rsidRPr="000B29CF">
        <w:rPr>
          <w:rFonts w:eastAsia="Calibri" w:cstheme="minorHAnsi"/>
          <w:sz w:val="24"/>
          <w:szCs w:val="24"/>
        </w:rPr>
        <w:t>„</w:t>
      </w:r>
      <w:r w:rsidRPr="00C630C0">
        <w:rPr>
          <w:rFonts w:eastAsia="Calibri" w:cstheme="minorHAnsi"/>
          <w:i/>
          <w:sz w:val="24"/>
          <w:szCs w:val="24"/>
        </w:rPr>
        <w:t>...</w:t>
      </w:r>
      <w:r w:rsidR="00C66E37">
        <w:rPr>
          <w:rFonts w:eastAsia="Calibri" w:cstheme="minorHAnsi"/>
          <w:i/>
          <w:sz w:val="24"/>
          <w:szCs w:val="24"/>
        </w:rPr>
        <w:t> </w:t>
      </w:r>
      <w:r w:rsidRPr="00C630C0">
        <w:rPr>
          <w:rFonts w:eastAsia="Calibri" w:cstheme="minorHAnsi"/>
          <w:i/>
          <w:sz w:val="24"/>
          <w:szCs w:val="24"/>
        </w:rPr>
        <w:t>ukazatele výstupů pro každou investiční prioritu, včetně vyčíslené cílové hodnoty, které by podle očekávání měly ... přispět k dosažení výsledků</w:t>
      </w:r>
      <w:r w:rsidRPr="00C630C0">
        <w:rPr>
          <w:rFonts w:eastAsia="Calibri" w:cstheme="minorHAnsi"/>
          <w:sz w:val="24"/>
          <w:szCs w:val="24"/>
        </w:rPr>
        <w:t xml:space="preserve">“. </w:t>
      </w:r>
      <w:r w:rsidRPr="00C630C0">
        <w:rPr>
          <w:rFonts w:cstheme="minorHAnsi"/>
          <w:sz w:val="24"/>
          <w:szCs w:val="24"/>
          <w:lang w:eastAsia="cs-CZ"/>
        </w:rPr>
        <w:t>Článek 30 odst. 3 nařízení (EU, E</w:t>
      </w:r>
      <w:r w:rsidR="00C66E37">
        <w:rPr>
          <w:rFonts w:cstheme="minorHAnsi"/>
          <w:sz w:val="24"/>
          <w:szCs w:val="24"/>
          <w:lang w:eastAsia="cs-CZ"/>
        </w:rPr>
        <w:t>uratom</w:t>
      </w:r>
      <w:r w:rsidRPr="00C630C0">
        <w:rPr>
          <w:rFonts w:cstheme="minorHAnsi"/>
          <w:sz w:val="24"/>
          <w:szCs w:val="24"/>
          <w:lang w:eastAsia="cs-CZ"/>
        </w:rPr>
        <w:t>) č. 966/2012</w:t>
      </w:r>
      <w:r w:rsidRPr="000B29CF">
        <w:rPr>
          <w:rFonts w:cstheme="minorHAnsi"/>
          <w:bCs/>
          <w:sz w:val="24"/>
          <w:szCs w:val="24"/>
          <w:lang w:eastAsia="cs-CZ"/>
        </w:rPr>
        <w:t xml:space="preserve"> </w:t>
      </w:r>
      <w:r w:rsidRPr="00C630C0">
        <w:rPr>
          <w:rFonts w:cstheme="minorHAnsi"/>
          <w:sz w:val="24"/>
          <w:szCs w:val="24"/>
          <w:lang w:eastAsia="cs-CZ"/>
        </w:rPr>
        <w:t>(účinnost do 31. 12. 2018) stanov</w:t>
      </w:r>
      <w:r w:rsidR="002774F5">
        <w:rPr>
          <w:rFonts w:cstheme="minorHAnsi"/>
          <w:sz w:val="24"/>
          <w:szCs w:val="24"/>
          <w:lang w:eastAsia="cs-CZ"/>
        </w:rPr>
        <w:t>il</w:t>
      </w:r>
      <w:r w:rsidRPr="00C630C0">
        <w:rPr>
          <w:rFonts w:cstheme="minorHAnsi"/>
          <w:sz w:val="24"/>
          <w:szCs w:val="24"/>
          <w:lang w:eastAsia="cs-CZ"/>
        </w:rPr>
        <w:t xml:space="preserve">: </w:t>
      </w:r>
      <w:r w:rsidRPr="000B29CF">
        <w:rPr>
          <w:rFonts w:cstheme="minorHAnsi"/>
          <w:iCs/>
          <w:sz w:val="24"/>
          <w:szCs w:val="24"/>
          <w:lang w:eastAsia="cs-CZ"/>
        </w:rPr>
        <w:t>„</w:t>
      </w:r>
      <w:r w:rsidRPr="00C630C0">
        <w:rPr>
          <w:rFonts w:cstheme="minorHAnsi"/>
          <w:i/>
          <w:iCs/>
          <w:sz w:val="24"/>
          <w:szCs w:val="24"/>
          <w:lang w:eastAsia="cs-CZ"/>
        </w:rPr>
        <w:t xml:space="preserve">Pro všechny oblasti činností, na které se vztahuje rozpočet, </w:t>
      </w:r>
      <w:r w:rsidRPr="00C630C0">
        <w:rPr>
          <w:rFonts w:cstheme="minorHAnsi"/>
          <w:bCs/>
          <w:i/>
          <w:iCs/>
          <w:sz w:val="24"/>
          <w:szCs w:val="24"/>
          <w:lang w:eastAsia="cs-CZ"/>
        </w:rPr>
        <w:t>musí být stanoveny konkrétní, měřitelné, dosažitelné, relevantní a časově vymezené cíle</w:t>
      </w:r>
      <w:r w:rsidRPr="00C630C0">
        <w:rPr>
          <w:rFonts w:cstheme="minorHAnsi"/>
          <w:i/>
          <w:iCs/>
          <w:sz w:val="24"/>
          <w:szCs w:val="24"/>
          <w:lang w:eastAsia="cs-CZ"/>
        </w:rPr>
        <w:t>. Dosažení těchto cílů se kontroluje pomocí ukazatelů výkonnosti pro každou činnost...</w:t>
      </w:r>
      <w:r w:rsidRPr="000B29CF">
        <w:rPr>
          <w:rFonts w:cstheme="minorHAnsi"/>
          <w:iCs/>
          <w:sz w:val="24"/>
          <w:szCs w:val="24"/>
          <w:lang w:eastAsia="cs-CZ"/>
        </w:rPr>
        <w:t>“</w:t>
      </w:r>
      <w:r w:rsidRPr="00C630C0">
        <w:rPr>
          <w:rFonts w:cstheme="minorHAnsi"/>
          <w:i/>
          <w:iCs/>
          <w:sz w:val="24"/>
          <w:szCs w:val="24"/>
          <w:lang w:eastAsia="cs-CZ"/>
        </w:rPr>
        <w:t xml:space="preserve"> </w:t>
      </w:r>
      <w:r w:rsidRPr="00C630C0">
        <w:rPr>
          <w:rFonts w:cstheme="minorHAnsi"/>
          <w:sz w:val="24"/>
          <w:szCs w:val="24"/>
        </w:rPr>
        <w:t xml:space="preserve">Článek 33 odst. 2 a 3 nařízení Evropského parlamentu a </w:t>
      </w:r>
      <w:r w:rsidR="00032499">
        <w:rPr>
          <w:rFonts w:cstheme="minorHAnsi"/>
          <w:sz w:val="24"/>
          <w:szCs w:val="24"/>
        </w:rPr>
        <w:t>R</w:t>
      </w:r>
      <w:r w:rsidRPr="00C630C0">
        <w:rPr>
          <w:rFonts w:cstheme="minorHAnsi"/>
          <w:sz w:val="24"/>
          <w:szCs w:val="24"/>
        </w:rPr>
        <w:t xml:space="preserve">ady (EU, </w:t>
      </w:r>
      <w:r w:rsidR="00032499">
        <w:rPr>
          <w:rFonts w:cstheme="minorHAnsi"/>
          <w:sz w:val="24"/>
          <w:szCs w:val="24"/>
        </w:rPr>
        <w:t>Euratom</w:t>
      </w:r>
      <w:r w:rsidRPr="00C630C0">
        <w:rPr>
          <w:rFonts w:cstheme="minorHAnsi"/>
          <w:sz w:val="24"/>
          <w:szCs w:val="24"/>
        </w:rPr>
        <w:t>) č.</w:t>
      </w:r>
      <w:r w:rsidR="00C66E37">
        <w:rPr>
          <w:rFonts w:cstheme="minorHAnsi"/>
          <w:sz w:val="24"/>
          <w:szCs w:val="24"/>
        </w:rPr>
        <w:t> </w:t>
      </w:r>
      <w:r w:rsidRPr="00C630C0">
        <w:rPr>
          <w:rFonts w:cstheme="minorHAnsi"/>
          <w:sz w:val="24"/>
          <w:szCs w:val="24"/>
        </w:rPr>
        <w:t xml:space="preserve">2018/1046 stanoví: </w:t>
      </w:r>
      <w:r w:rsidRPr="000B29CF">
        <w:rPr>
          <w:rFonts w:cstheme="minorHAnsi"/>
          <w:sz w:val="24"/>
          <w:szCs w:val="24"/>
        </w:rPr>
        <w:t>„</w:t>
      </w:r>
      <w:r w:rsidRPr="00C630C0">
        <w:rPr>
          <w:rFonts w:cstheme="minorHAnsi"/>
          <w:i/>
          <w:sz w:val="24"/>
          <w:szCs w:val="24"/>
        </w:rPr>
        <w:t>2. V souladu se zásadou řádného finančního řízení se využití prostředků zaměřuje na výkonnost, a za tímto účelem se:</w:t>
      </w:r>
      <w:r w:rsidR="00C66E37">
        <w:rPr>
          <w:rFonts w:cstheme="minorHAnsi"/>
          <w:i/>
          <w:sz w:val="24"/>
          <w:szCs w:val="24"/>
        </w:rPr>
        <w:t xml:space="preserve"> ...</w:t>
      </w:r>
      <w:r w:rsidRPr="00C630C0">
        <w:rPr>
          <w:rFonts w:cstheme="minorHAnsi"/>
          <w:i/>
          <w:sz w:val="24"/>
          <w:szCs w:val="24"/>
        </w:rPr>
        <w:t xml:space="preserve"> </w:t>
      </w:r>
      <w:r w:rsidRPr="00C630C0">
        <w:rPr>
          <w:rFonts w:cstheme="minorHAnsi"/>
          <w:i/>
          <w:sz w:val="24"/>
          <w:szCs w:val="24"/>
          <w:lang w:eastAsia="cs-CZ"/>
        </w:rPr>
        <w:t xml:space="preserve">b) pokrok při plnění cílů sleduje pomocí ukazatelů výkonnosti; ... </w:t>
      </w:r>
      <w:r w:rsidRPr="00C630C0">
        <w:rPr>
          <w:rFonts w:cstheme="minorHAnsi"/>
          <w:i/>
          <w:sz w:val="24"/>
          <w:szCs w:val="24"/>
        </w:rPr>
        <w:t>3. Tam, kde je to relevantní, se stanoví ... relevantní, přijímané, důvěryhodné, jednoduché a spolehlivé ukazatele</w:t>
      </w:r>
      <w:r w:rsidRPr="00032499">
        <w:rPr>
          <w:rFonts w:cstheme="minorHAnsi"/>
          <w:i/>
          <w:sz w:val="24"/>
          <w:szCs w:val="24"/>
        </w:rPr>
        <w:t>.</w:t>
      </w:r>
      <w:r w:rsidRPr="000B29CF">
        <w:rPr>
          <w:rFonts w:cstheme="minorHAnsi"/>
          <w:sz w:val="24"/>
          <w:szCs w:val="24"/>
        </w:rPr>
        <w:t>“</w:t>
      </w:r>
    </w:p>
    <w:p w:rsidR="009962CB" w:rsidRPr="00C630C0" w:rsidRDefault="009962CB" w:rsidP="009962CB">
      <w:pPr>
        <w:spacing w:after="0" w:line="252" w:lineRule="auto"/>
        <w:contextualSpacing/>
        <w:jc w:val="both"/>
        <w:rPr>
          <w:rFonts w:cstheme="minorHAnsi"/>
          <w:sz w:val="24"/>
          <w:szCs w:val="24"/>
        </w:rPr>
      </w:pPr>
    </w:p>
    <w:p w:rsidR="009962CB" w:rsidRPr="000B29CF" w:rsidRDefault="009962CB" w:rsidP="009962CB">
      <w:pPr>
        <w:spacing w:after="0" w:line="252" w:lineRule="auto"/>
        <w:contextualSpacing/>
        <w:jc w:val="both"/>
        <w:rPr>
          <w:rFonts w:cstheme="minorHAnsi"/>
          <w:sz w:val="24"/>
          <w:szCs w:val="24"/>
        </w:rPr>
      </w:pPr>
      <w:r>
        <w:rPr>
          <w:rFonts w:cstheme="minorHAnsi"/>
          <w:sz w:val="24"/>
          <w:szCs w:val="24"/>
        </w:rPr>
        <w:t xml:space="preserve">4.11 </w:t>
      </w:r>
      <w:r w:rsidRPr="00E95E92">
        <w:rPr>
          <w:rFonts w:cstheme="minorHAnsi"/>
          <w:sz w:val="24"/>
          <w:szCs w:val="24"/>
        </w:rPr>
        <w:t xml:space="preserve">V části </w:t>
      </w:r>
      <w:r w:rsidRPr="000B29CF">
        <w:rPr>
          <w:rFonts w:cstheme="minorHAnsi"/>
          <w:i/>
          <w:iCs/>
          <w:sz w:val="24"/>
          <w:szCs w:val="24"/>
        </w:rPr>
        <w:t>Výsledkové indikátory</w:t>
      </w:r>
      <w:r w:rsidRPr="00E95E92">
        <w:rPr>
          <w:rFonts w:cstheme="minorHAnsi"/>
          <w:sz w:val="24"/>
          <w:szCs w:val="24"/>
        </w:rPr>
        <w:t xml:space="preserve"> </w:t>
      </w:r>
      <w:r w:rsidRPr="00926624">
        <w:rPr>
          <w:rFonts w:cstheme="minorHAnsi"/>
          <w:sz w:val="24"/>
          <w:szCs w:val="24"/>
        </w:rPr>
        <w:t xml:space="preserve">metodického pokynu </w:t>
      </w:r>
      <w:r w:rsidRPr="000B29CF">
        <w:rPr>
          <w:rFonts w:cstheme="minorHAnsi"/>
          <w:i/>
          <w:iCs/>
          <w:sz w:val="24"/>
          <w:szCs w:val="24"/>
        </w:rPr>
        <w:t>Zásady tvorby a</w:t>
      </w:r>
      <w:r w:rsidR="001A729B" w:rsidRPr="000B29CF">
        <w:rPr>
          <w:rFonts w:cstheme="minorHAnsi"/>
          <w:i/>
          <w:iCs/>
          <w:sz w:val="24"/>
          <w:szCs w:val="24"/>
        </w:rPr>
        <w:t xml:space="preserve"> </w:t>
      </w:r>
      <w:r w:rsidRPr="000B29CF">
        <w:rPr>
          <w:rFonts w:cstheme="minorHAnsi"/>
          <w:i/>
          <w:iCs/>
          <w:sz w:val="24"/>
          <w:szCs w:val="24"/>
        </w:rPr>
        <w:t xml:space="preserve">používání indikátorů </w:t>
      </w:r>
      <w:r w:rsidR="00222D03">
        <w:rPr>
          <w:rFonts w:cstheme="minorHAnsi"/>
          <w:i/>
          <w:iCs/>
          <w:sz w:val="24"/>
          <w:szCs w:val="24"/>
        </w:rPr>
        <w:br/>
      </w:r>
      <w:r w:rsidRPr="000B29CF">
        <w:rPr>
          <w:rFonts w:cstheme="minorHAnsi"/>
          <w:i/>
          <w:iCs/>
          <w:sz w:val="24"/>
          <w:szCs w:val="24"/>
        </w:rPr>
        <w:t>v</w:t>
      </w:r>
      <w:r w:rsidR="00222D03">
        <w:rPr>
          <w:rFonts w:cstheme="minorHAnsi"/>
          <w:i/>
          <w:iCs/>
          <w:sz w:val="24"/>
          <w:szCs w:val="24"/>
        </w:rPr>
        <w:t xml:space="preserve"> </w:t>
      </w:r>
      <w:r w:rsidRPr="000B29CF">
        <w:rPr>
          <w:rFonts w:cstheme="minorHAnsi"/>
          <w:i/>
          <w:iCs/>
          <w:sz w:val="24"/>
          <w:szCs w:val="24"/>
        </w:rPr>
        <w:t>programovém období 2014</w:t>
      </w:r>
      <w:r w:rsidR="00C66E37">
        <w:rPr>
          <w:rFonts w:cstheme="minorHAnsi"/>
          <w:i/>
          <w:iCs/>
          <w:sz w:val="24"/>
          <w:szCs w:val="24"/>
        </w:rPr>
        <w:t>–</w:t>
      </w:r>
      <w:r w:rsidRPr="000B29CF">
        <w:rPr>
          <w:rFonts w:cstheme="minorHAnsi"/>
          <w:i/>
          <w:iCs/>
          <w:sz w:val="24"/>
          <w:szCs w:val="24"/>
        </w:rPr>
        <w:t>2020</w:t>
      </w:r>
      <w:r w:rsidRPr="00926624">
        <w:rPr>
          <w:rFonts w:cstheme="minorHAnsi"/>
          <w:sz w:val="24"/>
          <w:szCs w:val="24"/>
        </w:rPr>
        <w:t xml:space="preserve"> (dále také „Metodický pokyn“), který zpracovalo </w:t>
      </w:r>
      <w:r w:rsidR="00222D03">
        <w:rPr>
          <w:rFonts w:cstheme="minorHAnsi"/>
          <w:sz w:val="24"/>
          <w:szCs w:val="24"/>
        </w:rPr>
        <w:br/>
      </w:r>
      <w:r w:rsidRPr="00926624">
        <w:rPr>
          <w:rFonts w:cstheme="minorHAnsi"/>
          <w:sz w:val="24"/>
          <w:szCs w:val="24"/>
        </w:rPr>
        <w:t>MMR</w:t>
      </w:r>
      <w:r w:rsidR="00C66E37">
        <w:rPr>
          <w:rFonts w:cstheme="minorHAnsi"/>
          <w:sz w:val="24"/>
          <w:szCs w:val="24"/>
        </w:rPr>
        <w:t xml:space="preserve"> – </w:t>
      </w:r>
      <w:r w:rsidRPr="00926624">
        <w:rPr>
          <w:rFonts w:cstheme="minorHAnsi"/>
          <w:sz w:val="24"/>
          <w:szCs w:val="24"/>
        </w:rPr>
        <w:t xml:space="preserve">Národní orgán pro </w:t>
      </w:r>
      <w:r w:rsidRPr="0028355A">
        <w:rPr>
          <w:rFonts w:cstheme="minorHAnsi"/>
          <w:sz w:val="24"/>
          <w:szCs w:val="24"/>
        </w:rPr>
        <w:t xml:space="preserve">koordinaci a který je závazný pro všechny programy v rámci všech fondů </w:t>
      </w:r>
      <w:r w:rsidR="00C66E37">
        <w:rPr>
          <w:rFonts w:cstheme="minorHAnsi"/>
          <w:sz w:val="24"/>
          <w:szCs w:val="24"/>
        </w:rPr>
        <w:t>s</w:t>
      </w:r>
      <w:r w:rsidRPr="0028355A">
        <w:rPr>
          <w:rFonts w:cstheme="minorHAnsi"/>
          <w:sz w:val="24"/>
          <w:szCs w:val="24"/>
        </w:rPr>
        <w:t>polečného strategického rámce</w:t>
      </w:r>
      <w:r w:rsidR="00C66E37">
        <w:rPr>
          <w:rFonts w:cstheme="minorHAnsi"/>
          <w:sz w:val="24"/>
          <w:szCs w:val="24"/>
        </w:rPr>
        <w:t xml:space="preserve"> EU</w:t>
      </w:r>
      <w:r w:rsidRPr="0028355A">
        <w:rPr>
          <w:rFonts w:cstheme="minorHAnsi"/>
          <w:sz w:val="24"/>
          <w:szCs w:val="24"/>
        </w:rPr>
        <w:t xml:space="preserve">, tzn. i pro </w:t>
      </w:r>
      <w:r w:rsidRPr="000B29CF">
        <w:rPr>
          <w:rFonts w:cstheme="minorHAnsi"/>
          <w:i/>
          <w:iCs/>
          <w:sz w:val="24"/>
          <w:szCs w:val="24"/>
        </w:rPr>
        <w:t>Evropský fond pro regionální rozvoj</w:t>
      </w:r>
      <w:r w:rsidRPr="0028355A">
        <w:rPr>
          <w:rFonts w:cstheme="minorHAnsi"/>
          <w:sz w:val="24"/>
          <w:szCs w:val="24"/>
        </w:rPr>
        <w:t xml:space="preserve"> </w:t>
      </w:r>
      <w:r w:rsidRPr="0028355A">
        <w:rPr>
          <w:rFonts w:cstheme="minorHAnsi"/>
          <w:sz w:val="24"/>
          <w:szCs w:val="24"/>
        </w:rPr>
        <w:lastRenderedPageBreak/>
        <w:t>(ERDF)</w:t>
      </w:r>
      <w:r w:rsidRPr="0028355A">
        <w:rPr>
          <w:rStyle w:val="Znakapoznpodarou"/>
          <w:rFonts w:cstheme="minorHAnsi"/>
          <w:sz w:val="24"/>
          <w:szCs w:val="24"/>
        </w:rPr>
        <w:footnoteReference w:id="27"/>
      </w:r>
      <w:r w:rsidR="00C66E37">
        <w:rPr>
          <w:rFonts w:cstheme="minorHAnsi"/>
          <w:sz w:val="24"/>
          <w:szCs w:val="24"/>
        </w:rPr>
        <w:t>,</w:t>
      </w:r>
      <w:r w:rsidRPr="0028355A">
        <w:rPr>
          <w:rFonts w:cstheme="minorHAnsi"/>
          <w:sz w:val="24"/>
          <w:szCs w:val="24"/>
        </w:rPr>
        <w:t xml:space="preserve"> je mj. uvedeno: </w:t>
      </w:r>
      <w:r w:rsidRPr="000B29CF">
        <w:rPr>
          <w:rFonts w:cstheme="minorHAnsi"/>
          <w:iCs/>
          <w:sz w:val="24"/>
          <w:szCs w:val="24"/>
        </w:rPr>
        <w:t>„</w:t>
      </w:r>
      <w:r w:rsidRPr="0028355A">
        <w:rPr>
          <w:rFonts w:cstheme="minorHAnsi"/>
          <w:i/>
          <w:sz w:val="24"/>
          <w:szCs w:val="24"/>
        </w:rPr>
        <w:t>Na úrovni specifických cílů/opatření/operací programů jsou stanoveny výsledkové indikátory, které prokazují účinky daného projektu, resp. změnu/přínosy programu/Dohody o partnerství. Indikátory měří výsledek pomoci (intervencí) a jsou důležitým podkladem pro řízení programu po celou dobu jeho implementace.</w:t>
      </w:r>
      <w:r w:rsidRPr="000B29CF">
        <w:rPr>
          <w:rFonts w:cstheme="minorHAnsi"/>
          <w:iCs/>
          <w:sz w:val="24"/>
          <w:szCs w:val="24"/>
        </w:rPr>
        <w:t>“</w:t>
      </w:r>
      <w:r w:rsidRPr="00C66E37">
        <w:rPr>
          <w:rFonts w:cstheme="minorHAnsi"/>
          <w:iCs/>
          <w:sz w:val="24"/>
          <w:szCs w:val="24"/>
        </w:rPr>
        <w:t xml:space="preserve"> </w:t>
      </w:r>
      <w:r w:rsidRPr="0028355A">
        <w:rPr>
          <w:rFonts w:cstheme="minorHAnsi"/>
          <w:sz w:val="24"/>
          <w:szCs w:val="24"/>
        </w:rPr>
        <w:t>V </w:t>
      </w:r>
      <w:r w:rsidRPr="00E95E92">
        <w:rPr>
          <w:rFonts w:cstheme="minorHAnsi"/>
          <w:sz w:val="24"/>
          <w:szCs w:val="24"/>
        </w:rPr>
        <w:t xml:space="preserve">části </w:t>
      </w:r>
      <w:r w:rsidRPr="000B29CF">
        <w:rPr>
          <w:rFonts w:cstheme="minorHAnsi"/>
          <w:i/>
          <w:iCs/>
          <w:sz w:val="24"/>
          <w:szCs w:val="24"/>
          <w:lang w:eastAsia="cs-CZ"/>
        </w:rPr>
        <w:t>Výstupové indikátory</w:t>
      </w:r>
      <w:r w:rsidRPr="0028355A">
        <w:rPr>
          <w:rFonts w:cstheme="minorHAnsi"/>
          <w:sz w:val="24"/>
          <w:szCs w:val="24"/>
          <w:lang w:eastAsia="cs-CZ"/>
        </w:rPr>
        <w:t xml:space="preserve"> </w:t>
      </w:r>
      <w:r w:rsidRPr="0028355A">
        <w:rPr>
          <w:rFonts w:cstheme="minorHAnsi"/>
          <w:sz w:val="24"/>
          <w:szCs w:val="24"/>
        </w:rPr>
        <w:t>Metodické</w:t>
      </w:r>
      <w:r>
        <w:rPr>
          <w:rFonts w:cstheme="minorHAnsi"/>
          <w:sz w:val="24"/>
          <w:szCs w:val="24"/>
        </w:rPr>
        <w:t>ho</w:t>
      </w:r>
      <w:r w:rsidRPr="0028355A">
        <w:rPr>
          <w:rFonts w:cstheme="minorHAnsi"/>
          <w:sz w:val="24"/>
          <w:szCs w:val="24"/>
        </w:rPr>
        <w:t xml:space="preserve"> pokynu </w:t>
      </w:r>
      <w:r>
        <w:rPr>
          <w:rFonts w:cstheme="minorHAnsi"/>
          <w:sz w:val="24"/>
          <w:szCs w:val="24"/>
        </w:rPr>
        <w:t xml:space="preserve">je </w:t>
      </w:r>
      <w:r w:rsidRPr="0028355A">
        <w:rPr>
          <w:rFonts w:cstheme="minorHAnsi"/>
          <w:sz w:val="24"/>
          <w:szCs w:val="24"/>
          <w:lang w:eastAsia="cs-CZ"/>
        </w:rPr>
        <w:t xml:space="preserve">mj. uvedeno: </w:t>
      </w:r>
      <w:r w:rsidRPr="000B29CF">
        <w:rPr>
          <w:rFonts w:cstheme="minorHAnsi"/>
          <w:iCs/>
          <w:sz w:val="24"/>
          <w:szCs w:val="24"/>
          <w:lang w:eastAsia="cs-CZ"/>
        </w:rPr>
        <w:t>„</w:t>
      </w:r>
      <w:r w:rsidRPr="0028355A">
        <w:rPr>
          <w:rFonts w:cstheme="minorHAnsi"/>
          <w:i/>
          <w:sz w:val="24"/>
          <w:szCs w:val="24"/>
          <w:lang w:eastAsia="cs-CZ"/>
        </w:rPr>
        <w:t xml:space="preserve">Výstupové indikátory je nutné sledovat z projektové úrovně a musí mít vazbu na indikátory výsledku, které měří výsledky prováděných opatření a aktivit. ... </w:t>
      </w:r>
      <w:r w:rsidRPr="0028355A">
        <w:rPr>
          <w:rFonts w:cstheme="minorHAnsi"/>
          <w:i/>
          <w:sz w:val="24"/>
          <w:szCs w:val="24"/>
        </w:rPr>
        <w:t>Je nepřípustné, aby na projektu nebyl sledován žádný indikátor či byl sledován pouze indikátor „počet projektů“. Projekty, které nebudou splňovat toto pravidlo, nesmí být podporovány, ani proplaceny ze strany poskytovatele podpory.</w:t>
      </w:r>
      <w:r w:rsidRPr="000B29CF">
        <w:rPr>
          <w:rFonts w:cstheme="minorHAnsi"/>
          <w:iCs/>
          <w:sz w:val="24"/>
          <w:szCs w:val="24"/>
        </w:rPr>
        <w:t>“</w:t>
      </w:r>
    </w:p>
    <w:p w:rsidR="009962CB" w:rsidRPr="0028355A" w:rsidRDefault="009962CB" w:rsidP="009962CB">
      <w:pPr>
        <w:spacing w:after="0" w:line="252" w:lineRule="auto"/>
        <w:contextualSpacing/>
        <w:jc w:val="both"/>
        <w:rPr>
          <w:rFonts w:cstheme="minorHAnsi"/>
          <w:sz w:val="24"/>
          <w:szCs w:val="24"/>
        </w:rPr>
      </w:pPr>
    </w:p>
    <w:p w:rsidR="009962CB" w:rsidRPr="00517185" w:rsidRDefault="009962CB" w:rsidP="009962CB">
      <w:pPr>
        <w:spacing w:after="0" w:line="252" w:lineRule="auto"/>
        <w:contextualSpacing/>
        <w:jc w:val="both"/>
        <w:rPr>
          <w:rFonts w:cstheme="minorHAnsi"/>
          <w:sz w:val="24"/>
          <w:szCs w:val="24"/>
        </w:rPr>
      </w:pPr>
      <w:r w:rsidRPr="00E95E92">
        <w:rPr>
          <w:rFonts w:cstheme="minorHAnsi"/>
          <w:sz w:val="24"/>
          <w:szCs w:val="24"/>
        </w:rPr>
        <w:t xml:space="preserve">4.12 </w:t>
      </w:r>
      <w:r w:rsidRPr="00C630C0">
        <w:rPr>
          <w:rFonts w:cstheme="minorHAnsi"/>
          <w:sz w:val="24"/>
          <w:szCs w:val="24"/>
        </w:rPr>
        <w:t xml:space="preserve">NKÚ kontrolou zjistil, že </w:t>
      </w:r>
      <w:r w:rsidRPr="00C630C0">
        <w:rPr>
          <w:rFonts w:eastAsia="Calibri" w:cstheme="minorHAnsi"/>
          <w:sz w:val="24"/>
          <w:szCs w:val="24"/>
        </w:rPr>
        <w:t xml:space="preserve">MMR v IROP i v IROP2 </w:t>
      </w:r>
      <w:r>
        <w:rPr>
          <w:rFonts w:eastAsia="Calibri" w:cstheme="minorHAnsi"/>
          <w:sz w:val="24"/>
          <w:szCs w:val="24"/>
        </w:rPr>
        <w:t xml:space="preserve">v oblasti poskytování </w:t>
      </w:r>
      <w:r w:rsidRPr="00C630C0">
        <w:rPr>
          <w:rFonts w:eastAsia="Calibri" w:cstheme="minorHAnsi"/>
          <w:sz w:val="24"/>
          <w:szCs w:val="24"/>
        </w:rPr>
        <w:t>podpory určené na výstavbu a rekonstrukce komunikací</w:t>
      </w:r>
      <w:r>
        <w:rPr>
          <w:rFonts w:eastAsia="Calibri" w:cstheme="minorHAnsi"/>
          <w:sz w:val="24"/>
          <w:szCs w:val="24"/>
        </w:rPr>
        <w:t xml:space="preserve"> pro pěší n</w:t>
      </w:r>
      <w:r w:rsidRPr="00C630C0">
        <w:rPr>
          <w:rFonts w:eastAsia="Calibri" w:cstheme="minorHAnsi"/>
          <w:sz w:val="24"/>
          <w:szCs w:val="24"/>
        </w:rPr>
        <w:t>a všech úrovních (programu, výzvy, projektů) stanovilo jen obecně formulované, nekonkrétní a neměřitelné cíle</w:t>
      </w:r>
      <w:r>
        <w:rPr>
          <w:rFonts w:eastAsia="Calibri" w:cstheme="minorHAnsi"/>
          <w:sz w:val="24"/>
          <w:szCs w:val="24"/>
        </w:rPr>
        <w:t xml:space="preserve"> pro danou oblast</w:t>
      </w:r>
      <w:r w:rsidRPr="00C630C0">
        <w:rPr>
          <w:rFonts w:eastAsia="Calibri" w:cstheme="minorHAnsi"/>
          <w:sz w:val="24"/>
          <w:szCs w:val="24"/>
        </w:rPr>
        <w:t xml:space="preserve">. </w:t>
      </w:r>
      <w:r>
        <w:rPr>
          <w:rFonts w:eastAsia="Calibri" w:cstheme="minorHAnsi"/>
          <w:sz w:val="24"/>
          <w:szCs w:val="24"/>
        </w:rPr>
        <w:t>B</w:t>
      </w:r>
      <w:r w:rsidRPr="00C630C0">
        <w:rPr>
          <w:rFonts w:cstheme="minorHAnsi"/>
          <w:sz w:val="24"/>
          <w:szCs w:val="24"/>
        </w:rPr>
        <w:t xml:space="preserve">ude </w:t>
      </w:r>
      <w:r>
        <w:rPr>
          <w:rFonts w:cstheme="minorHAnsi"/>
          <w:sz w:val="24"/>
          <w:szCs w:val="24"/>
        </w:rPr>
        <w:t xml:space="preserve">tedy </w:t>
      </w:r>
      <w:r w:rsidRPr="00C630C0">
        <w:rPr>
          <w:rFonts w:cstheme="minorHAnsi"/>
          <w:sz w:val="24"/>
          <w:szCs w:val="24"/>
        </w:rPr>
        <w:t xml:space="preserve">velmi obtížné vyhodnotit jejich plnění, resp. prokázat, jaké byly výsledky poskytnuté podpory a k jakým konkrétním změnám (pokroku) díky </w:t>
      </w:r>
      <w:r>
        <w:rPr>
          <w:rFonts w:cstheme="minorHAnsi"/>
          <w:sz w:val="24"/>
          <w:szCs w:val="24"/>
        </w:rPr>
        <w:t>podpoře</w:t>
      </w:r>
      <w:r w:rsidRPr="00C630C0">
        <w:rPr>
          <w:rFonts w:cstheme="minorHAnsi"/>
          <w:sz w:val="24"/>
          <w:szCs w:val="24"/>
        </w:rPr>
        <w:t xml:space="preserve"> v dan</w:t>
      </w:r>
      <w:r>
        <w:rPr>
          <w:rFonts w:cstheme="minorHAnsi"/>
          <w:sz w:val="24"/>
          <w:szCs w:val="24"/>
        </w:rPr>
        <w:t>é</w:t>
      </w:r>
      <w:r w:rsidRPr="00C630C0">
        <w:rPr>
          <w:rFonts w:cstheme="minorHAnsi"/>
          <w:sz w:val="24"/>
          <w:szCs w:val="24"/>
        </w:rPr>
        <w:t xml:space="preserve"> oblast</w:t>
      </w:r>
      <w:r>
        <w:rPr>
          <w:rFonts w:cstheme="minorHAnsi"/>
          <w:sz w:val="24"/>
          <w:szCs w:val="24"/>
        </w:rPr>
        <w:t>i</w:t>
      </w:r>
      <w:r w:rsidRPr="00C630C0">
        <w:rPr>
          <w:rFonts w:cstheme="minorHAnsi"/>
          <w:sz w:val="24"/>
          <w:szCs w:val="24"/>
        </w:rPr>
        <w:t xml:space="preserve"> došlo.</w:t>
      </w:r>
      <w:r>
        <w:rPr>
          <w:rFonts w:cstheme="minorHAnsi"/>
          <w:sz w:val="24"/>
          <w:szCs w:val="24"/>
        </w:rPr>
        <w:t xml:space="preserve"> S</w:t>
      </w:r>
      <w:r w:rsidRPr="00C630C0">
        <w:rPr>
          <w:rFonts w:cstheme="minorHAnsi"/>
          <w:sz w:val="24"/>
          <w:szCs w:val="24"/>
        </w:rPr>
        <w:t>pecifické i dílčí cíle MMR formulovalo obecně. V jednotlivých</w:t>
      </w:r>
      <w:r>
        <w:rPr>
          <w:rFonts w:cstheme="minorHAnsi"/>
          <w:sz w:val="24"/>
          <w:szCs w:val="24"/>
        </w:rPr>
        <w:t xml:space="preserve"> </w:t>
      </w:r>
      <w:r w:rsidRPr="00517185">
        <w:rPr>
          <w:rFonts w:cstheme="minorHAnsi"/>
          <w:sz w:val="24"/>
          <w:szCs w:val="24"/>
        </w:rPr>
        <w:t xml:space="preserve">výzvách </w:t>
      </w:r>
      <w:r>
        <w:rPr>
          <w:rFonts w:cstheme="minorHAnsi"/>
          <w:sz w:val="24"/>
          <w:szCs w:val="24"/>
        </w:rPr>
        <w:t xml:space="preserve">IROP </w:t>
      </w:r>
      <w:r w:rsidRPr="00517185">
        <w:rPr>
          <w:rFonts w:cstheme="minorHAnsi"/>
          <w:sz w:val="24"/>
          <w:szCs w:val="24"/>
        </w:rPr>
        <w:t>pak stanovilo pouze věcné zaměření jednotlivých aktivit</w:t>
      </w:r>
      <w:r>
        <w:rPr>
          <w:rFonts w:cstheme="minorHAnsi"/>
          <w:sz w:val="24"/>
          <w:szCs w:val="24"/>
        </w:rPr>
        <w:t>,</w:t>
      </w:r>
      <w:r w:rsidRPr="00517185">
        <w:rPr>
          <w:rFonts w:cstheme="minorHAnsi"/>
          <w:sz w:val="24"/>
          <w:szCs w:val="24"/>
        </w:rPr>
        <w:t xml:space="preserve"> z něhož vycházeli žadatelé ve vymezení cílů v žádostech o podporu.</w:t>
      </w:r>
      <w:r>
        <w:rPr>
          <w:rFonts w:cstheme="minorHAnsi"/>
          <w:sz w:val="24"/>
          <w:szCs w:val="24"/>
        </w:rPr>
        <w:t xml:space="preserve"> </w:t>
      </w:r>
      <w:r w:rsidRPr="00517185">
        <w:rPr>
          <w:rFonts w:cstheme="minorHAnsi"/>
          <w:sz w:val="24"/>
          <w:szCs w:val="24"/>
        </w:rPr>
        <w:t>Na vzorku projektů NKÚ zjistil, že cíle v žádostech o podporu byly nekonkrétní, neměřitelné, nerelevantní nebo i nedosažitelné.</w:t>
      </w:r>
    </w:p>
    <w:p w:rsidR="009962CB" w:rsidRPr="007F1642" w:rsidRDefault="009962CB" w:rsidP="009962CB">
      <w:pPr>
        <w:spacing w:after="0" w:line="252" w:lineRule="auto"/>
        <w:contextualSpacing/>
        <w:jc w:val="both"/>
        <w:rPr>
          <w:rFonts w:eastAsia="Calibri" w:cstheme="minorHAnsi"/>
          <w:sz w:val="24"/>
          <w:szCs w:val="24"/>
        </w:rPr>
      </w:pPr>
    </w:p>
    <w:p w:rsidR="009962CB" w:rsidRDefault="009962CB" w:rsidP="009962CB">
      <w:pPr>
        <w:spacing w:after="0" w:line="252" w:lineRule="auto"/>
        <w:contextualSpacing/>
        <w:jc w:val="both"/>
        <w:rPr>
          <w:rFonts w:eastAsia="Calibri" w:cstheme="minorHAnsi"/>
          <w:sz w:val="24"/>
          <w:szCs w:val="24"/>
        </w:rPr>
      </w:pPr>
      <w:r w:rsidRPr="007F1642">
        <w:rPr>
          <w:rFonts w:eastAsia="Calibri" w:cstheme="minorHAnsi"/>
          <w:sz w:val="24"/>
          <w:szCs w:val="24"/>
        </w:rPr>
        <w:t>4.13 NKÚ dále kontrolou zjistil, že</w:t>
      </w:r>
      <w:r>
        <w:rPr>
          <w:rFonts w:eastAsia="Calibri" w:cstheme="minorHAnsi"/>
          <w:sz w:val="24"/>
          <w:szCs w:val="24"/>
        </w:rPr>
        <w:t xml:space="preserve"> MMR v aktivitě „</w:t>
      </w:r>
      <w:r w:rsidRPr="000B29CF">
        <w:rPr>
          <w:rFonts w:eastAsia="Calibri" w:cstheme="minorHAnsi"/>
          <w:i/>
          <w:iCs/>
          <w:sz w:val="24"/>
          <w:szCs w:val="24"/>
        </w:rPr>
        <w:t>Bezpečnost dopravy</w:t>
      </w:r>
      <w:r>
        <w:rPr>
          <w:rFonts w:eastAsia="Calibri" w:cstheme="minorHAnsi"/>
          <w:sz w:val="24"/>
          <w:szCs w:val="24"/>
        </w:rPr>
        <w:t>“</w:t>
      </w:r>
      <w:r w:rsidR="00ED01C7">
        <w:rPr>
          <w:rStyle w:val="Znakapoznpodarou"/>
          <w:rFonts w:eastAsia="Calibri" w:cstheme="minorHAnsi"/>
          <w:sz w:val="24"/>
          <w:szCs w:val="24"/>
        </w:rPr>
        <w:footnoteReference w:id="28"/>
      </w:r>
      <w:r>
        <w:rPr>
          <w:rFonts w:eastAsia="Calibri" w:cstheme="minorHAnsi"/>
          <w:sz w:val="24"/>
          <w:szCs w:val="24"/>
        </w:rPr>
        <w:t xml:space="preserve"> nepostupovalo při vytvoření indikátorové soustavy IROP zcela v souladu s výše uvedenými požadavky </w:t>
      </w:r>
      <w:r w:rsidRPr="00C630C0">
        <w:rPr>
          <w:rFonts w:cstheme="minorHAnsi"/>
          <w:sz w:val="24"/>
          <w:szCs w:val="24"/>
        </w:rPr>
        <w:t xml:space="preserve">nařízení Evropského parlamentu a </w:t>
      </w:r>
      <w:r w:rsidR="00BC040A">
        <w:rPr>
          <w:rFonts w:cstheme="minorHAnsi"/>
          <w:sz w:val="24"/>
          <w:szCs w:val="24"/>
        </w:rPr>
        <w:t>R</w:t>
      </w:r>
      <w:r w:rsidRPr="00C630C0">
        <w:rPr>
          <w:rFonts w:cstheme="minorHAnsi"/>
          <w:sz w:val="24"/>
          <w:szCs w:val="24"/>
        </w:rPr>
        <w:t>ady</w:t>
      </w:r>
      <w:r w:rsidR="00710771">
        <w:rPr>
          <w:rFonts w:cstheme="minorHAnsi"/>
          <w:sz w:val="24"/>
          <w:szCs w:val="24"/>
        </w:rPr>
        <w:t xml:space="preserve"> (viz odstavec 4.10)</w:t>
      </w:r>
      <w:r>
        <w:rPr>
          <w:rFonts w:cstheme="minorHAnsi"/>
          <w:sz w:val="24"/>
          <w:szCs w:val="24"/>
        </w:rPr>
        <w:t xml:space="preserve"> ani s požadavky stanovenými Metodickým pokynem</w:t>
      </w:r>
      <w:r w:rsidR="00710771">
        <w:rPr>
          <w:rFonts w:cstheme="minorHAnsi"/>
          <w:sz w:val="24"/>
          <w:szCs w:val="24"/>
        </w:rPr>
        <w:t xml:space="preserve"> (viz odstavec 4.11)</w:t>
      </w:r>
      <w:r>
        <w:rPr>
          <w:rFonts w:cstheme="minorHAnsi"/>
          <w:sz w:val="24"/>
          <w:szCs w:val="24"/>
        </w:rPr>
        <w:t>. Toto zjištění vychází z následujících skutečností:</w:t>
      </w:r>
    </w:p>
    <w:p w:rsidR="009962CB" w:rsidRPr="00E26462" w:rsidRDefault="009962CB" w:rsidP="009962CB">
      <w:pPr>
        <w:pStyle w:val="Odstavecseseznamem"/>
        <w:numPr>
          <w:ilvl w:val="0"/>
          <w:numId w:val="9"/>
        </w:numPr>
        <w:spacing w:after="0" w:line="252" w:lineRule="auto"/>
        <w:ind w:left="426"/>
        <w:jc w:val="both"/>
        <w:rPr>
          <w:rFonts w:eastAsia="Calibri" w:cstheme="minorHAnsi"/>
          <w:sz w:val="24"/>
          <w:szCs w:val="24"/>
        </w:rPr>
      </w:pPr>
      <w:r w:rsidRPr="00E26462">
        <w:rPr>
          <w:rFonts w:eastAsia="Calibri" w:cstheme="minorHAnsi"/>
          <w:sz w:val="24"/>
          <w:szCs w:val="24"/>
        </w:rPr>
        <w:t>MMR</w:t>
      </w:r>
      <w:r w:rsidRPr="00E26462">
        <w:rPr>
          <w:rFonts w:cstheme="minorHAnsi"/>
          <w:sz w:val="24"/>
          <w:szCs w:val="24"/>
        </w:rPr>
        <w:t xml:space="preserve"> na úrovni projektů v aktivitě </w:t>
      </w:r>
      <w:r>
        <w:rPr>
          <w:rFonts w:cstheme="minorHAnsi"/>
          <w:sz w:val="24"/>
          <w:szCs w:val="24"/>
        </w:rPr>
        <w:t>„</w:t>
      </w:r>
      <w:r w:rsidRPr="000B29CF">
        <w:rPr>
          <w:rFonts w:cstheme="minorHAnsi"/>
          <w:i/>
          <w:iCs/>
          <w:sz w:val="24"/>
          <w:szCs w:val="24"/>
        </w:rPr>
        <w:t>Bezpečnost dopravy</w:t>
      </w:r>
      <w:r>
        <w:rPr>
          <w:rFonts w:cstheme="minorHAnsi"/>
          <w:sz w:val="24"/>
          <w:szCs w:val="24"/>
        </w:rPr>
        <w:t>“</w:t>
      </w:r>
      <w:r w:rsidRPr="00E26462">
        <w:rPr>
          <w:rFonts w:cstheme="minorHAnsi"/>
          <w:sz w:val="24"/>
          <w:szCs w:val="24"/>
        </w:rPr>
        <w:t xml:space="preserve"> nestanovilo žádný indikátor výsledku. Stanovilo jen povinnost žadateli/příjemci</w:t>
      </w:r>
      <w:r w:rsidRPr="00E26462">
        <w:rPr>
          <w:rFonts w:eastAsia="Calibri" w:cstheme="minorHAnsi"/>
          <w:sz w:val="24"/>
          <w:szCs w:val="24"/>
        </w:rPr>
        <w:t xml:space="preserve"> stručně popsat plánované výsledky projektu ve </w:t>
      </w:r>
      <w:r w:rsidR="002B1B09">
        <w:rPr>
          <w:rFonts w:eastAsia="Calibri" w:cstheme="minorHAnsi"/>
          <w:sz w:val="24"/>
          <w:szCs w:val="24"/>
        </w:rPr>
        <w:t>„s</w:t>
      </w:r>
      <w:r w:rsidRPr="00E26462">
        <w:rPr>
          <w:rFonts w:eastAsia="Calibri" w:cstheme="minorHAnsi"/>
          <w:sz w:val="24"/>
          <w:szCs w:val="24"/>
        </w:rPr>
        <w:t>tudii proveditelnosti</w:t>
      </w:r>
      <w:r w:rsidR="002B1B09">
        <w:rPr>
          <w:rFonts w:eastAsia="Calibri" w:cstheme="minorHAnsi"/>
          <w:sz w:val="24"/>
          <w:szCs w:val="24"/>
        </w:rPr>
        <w:t>“</w:t>
      </w:r>
      <w:r w:rsidRPr="00E26462">
        <w:rPr>
          <w:rFonts w:eastAsia="Calibri" w:cstheme="minorHAnsi"/>
          <w:sz w:val="24"/>
          <w:szCs w:val="24"/>
        </w:rPr>
        <w:t>, která byla součástí žádosti o podporu. MMR však již neuložilo příjemci povinnost sledovat dosažené výsledky a</w:t>
      </w:r>
      <w:r w:rsidR="002B1B09">
        <w:rPr>
          <w:rFonts w:eastAsia="Calibri" w:cstheme="minorHAnsi"/>
          <w:sz w:val="24"/>
          <w:szCs w:val="24"/>
        </w:rPr>
        <w:t xml:space="preserve"> </w:t>
      </w:r>
      <w:r w:rsidRPr="00E26462">
        <w:rPr>
          <w:rFonts w:eastAsia="Calibri" w:cstheme="minorHAnsi"/>
          <w:sz w:val="24"/>
          <w:szCs w:val="24"/>
        </w:rPr>
        <w:t xml:space="preserve">vykazovat je ve </w:t>
      </w:r>
      <w:r w:rsidR="002B1B09">
        <w:rPr>
          <w:rFonts w:eastAsia="Calibri" w:cstheme="minorHAnsi"/>
          <w:sz w:val="24"/>
          <w:szCs w:val="24"/>
        </w:rPr>
        <w:t>z</w:t>
      </w:r>
      <w:r w:rsidRPr="00E26462">
        <w:rPr>
          <w:rFonts w:eastAsia="Calibri" w:cstheme="minorHAnsi"/>
          <w:sz w:val="24"/>
          <w:szCs w:val="24"/>
        </w:rPr>
        <w:t xml:space="preserve">právě </w:t>
      </w:r>
      <w:r w:rsidR="006B5EF6">
        <w:rPr>
          <w:rFonts w:eastAsia="Calibri" w:cstheme="minorHAnsi"/>
          <w:sz w:val="24"/>
          <w:szCs w:val="24"/>
        </w:rPr>
        <w:br/>
      </w:r>
      <w:r w:rsidRPr="00E26462">
        <w:rPr>
          <w:rFonts w:eastAsia="Calibri" w:cstheme="minorHAnsi"/>
          <w:sz w:val="24"/>
          <w:szCs w:val="24"/>
        </w:rPr>
        <w:t>o realizaci či ve zprávách podaných v době udržitelnosti. MMR tak o výsledcích poskytnuté podpory na úrovn</w:t>
      </w:r>
      <w:r w:rsidR="002B1B09">
        <w:rPr>
          <w:rFonts w:eastAsia="Calibri" w:cstheme="minorHAnsi"/>
          <w:sz w:val="24"/>
          <w:szCs w:val="24"/>
        </w:rPr>
        <w:t>i</w:t>
      </w:r>
      <w:r w:rsidRPr="00E26462">
        <w:rPr>
          <w:rFonts w:eastAsia="Calibri" w:cstheme="minorHAnsi"/>
          <w:sz w:val="24"/>
          <w:szCs w:val="24"/>
        </w:rPr>
        <w:t xml:space="preserve"> projektů nemá přehled. </w:t>
      </w:r>
    </w:p>
    <w:p w:rsidR="009962CB" w:rsidRPr="00AA492B" w:rsidRDefault="009962CB" w:rsidP="009962CB">
      <w:pPr>
        <w:pStyle w:val="Odstavecseseznamem"/>
        <w:numPr>
          <w:ilvl w:val="0"/>
          <w:numId w:val="9"/>
        </w:numPr>
        <w:spacing w:after="0" w:line="252" w:lineRule="auto"/>
        <w:ind w:left="426"/>
        <w:jc w:val="both"/>
        <w:rPr>
          <w:rFonts w:eastAsia="Calibri" w:cstheme="minorHAnsi"/>
          <w:sz w:val="24"/>
          <w:szCs w:val="24"/>
        </w:rPr>
      </w:pPr>
      <w:r w:rsidRPr="00E26462">
        <w:rPr>
          <w:rFonts w:cstheme="minorHAnsi"/>
          <w:sz w:val="24"/>
          <w:szCs w:val="24"/>
        </w:rPr>
        <w:t>MMR</w:t>
      </w:r>
      <w:r w:rsidRPr="00E26462">
        <w:rPr>
          <w:rFonts w:eastAsia="Calibri" w:cstheme="minorHAnsi"/>
          <w:sz w:val="24"/>
          <w:szCs w:val="24"/>
        </w:rPr>
        <w:t xml:space="preserve"> </w:t>
      </w:r>
      <w:r>
        <w:rPr>
          <w:rFonts w:eastAsia="Calibri" w:cstheme="minorHAnsi"/>
          <w:sz w:val="24"/>
          <w:szCs w:val="24"/>
        </w:rPr>
        <w:t>n</w:t>
      </w:r>
      <w:r w:rsidRPr="00E26462">
        <w:rPr>
          <w:rFonts w:eastAsia="Calibri" w:cstheme="minorHAnsi"/>
          <w:sz w:val="24"/>
          <w:szCs w:val="24"/>
        </w:rPr>
        <w:t xml:space="preserve">a </w:t>
      </w:r>
      <w:r w:rsidRPr="00E26462">
        <w:rPr>
          <w:rFonts w:cstheme="minorHAnsi"/>
          <w:sz w:val="24"/>
          <w:szCs w:val="24"/>
        </w:rPr>
        <w:t xml:space="preserve">úrovni SC 1.2 a SC 4.1 stanovilo dva </w:t>
      </w:r>
      <w:r w:rsidRPr="00E26462">
        <w:rPr>
          <w:rFonts w:eastAsia="Calibri" w:cstheme="minorHAnsi"/>
          <w:sz w:val="24"/>
          <w:szCs w:val="24"/>
        </w:rPr>
        <w:t xml:space="preserve">výsledkové indikátory, z nichž jeden byl relevantní pouze pro </w:t>
      </w:r>
      <w:r w:rsidRPr="00E26462">
        <w:rPr>
          <w:rFonts w:cstheme="minorHAnsi"/>
          <w:sz w:val="24"/>
          <w:szCs w:val="24"/>
        </w:rPr>
        <w:t xml:space="preserve">oblast </w:t>
      </w:r>
      <w:bookmarkStart w:id="20" w:name="_Hlk177733963"/>
      <w:r w:rsidRPr="00E26462">
        <w:rPr>
          <w:rFonts w:cstheme="minorHAnsi"/>
          <w:sz w:val="24"/>
          <w:szCs w:val="24"/>
        </w:rPr>
        <w:t>cykl</w:t>
      </w:r>
      <w:r>
        <w:rPr>
          <w:rFonts w:cstheme="minorHAnsi"/>
          <w:sz w:val="24"/>
          <w:szCs w:val="24"/>
        </w:rPr>
        <w:t xml:space="preserve">istické </w:t>
      </w:r>
      <w:bookmarkEnd w:id="20"/>
      <w:r w:rsidRPr="00E26462">
        <w:rPr>
          <w:rFonts w:cstheme="minorHAnsi"/>
          <w:sz w:val="24"/>
          <w:szCs w:val="24"/>
        </w:rPr>
        <w:t xml:space="preserve">dopravy a MMR jej při revizi IROP v roce 2020 vypustilo. Druhý z indikátorů byl pouze statistický, bez vazby na indikátory výstupu i na jednotlivé podporované aktivity, mj. aktivitu </w:t>
      </w:r>
      <w:r>
        <w:rPr>
          <w:rFonts w:cstheme="minorHAnsi"/>
          <w:sz w:val="24"/>
          <w:szCs w:val="24"/>
        </w:rPr>
        <w:t>„</w:t>
      </w:r>
      <w:r w:rsidRPr="000B29CF">
        <w:rPr>
          <w:rFonts w:cstheme="minorHAnsi"/>
          <w:i/>
          <w:iCs/>
          <w:sz w:val="24"/>
          <w:szCs w:val="24"/>
        </w:rPr>
        <w:t>Bezpečnost dopravy</w:t>
      </w:r>
      <w:r>
        <w:rPr>
          <w:rFonts w:cstheme="minorHAnsi"/>
          <w:sz w:val="24"/>
          <w:szCs w:val="24"/>
        </w:rPr>
        <w:t>“</w:t>
      </w:r>
      <w:r w:rsidRPr="00E26462">
        <w:rPr>
          <w:rFonts w:cstheme="minorHAnsi"/>
          <w:sz w:val="24"/>
          <w:szCs w:val="24"/>
        </w:rPr>
        <w:t xml:space="preserve">. MMR tedy ani na úrovni specifických cílů nestanovilo žádný indikátor, který by mu poskytl informaci </w:t>
      </w:r>
      <w:r w:rsidR="006B5EF6">
        <w:rPr>
          <w:rFonts w:cstheme="minorHAnsi"/>
          <w:sz w:val="24"/>
          <w:szCs w:val="24"/>
        </w:rPr>
        <w:br/>
      </w:r>
      <w:r w:rsidRPr="00E26462">
        <w:rPr>
          <w:rFonts w:cstheme="minorHAnsi"/>
          <w:sz w:val="24"/>
          <w:szCs w:val="24"/>
        </w:rPr>
        <w:t xml:space="preserve">o výsledcích </w:t>
      </w:r>
      <w:r w:rsidRPr="0028355A">
        <w:rPr>
          <w:rFonts w:cstheme="minorHAnsi"/>
          <w:sz w:val="24"/>
          <w:szCs w:val="24"/>
        </w:rPr>
        <w:t>podpory výstavby a rekonstrukc</w:t>
      </w:r>
      <w:r>
        <w:rPr>
          <w:rFonts w:cstheme="minorHAnsi"/>
          <w:sz w:val="24"/>
          <w:szCs w:val="24"/>
        </w:rPr>
        <w:t>í</w:t>
      </w:r>
      <w:r w:rsidRPr="0028355A">
        <w:rPr>
          <w:rFonts w:cstheme="minorHAnsi"/>
          <w:sz w:val="24"/>
          <w:szCs w:val="24"/>
        </w:rPr>
        <w:t xml:space="preserve"> komunikací pro pěší.</w:t>
      </w:r>
    </w:p>
    <w:p w:rsidR="009962CB" w:rsidRPr="0028355A" w:rsidRDefault="009962CB" w:rsidP="009962CB">
      <w:pPr>
        <w:pStyle w:val="Odstavecseseznamem"/>
        <w:numPr>
          <w:ilvl w:val="0"/>
          <w:numId w:val="9"/>
        </w:numPr>
        <w:spacing w:after="0" w:line="252" w:lineRule="auto"/>
        <w:ind w:left="426"/>
        <w:jc w:val="both"/>
        <w:rPr>
          <w:rFonts w:eastAsia="Calibri" w:cstheme="minorHAnsi"/>
          <w:sz w:val="24"/>
          <w:szCs w:val="24"/>
        </w:rPr>
      </w:pPr>
      <w:r w:rsidRPr="0028355A">
        <w:rPr>
          <w:rFonts w:eastAsia="Calibri" w:cstheme="minorHAnsi"/>
          <w:sz w:val="24"/>
          <w:szCs w:val="24"/>
        </w:rPr>
        <w:t xml:space="preserve">MMR </w:t>
      </w:r>
      <w:r w:rsidRPr="0028355A">
        <w:rPr>
          <w:rFonts w:cstheme="minorHAnsi"/>
          <w:sz w:val="24"/>
          <w:szCs w:val="24"/>
        </w:rPr>
        <w:t xml:space="preserve">na úrovni SC 1.2 a na úrovni projektů v aktivitě </w:t>
      </w:r>
      <w:r>
        <w:rPr>
          <w:rFonts w:cstheme="minorHAnsi"/>
          <w:sz w:val="24"/>
          <w:szCs w:val="24"/>
        </w:rPr>
        <w:t>„</w:t>
      </w:r>
      <w:r w:rsidRPr="000B29CF">
        <w:rPr>
          <w:rFonts w:cstheme="minorHAnsi"/>
          <w:i/>
          <w:iCs/>
          <w:sz w:val="24"/>
          <w:szCs w:val="24"/>
        </w:rPr>
        <w:t>Bezpečnost dopravy</w:t>
      </w:r>
      <w:r>
        <w:rPr>
          <w:rFonts w:cstheme="minorHAnsi"/>
          <w:sz w:val="24"/>
          <w:szCs w:val="24"/>
        </w:rPr>
        <w:t>“</w:t>
      </w:r>
      <w:r w:rsidRPr="0028355A">
        <w:rPr>
          <w:rFonts w:cstheme="minorHAnsi"/>
          <w:sz w:val="24"/>
          <w:szCs w:val="24"/>
        </w:rPr>
        <w:t xml:space="preserve"> stanovilo </w:t>
      </w:r>
      <w:r>
        <w:rPr>
          <w:rFonts w:cstheme="minorHAnsi"/>
          <w:sz w:val="24"/>
          <w:szCs w:val="24"/>
        </w:rPr>
        <w:t xml:space="preserve">hlavní </w:t>
      </w:r>
      <w:r w:rsidRPr="0028355A">
        <w:rPr>
          <w:rFonts w:cstheme="minorHAnsi"/>
          <w:sz w:val="24"/>
          <w:szCs w:val="24"/>
        </w:rPr>
        <w:t>indikátor výstupu „</w:t>
      </w:r>
      <w:r w:rsidR="002B1B09" w:rsidRPr="000B29CF">
        <w:rPr>
          <w:rFonts w:cstheme="minorHAnsi"/>
          <w:i/>
          <w:iCs/>
          <w:sz w:val="24"/>
          <w:szCs w:val="24"/>
        </w:rPr>
        <w:t>p</w:t>
      </w:r>
      <w:r w:rsidRPr="000B29CF">
        <w:rPr>
          <w:rFonts w:cstheme="minorHAnsi"/>
          <w:i/>
          <w:iCs/>
          <w:sz w:val="24"/>
          <w:szCs w:val="24"/>
        </w:rPr>
        <w:t xml:space="preserve">očet </w:t>
      </w:r>
      <w:r w:rsidRPr="000B29CF">
        <w:rPr>
          <w:rFonts w:eastAsia="Calibri" w:cstheme="minorHAnsi"/>
          <w:i/>
          <w:iCs/>
          <w:sz w:val="24"/>
          <w:szCs w:val="24"/>
        </w:rPr>
        <w:t>realizací vedoucích ke zvýšení bezpečnosti v dopravě</w:t>
      </w:r>
      <w:r w:rsidRPr="0028355A">
        <w:rPr>
          <w:rFonts w:eastAsia="Calibri" w:cstheme="minorHAnsi"/>
          <w:sz w:val="24"/>
          <w:szCs w:val="24"/>
        </w:rPr>
        <w:t xml:space="preserve">“, který byl vykazován jen jako počet realizací investičního charakteru bez ohledu na aktivity realizované v projektu (byla stanovena cílová hodnota „1“ za celý projekt). Na základě </w:t>
      </w:r>
      <w:r w:rsidRPr="0028355A">
        <w:rPr>
          <w:rFonts w:eastAsia="Calibri" w:cstheme="minorHAnsi"/>
          <w:sz w:val="24"/>
          <w:szCs w:val="24"/>
        </w:rPr>
        <w:lastRenderedPageBreak/>
        <w:t>takto nastaveného indikátoru nelze vyhodnotit výstupy nejen jednotlivých projektů</w:t>
      </w:r>
      <w:r w:rsidR="002B1B09">
        <w:rPr>
          <w:rFonts w:eastAsia="Calibri" w:cstheme="minorHAnsi"/>
          <w:sz w:val="24"/>
          <w:szCs w:val="24"/>
        </w:rPr>
        <w:t>,</w:t>
      </w:r>
      <w:r w:rsidRPr="0028355A">
        <w:rPr>
          <w:rFonts w:eastAsia="Calibri" w:cstheme="minorHAnsi"/>
          <w:sz w:val="24"/>
          <w:szCs w:val="24"/>
        </w:rPr>
        <w:t xml:space="preserve"> ale ani jejich souhrnu. </w:t>
      </w:r>
      <w:r>
        <w:rPr>
          <w:rFonts w:eastAsia="Calibri" w:cstheme="minorHAnsi"/>
          <w:sz w:val="24"/>
          <w:szCs w:val="24"/>
        </w:rPr>
        <w:t>T</w:t>
      </w:r>
      <w:r w:rsidRPr="0028355A">
        <w:rPr>
          <w:rFonts w:eastAsia="Calibri" w:cstheme="minorHAnsi"/>
          <w:sz w:val="24"/>
          <w:szCs w:val="24"/>
        </w:rPr>
        <w:t xml:space="preserve">ento indikátor výstupu </w:t>
      </w:r>
      <w:r>
        <w:rPr>
          <w:rFonts w:eastAsia="Calibri" w:cstheme="minorHAnsi"/>
          <w:sz w:val="24"/>
          <w:szCs w:val="24"/>
        </w:rPr>
        <w:t xml:space="preserve">navíc </w:t>
      </w:r>
      <w:r w:rsidRPr="0028355A">
        <w:rPr>
          <w:rFonts w:eastAsia="Calibri" w:cstheme="minorHAnsi"/>
          <w:sz w:val="24"/>
          <w:szCs w:val="24"/>
        </w:rPr>
        <w:t>nemá žádnou vazbu na indikátor výsledku</w:t>
      </w:r>
      <w:r>
        <w:rPr>
          <w:rFonts w:eastAsia="Calibri" w:cstheme="minorHAnsi"/>
          <w:sz w:val="24"/>
          <w:szCs w:val="24"/>
        </w:rPr>
        <w:t>.</w:t>
      </w:r>
    </w:p>
    <w:bookmarkEnd w:id="16"/>
    <w:p w:rsidR="009962CB" w:rsidRDefault="009962CB" w:rsidP="009962CB">
      <w:pPr>
        <w:spacing w:after="0" w:line="252" w:lineRule="auto"/>
        <w:contextualSpacing/>
        <w:jc w:val="both"/>
        <w:rPr>
          <w:rFonts w:eastAsia="Calibri" w:cstheme="minorHAnsi"/>
          <w:sz w:val="24"/>
          <w:szCs w:val="24"/>
        </w:rPr>
      </w:pPr>
    </w:p>
    <w:p w:rsidR="009962C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 xml:space="preserve">4.14 </w:t>
      </w:r>
      <w:bookmarkEnd w:id="17"/>
      <w:r>
        <w:rPr>
          <w:rFonts w:eastAsia="Calibri" w:cstheme="minorHAnsi"/>
          <w:sz w:val="24"/>
          <w:szCs w:val="24"/>
        </w:rPr>
        <w:t>N</w:t>
      </w:r>
      <w:r w:rsidRPr="00A36ADC">
        <w:rPr>
          <w:rFonts w:eastAsia="Calibri" w:cstheme="minorHAnsi"/>
          <w:sz w:val="24"/>
          <w:szCs w:val="24"/>
        </w:rPr>
        <w:t xml:space="preserve">edostatky </w:t>
      </w:r>
      <w:r>
        <w:rPr>
          <w:rFonts w:eastAsia="Calibri" w:cstheme="minorHAnsi"/>
          <w:sz w:val="24"/>
          <w:szCs w:val="24"/>
        </w:rPr>
        <w:t xml:space="preserve">u indikátorů </w:t>
      </w:r>
      <w:r w:rsidRPr="00A36ADC">
        <w:rPr>
          <w:rFonts w:eastAsia="Calibri" w:cstheme="minorHAnsi"/>
          <w:sz w:val="24"/>
          <w:szCs w:val="24"/>
        </w:rPr>
        <w:t xml:space="preserve">MMR </w:t>
      </w:r>
      <w:r>
        <w:rPr>
          <w:rFonts w:eastAsia="Calibri" w:cstheme="minorHAnsi"/>
          <w:sz w:val="24"/>
          <w:szCs w:val="24"/>
        </w:rPr>
        <w:t xml:space="preserve">v následujícím IROP2 </w:t>
      </w:r>
      <w:r w:rsidRPr="00A36ADC">
        <w:rPr>
          <w:rFonts w:eastAsia="Calibri" w:cstheme="minorHAnsi"/>
          <w:sz w:val="24"/>
          <w:szCs w:val="24"/>
        </w:rPr>
        <w:t>odstranilo</w:t>
      </w:r>
      <w:r>
        <w:rPr>
          <w:rFonts w:eastAsia="Calibri" w:cstheme="minorHAnsi"/>
          <w:sz w:val="24"/>
          <w:szCs w:val="24"/>
        </w:rPr>
        <w:t xml:space="preserve"> jen částečně. P</w:t>
      </w:r>
      <w:r w:rsidRPr="006162EE">
        <w:rPr>
          <w:rFonts w:eastAsia="Calibri" w:cstheme="minorHAnsi"/>
          <w:sz w:val="24"/>
          <w:szCs w:val="24"/>
        </w:rPr>
        <w:t>ro dva specifické cíle na úrovni programu i na úrovni projektů</w:t>
      </w:r>
      <w:r w:rsidRPr="00D96AF5">
        <w:rPr>
          <w:rFonts w:eastAsia="Calibri" w:cstheme="minorHAnsi"/>
          <w:sz w:val="24"/>
          <w:szCs w:val="24"/>
        </w:rPr>
        <w:t xml:space="preserve"> </w:t>
      </w:r>
      <w:r>
        <w:rPr>
          <w:rFonts w:eastAsia="Calibri" w:cstheme="minorHAnsi"/>
          <w:sz w:val="24"/>
          <w:szCs w:val="24"/>
        </w:rPr>
        <w:t>stanovilo</w:t>
      </w:r>
      <w:r w:rsidRPr="00A36ADC">
        <w:rPr>
          <w:rFonts w:eastAsia="Calibri" w:cstheme="minorHAnsi"/>
          <w:sz w:val="24"/>
          <w:szCs w:val="24"/>
        </w:rPr>
        <w:t xml:space="preserve"> indikátor výstupu </w:t>
      </w:r>
      <w:r w:rsidRPr="006162EE">
        <w:rPr>
          <w:rFonts w:eastAsia="Calibri" w:cstheme="minorHAnsi"/>
          <w:sz w:val="24"/>
          <w:szCs w:val="24"/>
        </w:rPr>
        <w:t>„</w:t>
      </w:r>
      <w:r w:rsidR="002B1B09" w:rsidRPr="000B29CF">
        <w:rPr>
          <w:rFonts w:eastAsia="Calibri" w:cstheme="minorHAnsi"/>
          <w:i/>
          <w:iCs/>
          <w:sz w:val="24"/>
          <w:szCs w:val="24"/>
        </w:rPr>
        <w:t>d</w:t>
      </w:r>
      <w:r w:rsidRPr="000B29CF">
        <w:rPr>
          <w:rFonts w:eastAsia="Calibri" w:cstheme="minorHAnsi"/>
          <w:i/>
          <w:iCs/>
          <w:sz w:val="24"/>
          <w:szCs w:val="24"/>
        </w:rPr>
        <w:t>élka komunikace s realizovaným bezpečnostním opatřením</w:t>
      </w:r>
      <w:r w:rsidRPr="006162EE">
        <w:rPr>
          <w:rFonts w:eastAsia="Calibri" w:cstheme="minorHAnsi"/>
          <w:sz w:val="24"/>
          <w:szCs w:val="24"/>
        </w:rPr>
        <w:t>“ a indikátor výsledku „</w:t>
      </w:r>
      <w:r w:rsidR="002B1B09" w:rsidRPr="000B29CF">
        <w:rPr>
          <w:rFonts w:eastAsia="Calibri" w:cstheme="minorHAnsi"/>
          <w:i/>
          <w:iCs/>
          <w:sz w:val="24"/>
          <w:szCs w:val="24"/>
        </w:rPr>
        <w:t>p</w:t>
      </w:r>
      <w:r w:rsidRPr="000B29CF">
        <w:rPr>
          <w:rFonts w:eastAsia="Calibri" w:cstheme="minorHAnsi"/>
          <w:i/>
          <w:iCs/>
          <w:sz w:val="24"/>
          <w:szCs w:val="24"/>
        </w:rPr>
        <w:t>očet nehod na km komunikace s realizovaným bezpečnostním opatřením</w:t>
      </w:r>
      <w:r w:rsidRPr="006162EE">
        <w:rPr>
          <w:rFonts w:eastAsia="Calibri" w:cstheme="minorHAnsi"/>
          <w:sz w:val="24"/>
          <w:szCs w:val="24"/>
        </w:rPr>
        <w:t>“. Pro tento indikátor</w:t>
      </w:r>
      <w:r w:rsidRPr="00A36ADC">
        <w:rPr>
          <w:rFonts w:cstheme="minorHAnsi"/>
          <w:sz w:val="24"/>
          <w:szCs w:val="24"/>
        </w:rPr>
        <w:t xml:space="preserve"> na úrovni projektu </w:t>
      </w:r>
      <w:r>
        <w:rPr>
          <w:rFonts w:eastAsia="Calibri" w:cstheme="minorHAnsi"/>
          <w:sz w:val="24"/>
          <w:szCs w:val="24"/>
        </w:rPr>
        <w:t>ale</w:t>
      </w:r>
      <w:r w:rsidRPr="00A36ADC">
        <w:rPr>
          <w:rFonts w:eastAsia="Calibri" w:cstheme="minorHAnsi"/>
          <w:sz w:val="24"/>
          <w:szCs w:val="24"/>
        </w:rPr>
        <w:t xml:space="preserve"> </w:t>
      </w:r>
      <w:r>
        <w:rPr>
          <w:rFonts w:eastAsia="Calibri" w:cstheme="minorHAnsi"/>
          <w:sz w:val="24"/>
          <w:szCs w:val="24"/>
        </w:rPr>
        <w:t>nespecifikova</w:t>
      </w:r>
      <w:r w:rsidRPr="00A36ADC">
        <w:rPr>
          <w:rFonts w:eastAsia="Calibri" w:cstheme="minorHAnsi"/>
          <w:sz w:val="24"/>
          <w:szCs w:val="24"/>
        </w:rPr>
        <w:t>lo</w:t>
      </w:r>
      <w:r w:rsidRPr="00A36ADC">
        <w:rPr>
          <w:rFonts w:cstheme="minorHAnsi"/>
          <w:sz w:val="24"/>
          <w:szCs w:val="24"/>
        </w:rPr>
        <w:t>, jaké nehody mají být sledovány</w:t>
      </w:r>
      <w:r>
        <w:rPr>
          <w:rFonts w:cstheme="minorHAnsi"/>
          <w:sz w:val="24"/>
          <w:szCs w:val="24"/>
        </w:rPr>
        <w:t xml:space="preserve"> (</w:t>
      </w:r>
      <w:r w:rsidRPr="00A36ADC">
        <w:rPr>
          <w:rFonts w:cstheme="minorHAnsi"/>
          <w:sz w:val="24"/>
          <w:szCs w:val="24"/>
        </w:rPr>
        <w:t>zda všechny, nebo jen nehody s účastí chodců</w:t>
      </w:r>
      <w:r>
        <w:rPr>
          <w:rFonts w:cstheme="minorHAnsi"/>
          <w:sz w:val="24"/>
          <w:szCs w:val="24"/>
        </w:rPr>
        <w:t>). Navíc</w:t>
      </w:r>
      <w:r w:rsidRPr="00255FCE">
        <w:rPr>
          <w:rFonts w:eastAsia="Calibri" w:cstheme="minorHAnsi"/>
          <w:sz w:val="24"/>
          <w:szCs w:val="24"/>
        </w:rPr>
        <w:t xml:space="preserve"> není zaručeno, </w:t>
      </w:r>
      <w:r>
        <w:rPr>
          <w:rFonts w:eastAsia="Calibri" w:cstheme="minorHAnsi"/>
          <w:sz w:val="24"/>
          <w:szCs w:val="24"/>
        </w:rPr>
        <w:t>že tento</w:t>
      </w:r>
      <w:r w:rsidRPr="00255FCE">
        <w:rPr>
          <w:rFonts w:eastAsia="Calibri" w:cstheme="minorHAnsi"/>
          <w:sz w:val="24"/>
          <w:szCs w:val="24"/>
        </w:rPr>
        <w:t xml:space="preserve"> indikátor umožní na úrovni programu prokázat účinky intervencí, </w:t>
      </w:r>
      <w:r>
        <w:rPr>
          <w:rFonts w:eastAsia="Calibri" w:cstheme="minorHAnsi"/>
          <w:sz w:val="24"/>
          <w:szCs w:val="24"/>
        </w:rPr>
        <w:t xml:space="preserve">neboť jeho </w:t>
      </w:r>
      <w:r w:rsidRPr="00255FCE">
        <w:rPr>
          <w:rFonts w:eastAsia="Calibri" w:cstheme="minorHAnsi"/>
          <w:sz w:val="24"/>
          <w:szCs w:val="24"/>
        </w:rPr>
        <w:t>výchozí hodnot</w:t>
      </w:r>
      <w:r>
        <w:rPr>
          <w:rFonts w:eastAsia="Calibri" w:cstheme="minorHAnsi"/>
          <w:sz w:val="24"/>
          <w:szCs w:val="24"/>
        </w:rPr>
        <w:t>u</w:t>
      </w:r>
      <w:r w:rsidRPr="00255FCE">
        <w:rPr>
          <w:rFonts w:eastAsia="Calibri" w:cstheme="minorHAnsi"/>
          <w:sz w:val="24"/>
          <w:szCs w:val="24"/>
        </w:rPr>
        <w:t xml:space="preserve"> </w:t>
      </w:r>
      <w:r>
        <w:rPr>
          <w:rFonts w:eastAsia="Calibri" w:cstheme="minorHAnsi"/>
          <w:sz w:val="24"/>
          <w:szCs w:val="24"/>
        </w:rPr>
        <w:t xml:space="preserve">MMR </w:t>
      </w:r>
      <w:r w:rsidRPr="00255FCE">
        <w:rPr>
          <w:rFonts w:eastAsia="Calibri" w:cstheme="minorHAnsi"/>
          <w:sz w:val="24"/>
          <w:szCs w:val="24"/>
        </w:rPr>
        <w:t>stanov</w:t>
      </w:r>
      <w:r>
        <w:rPr>
          <w:rFonts w:eastAsia="Calibri" w:cstheme="minorHAnsi"/>
          <w:sz w:val="24"/>
          <w:szCs w:val="24"/>
        </w:rPr>
        <w:t>ilo</w:t>
      </w:r>
      <w:r w:rsidRPr="00255FCE">
        <w:rPr>
          <w:rFonts w:eastAsia="Calibri" w:cstheme="minorHAnsi"/>
          <w:sz w:val="24"/>
          <w:szCs w:val="24"/>
        </w:rPr>
        <w:t xml:space="preserve"> </w:t>
      </w:r>
      <w:r>
        <w:rPr>
          <w:rFonts w:eastAsia="Calibri" w:cstheme="minorHAnsi"/>
          <w:sz w:val="24"/>
          <w:szCs w:val="24"/>
        </w:rPr>
        <w:t xml:space="preserve">jen </w:t>
      </w:r>
      <w:r w:rsidRPr="00255FCE">
        <w:rPr>
          <w:rFonts w:eastAsia="Calibri" w:cstheme="minorHAnsi"/>
          <w:sz w:val="24"/>
          <w:szCs w:val="24"/>
        </w:rPr>
        <w:t xml:space="preserve">orientačně z dokumentu </w:t>
      </w:r>
      <w:r w:rsidRPr="000B29CF">
        <w:rPr>
          <w:rFonts w:eastAsia="Calibri" w:cstheme="minorHAnsi"/>
          <w:i/>
          <w:iCs/>
          <w:sz w:val="24"/>
          <w:szCs w:val="24"/>
        </w:rPr>
        <w:t>Dopravní nehodovost a její důsledky v ČR v dlouhodobém pohledu</w:t>
      </w:r>
      <w:r w:rsidRPr="00255FCE">
        <w:rPr>
          <w:rFonts w:eastAsia="Calibri" w:cstheme="minorHAnsi"/>
          <w:sz w:val="24"/>
          <w:szCs w:val="24"/>
        </w:rPr>
        <w:t xml:space="preserve"> z roku 2014 a </w:t>
      </w:r>
      <w:r>
        <w:rPr>
          <w:rFonts w:eastAsia="Calibri" w:cstheme="minorHAnsi"/>
          <w:sz w:val="24"/>
          <w:szCs w:val="24"/>
        </w:rPr>
        <w:t xml:space="preserve">jeho </w:t>
      </w:r>
      <w:r w:rsidRPr="00255FCE">
        <w:rPr>
          <w:rFonts w:eastAsia="Calibri" w:cstheme="minorHAnsi"/>
          <w:sz w:val="24"/>
          <w:szCs w:val="24"/>
        </w:rPr>
        <w:t>cílov</w:t>
      </w:r>
      <w:r>
        <w:rPr>
          <w:rFonts w:eastAsia="Calibri" w:cstheme="minorHAnsi"/>
          <w:sz w:val="24"/>
          <w:szCs w:val="24"/>
        </w:rPr>
        <w:t xml:space="preserve">á </w:t>
      </w:r>
      <w:r w:rsidRPr="00255FCE">
        <w:rPr>
          <w:rFonts w:eastAsia="Calibri" w:cstheme="minorHAnsi"/>
          <w:sz w:val="24"/>
          <w:szCs w:val="24"/>
        </w:rPr>
        <w:t>hodnot</w:t>
      </w:r>
      <w:r>
        <w:rPr>
          <w:rFonts w:eastAsia="Calibri" w:cstheme="minorHAnsi"/>
          <w:sz w:val="24"/>
          <w:szCs w:val="24"/>
        </w:rPr>
        <w:t xml:space="preserve">a má být </w:t>
      </w:r>
      <w:r w:rsidRPr="00255FCE">
        <w:rPr>
          <w:rFonts w:eastAsia="Calibri" w:cstheme="minorHAnsi"/>
          <w:sz w:val="24"/>
          <w:szCs w:val="24"/>
        </w:rPr>
        <w:t xml:space="preserve">sledována jako průměr hodnot na jeden km z dokončených projektů. </w:t>
      </w:r>
    </w:p>
    <w:p w:rsidR="009962CB" w:rsidRDefault="009962CB" w:rsidP="009962CB">
      <w:pPr>
        <w:spacing w:after="0" w:line="252" w:lineRule="auto"/>
        <w:contextualSpacing/>
        <w:rPr>
          <w:rFonts w:eastAsia="Calibri" w:cstheme="minorHAnsi"/>
          <w:sz w:val="24"/>
          <w:szCs w:val="24"/>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Bezpečnost a bezbariérovost komunikací pro pěší je důležitá</w:t>
      </w:r>
      <w:r w:rsidR="003067BB">
        <w:rPr>
          <w:rFonts w:eastAsia="Calibri" w:cstheme="minorHAnsi"/>
          <w:b/>
          <w:i/>
          <w:color w:val="4472C4" w:themeColor="accent5"/>
          <w:sz w:val="24"/>
          <w:szCs w:val="24"/>
        </w:rPr>
        <w:t>,</w:t>
      </w:r>
      <w:r>
        <w:rPr>
          <w:rFonts w:eastAsia="Calibri" w:cstheme="minorHAnsi"/>
          <w:b/>
          <w:i/>
          <w:color w:val="4472C4" w:themeColor="accent5"/>
          <w:sz w:val="24"/>
          <w:szCs w:val="24"/>
        </w:rPr>
        <w:t xml:space="preserve"> ...</w:t>
      </w:r>
    </w:p>
    <w:p w:rsidR="009962CB" w:rsidRPr="002F5290" w:rsidRDefault="009962CB" w:rsidP="009962CB">
      <w:pPr>
        <w:spacing w:after="0" w:line="252" w:lineRule="auto"/>
        <w:contextualSpacing/>
        <w:rPr>
          <w:rFonts w:eastAsia="Calibri" w:cstheme="minorHAnsi"/>
          <w:sz w:val="24"/>
          <w:szCs w:val="24"/>
        </w:rPr>
      </w:pPr>
    </w:p>
    <w:p w:rsidR="009962CB" w:rsidRPr="002F5290"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4.15 NKÚ kontrolou zjistil, že z</w:t>
      </w:r>
      <w:r w:rsidRPr="002F5290">
        <w:rPr>
          <w:rFonts w:eastAsia="Calibri" w:cstheme="minorHAnsi"/>
          <w:sz w:val="24"/>
          <w:szCs w:val="24"/>
        </w:rPr>
        <w:t xml:space="preserve">výšení bezpečnosti chodců </w:t>
      </w:r>
      <w:r>
        <w:rPr>
          <w:rFonts w:eastAsia="Calibri" w:cstheme="minorHAnsi"/>
          <w:sz w:val="24"/>
          <w:szCs w:val="24"/>
        </w:rPr>
        <w:t>přinesly p</w:t>
      </w:r>
      <w:r w:rsidRPr="002F5290">
        <w:rPr>
          <w:rFonts w:eastAsia="Calibri" w:cstheme="minorHAnsi"/>
          <w:sz w:val="24"/>
          <w:szCs w:val="24"/>
        </w:rPr>
        <w:t xml:space="preserve">odpořené projekty </w:t>
      </w:r>
      <w:r>
        <w:rPr>
          <w:rFonts w:eastAsia="Calibri" w:cstheme="minorHAnsi"/>
          <w:sz w:val="24"/>
          <w:szCs w:val="24"/>
        </w:rPr>
        <w:t>především tam, kde v</w:t>
      </w:r>
      <w:r w:rsidR="00222D03">
        <w:rPr>
          <w:rFonts w:eastAsia="Calibri" w:cstheme="minorHAnsi"/>
          <w:sz w:val="24"/>
          <w:szCs w:val="24"/>
        </w:rPr>
        <w:t xml:space="preserve"> </w:t>
      </w:r>
      <w:r>
        <w:rPr>
          <w:rFonts w:eastAsia="Calibri" w:cstheme="minorHAnsi"/>
          <w:sz w:val="24"/>
          <w:szCs w:val="24"/>
        </w:rPr>
        <w:t xml:space="preserve">obcích </w:t>
      </w:r>
      <w:r w:rsidRPr="002F5290">
        <w:rPr>
          <w:rFonts w:eastAsia="Calibri" w:cstheme="minorHAnsi"/>
          <w:sz w:val="24"/>
          <w:szCs w:val="24"/>
        </w:rPr>
        <w:t>chyběly</w:t>
      </w:r>
      <w:r>
        <w:rPr>
          <w:rFonts w:eastAsia="Calibri" w:cstheme="minorHAnsi"/>
          <w:sz w:val="24"/>
          <w:szCs w:val="24"/>
        </w:rPr>
        <w:t xml:space="preserve"> </w:t>
      </w:r>
      <w:r w:rsidRPr="002F5290">
        <w:rPr>
          <w:rFonts w:eastAsia="Calibri" w:cstheme="minorHAnsi"/>
          <w:sz w:val="24"/>
          <w:szCs w:val="24"/>
        </w:rPr>
        <w:t>chodníky</w:t>
      </w:r>
      <w:r>
        <w:rPr>
          <w:rFonts w:eastAsia="Calibri" w:cstheme="minorHAnsi"/>
          <w:sz w:val="24"/>
          <w:szCs w:val="24"/>
        </w:rPr>
        <w:t xml:space="preserve"> u</w:t>
      </w:r>
      <w:r w:rsidR="002A4552">
        <w:rPr>
          <w:rFonts w:eastAsia="Calibri" w:cstheme="minorHAnsi"/>
          <w:sz w:val="24"/>
          <w:szCs w:val="24"/>
        </w:rPr>
        <w:t xml:space="preserve"> </w:t>
      </w:r>
      <w:r w:rsidRPr="002F5290">
        <w:rPr>
          <w:rFonts w:eastAsia="Calibri" w:cstheme="minorHAnsi"/>
          <w:sz w:val="24"/>
          <w:szCs w:val="24"/>
        </w:rPr>
        <w:t>dopravně zatížených komunikací</w:t>
      </w:r>
      <w:r w:rsidR="002A4552">
        <w:rPr>
          <w:rFonts w:eastAsia="Calibri" w:cstheme="minorHAnsi"/>
          <w:sz w:val="24"/>
          <w:szCs w:val="24"/>
        </w:rPr>
        <w:t>,</w:t>
      </w:r>
      <w:r w:rsidRPr="002F5290">
        <w:rPr>
          <w:rFonts w:eastAsia="Calibri" w:cstheme="minorHAnsi"/>
          <w:sz w:val="24"/>
          <w:szCs w:val="24"/>
        </w:rPr>
        <w:t xml:space="preserve"> nebo</w:t>
      </w:r>
      <w:r>
        <w:rPr>
          <w:rFonts w:eastAsia="Calibri" w:cstheme="minorHAnsi"/>
          <w:sz w:val="24"/>
          <w:szCs w:val="24"/>
        </w:rPr>
        <w:t xml:space="preserve"> </w:t>
      </w:r>
      <w:r w:rsidR="006B5EF6">
        <w:rPr>
          <w:rFonts w:eastAsia="Calibri" w:cstheme="minorHAnsi"/>
          <w:sz w:val="24"/>
          <w:szCs w:val="24"/>
        </w:rPr>
        <w:br/>
      </w:r>
      <w:r>
        <w:rPr>
          <w:rFonts w:eastAsia="Calibri" w:cstheme="minorHAnsi"/>
          <w:sz w:val="24"/>
          <w:szCs w:val="24"/>
        </w:rPr>
        <w:t>v</w:t>
      </w:r>
      <w:r w:rsidRPr="002F5290">
        <w:rPr>
          <w:rFonts w:eastAsia="Calibri" w:cstheme="minorHAnsi"/>
          <w:sz w:val="24"/>
          <w:szCs w:val="24"/>
        </w:rPr>
        <w:t xml:space="preserve"> nepřehledných úsecích. </w:t>
      </w:r>
      <w:r>
        <w:rPr>
          <w:rFonts w:eastAsia="Calibri" w:cstheme="minorHAnsi"/>
          <w:sz w:val="24"/>
          <w:szCs w:val="24"/>
        </w:rPr>
        <w:t>O</w:t>
      </w:r>
      <w:r w:rsidRPr="002F5290">
        <w:rPr>
          <w:rFonts w:eastAsia="Calibri" w:cstheme="minorHAnsi"/>
          <w:sz w:val="24"/>
          <w:szCs w:val="24"/>
        </w:rPr>
        <w:t xml:space="preserve">ddělení chodců od ostatního dopravního provozu je v takovýchto případech jedním z nejúčinnějších opatření zvyšujících jejich bezpečnost. </w:t>
      </w:r>
      <w:r>
        <w:rPr>
          <w:rFonts w:eastAsia="Calibri" w:cstheme="minorHAnsi"/>
          <w:sz w:val="24"/>
          <w:szCs w:val="24"/>
        </w:rPr>
        <w:t xml:space="preserve">Zejména výstavba chodníků podél frekventovaných průjezdních silnic procházejících obcemi přinášela užitek všem nebo alespoň značné části jejich obyvatel. </w:t>
      </w:r>
      <w:r w:rsidRPr="002F5290">
        <w:rPr>
          <w:rFonts w:eastAsia="Calibri" w:cstheme="minorHAnsi"/>
          <w:sz w:val="24"/>
          <w:szCs w:val="24"/>
        </w:rPr>
        <w:t xml:space="preserve">Nezpochybnitelným přínosem </w:t>
      </w:r>
      <w:r>
        <w:rPr>
          <w:rFonts w:eastAsia="Calibri" w:cstheme="minorHAnsi"/>
          <w:sz w:val="24"/>
          <w:szCs w:val="24"/>
        </w:rPr>
        <w:t xml:space="preserve">některých </w:t>
      </w:r>
      <w:r w:rsidRPr="002F5290">
        <w:rPr>
          <w:rFonts w:eastAsia="Calibri" w:cstheme="minorHAnsi"/>
          <w:sz w:val="24"/>
          <w:szCs w:val="24"/>
        </w:rPr>
        <w:t xml:space="preserve">podpořených projektů jsou rovněž bezbariérové úpravy chodníků a autobusových zastávek </w:t>
      </w:r>
      <w:r>
        <w:rPr>
          <w:rFonts w:eastAsia="Calibri" w:cstheme="minorHAnsi"/>
          <w:sz w:val="24"/>
          <w:szCs w:val="24"/>
        </w:rPr>
        <w:t>zlepšu</w:t>
      </w:r>
      <w:r w:rsidRPr="002F5290">
        <w:rPr>
          <w:rFonts w:eastAsia="Calibri" w:cstheme="minorHAnsi"/>
          <w:sz w:val="24"/>
          <w:szCs w:val="24"/>
        </w:rPr>
        <w:t xml:space="preserve">jící osobám se sníženou schopností pohybu nebo orientace </w:t>
      </w:r>
      <w:r>
        <w:rPr>
          <w:rFonts w:eastAsia="Calibri" w:cstheme="minorHAnsi"/>
          <w:sz w:val="24"/>
          <w:szCs w:val="24"/>
        </w:rPr>
        <w:t>přístupnost</w:t>
      </w:r>
      <w:r w:rsidRPr="002F5290">
        <w:rPr>
          <w:rFonts w:eastAsia="Calibri" w:cstheme="minorHAnsi"/>
          <w:sz w:val="24"/>
          <w:szCs w:val="24"/>
        </w:rPr>
        <w:t xml:space="preserve"> veřejného prostoru a dostupnost dopravy.</w:t>
      </w:r>
      <w:r>
        <w:rPr>
          <w:rFonts w:eastAsia="Calibri" w:cstheme="minorHAnsi"/>
          <w:sz w:val="24"/>
          <w:szCs w:val="24"/>
        </w:rPr>
        <w:t xml:space="preserve"> Jeden z takovýchto projektů je uveden v příkladu č. 2. </w:t>
      </w:r>
    </w:p>
    <w:p w:rsidR="009962CB" w:rsidRDefault="009962CB" w:rsidP="009962CB">
      <w:pPr>
        <w:spacing w:after="0" w:line="252" w:lineRule="auto"/>
        <w:contextualSpacing/>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Příklad č. 2: Výstavba chodníku podél průjezdní komunikace v obci – příklad dobré praxe</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 xml:space="preserve">Příkladem dobré praxe může být podpora projektu č. 3. </w:t>
      </w:r>
      <w:r w:rsidRPr="004E3DFD">
        <w:rPr>
          <w:rFonts w:eastAsia="Calibri" w:cstheme="minorHAnsi"/>
          <w:i/>
        </w:rPr>
        <w:t xml:space="preserve">Celkové náklady projektu činily </w:t>
      </w:r>
      <w:r>
        <w:rPr>
          <w:rFonts w:eastAsia="Calibri" w:cstheme="minorHAnsi"/>
          <w:i/>
        </w:rPr>
        <w:t>10</w:t>
      </w:r>
      <w:r w:rsidRPr="004E3DFD">
        <w:rPr>
          <w:rFonts w:eastAsia="Calibri" w:cstheme="minorHAnsi"/>
          <w:i/>
        </w:rPr>
        <w:t>,</w:t>
      </w:r>
      <w:r>
        <w:rPr>
          <w:rFonts w:eastAsia="Calibri" w:cstheme="minorHAnsi"/>
          <w:i/>
        </w:rPr>
        <w:t>6</w:t>
      </w:r>
      <w:r w:rsidR="00F427F3">
        <w:rPr>
          <w:rFonts w:eastAsia="Calibri" w:cstheme="minorHAnsi"/>
          <w:i/>
        </w:rPr>
        <w:t>0</w:t>
      </w:r>
      <w:r w:rsidRPr="004E3DFD">
        <w:rPr>
          <w:rFonts w:eastAsia="Calibri" w:cstheme="minorHAnsi"/>
          <w:i/>
        </w:rPr>
        <w:t xml:space="preserve"> mil. Kč, z toho uznatelné náklady </w:t>
      </w:r>
      <w:r>
        <w:rPr>
          <w:rFonts w:eastAsia="Calibri" w:cstheme="minorHAnsi"/>
          <w:i/>
        </w:rPr>
        <w:t>5</w:t>
      </w:r>
      <w:r w:rsidRPr="004E3DFD">
        <w:rPr>
          <w:rFonts w:eastAsia="Calibri" w:cstheme="minorHAnsi"/>
          <w:i/>
        </w:rPr>
        <w:t>,</w:t>
      </w:r>
      <w:r>
        <w:rPr>
          <w:rFonts w:eastAsia="Calibri" w:cstheme="minorHAnsi"/>
          <w:i/>
        </w:rPr>
        <w:t>07</w:t>
      </w:r>
      <w:r w:rsidRPr="004E3DFD">
        <w:rPr>
          <w:rFonts w:eastAsia="Calibri" w:cstheme="minorHAnsi"/>
          <w:i/>
        </w:rPr>
        <w:t xml:space="preserve"> mil. Kč. Na projekt byla </w:t>
      </w:r>
      <w:r w:rsidR="00A25EC5" w:rsidRPr="004E3DFD">
        <w:rPr>
          <w:rFonts w:eastAsia="Calibri" w:cstheme="minorHAnsi"/>
          <w:i/>
        </w:rPr>
        <w:t>z rozpočtu SFDI</w:t>
      </w:r>
      <w:r w:rsidR="00A25EC5">
        <w:rPr>
          <w:rFonts w:eastAsia="Calibri" w:cstheme="minorHAnsi"/>
          <w:i/>
        </w:rPr>
        <w:t xml:space="preserve"> </w:t>
      </w:r>
      <w:r w:rsidRPr="004E3DFD">
        <w:rPr>
          <w:rFonts w:eastAsia="Calibri" w:cstheme="minorHAnsi"/>
          <w:i/>
        </w:rPr>
        <w:t>poskytnuta podpora ve výši cca</w:t>
      </w:r>
      <w:r w:rsidR="0046431D">
        <w:rPr>
          <w:rFonts w:eastAsia="Calibri" w:cstheme="minorHAnsi"/>
          <w:i/>
        </w:rPr>
        <w:t> </w:t>
      </w:r>
      <w:r>
        <w:rPr>
          <w:rFonts w:eastAsia="Calibri" w:cstheme="minorHAnsi"/>
          <w:i/>
        </w:rPr>
        <w:t>4</w:t>
      </w:r>
      <w:r w:rsidRPr="004E3DFD">
        <w:rPr>
          <w:rFonts w:eastAsia="Calibri" w:cstheme="minorHAnsi"/>
          <w:i/>
        </w:rPr>
        <w:t>,</w:t>
      </w:r>
      <w:r>
        <w:rPr>
          <w:rFonts w:eastAsia="Calibri" w:cstheme="minorHAnsi"/>
          <w:i/>
        </w:rPr>
        <w:t>31</w:t>
      </w:r>
      <w:r w:rsidRPr="004E3DFD">
        <w:rPr>
          <w:rFonts w:eastAsia="Calibri" w:cstheme="minorHAnsi"/>
          <w:i/>
        </w:rPr>
        <w:t xml:space="preserve"> mil. Kč (cca 8</w:t>
      </w:r>
      <w:r>
        <w:rPr>
          <w:rFonts w:eastAsia="Calibri" w:cstheme="minorHAnsi"/>
          <w:i/>
        </w:rPr>
        <w:t>5</w:t>
      </w:r>
      <w:r w:rsidRPr="004E3DFD">
        <w:rPr>
          <w:rFonts w:eastAsia="Calibri" w:cstheme="minorHAnsi"/>
          <w:i/>
        </w:rPr>
        <w:t xml:space="preserve"> % uznatelných nákladů).</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Obec je situována podél dopravně zatížené silnice II. třídy, po níž projíždí 3 000 vozidel za 24 hodin. V obci chodníky zcela chyběly. Výstavba chodníku umožnila oddělit chodce od ostatního silničního provozu a prokazatelně přinesla zvýšení bezpečnosti a mobility chodců v porovnání s původním stavem, a to včetně zajištění bezpečné a bezbariérové dostupnosti dvou autobusových zastávek.</w:t>
      </w:r>
      <w:r>
        <w:rPr>
          <w:rFonts w:eastAsia="Calibri" w:cstheme="minorHAnsi"/>
          <w:i/>
        </w:rPr>
        <w:t xml:space="preserve"> </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Nedořešeno ovšem zůstalo bezpečné přecházení uvedené komunikace.</w:t>
      </w:r>
      <w:r>
        <w:rPr>
          <w:rFonts w:eastAsia="Calibri" w:cstheme="minorHAnsi"/>
          <w:i/>
        </w:rPr>
        <w:t xml:space="preserve"> </w:t>
      </w:r>
      <w:r w:rsidRPr="001A0DE5">
        <w:rPr>
          <w:rFonts w:eastAsia="Calibri" w:cstheme="minorHAnsi"/>
          <w:i/>
        </w:rPr>
        <w:t>NKÚ proto vyhodnotil vynaložení prostředků na tento projekt jako účelné jen s mírnými nedostatky</w:t>
      </w:r>
      <w:r>
        <w:rPr>
          <w:rFonts w:eastAsia="Calibri" w:cstheme="minorHAnsi"/>
          <w:i/>
        </w:rPr>
        <w:t>.</w:t>
      </w: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9A5953" w:rsidRDefault="009A5953"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9962CB" w:rsidRPr="00435049" w:rsidRDefault="009962CB" w:rsidP="00222D03">
      <w:pPr>
        <w:keepNext/>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b/>
          <w:i/>
        </w:rPr>
      </w:pPr>
      <w:r w:rsidRPr="00435049">
        <w:rPr>
          <w:rFonts w:cstheme="minorHAnsi"/>
          <w:b/>
          <w:i/>
        </w:rPr>
        <w:lastRenderedPageBreak/>
        <w:t>Před realizací projektu</w:t>
      </w:r>
      <w:r w:rsidRPr="00435049">
        <w:rPr>
          <w:rFonts w:cstheme="minorHAnsi"/>
          <w:b/>
          <w:i/>
        </w:rPr>
        <w:tab/>
        <w:t>Po realizaci projektu</w:t>
      </w:r>
    </w:p>
    <w:p w:rsidR="009962CB" w:rsidRPr="00435049" w:rsidRDefault="009962CB" w:rsidP="0046431D">
      <w:pPr>
        <w:pBdr>
          <w:top w:val="single" w:sz="4" w:space="1" w:color="auto"/>
          <w:left w:val="single" w:sz="4" w:space="4" w:color="auto"/>
          <w:bottom w:val="single" w:sz="4" w:space="1" w:color="auto"/>
          <w:right w:val="single" w:sz="4" w:space="4" w:color="auto"/>
        </w:pBdr>
        <w:tabs>
          <w:tab w:val="left" w:pos="4678"/>
        </w:tabs>
        <w:spacing w:after="0" w:line="252" w:lineRule="auto"/>
        <w:contextualSpacing/>
        <w:jc w:val="both"/>
        <w:rPr>
          <w:rFonts w:cstheme="minorHAnsi"/>
          <w:bCs/>
          <w:i/>
        </w:rPr>
      </w:pPr>
      <w:r w:rsidRPr="00435049">
        <w:rPr>
          <w:rFonts w:cstheme="minorHAnsi"/>
          <w:i/>
        </w:rPr>
        <w:t>(pohled východním směrem)</w:t>
      </w:r>
      <w:r w:rsidRPr="00435049">
        <w:rPr>
          <w:rFonts w:cstheme="minorHAnsi"/>
          <w:i/>
        </w:rPr>
        <w:tab/>
        <w:t>(pohled západním směrem)</w:t>
      </w:r>
    </w:p>
    <w:p w:rsidR="009962CB" w:rsidRPr="001F7581" w:rsidRDefault="009962CB" w:rsidP="0046431D">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b/>
          <w:sz w:val="24"/>
          <w:szCs w:val="24"/>
          <w:u w:val="single"/>
        </w:rPr>
      </w:pPr>
      <w:r w:rsidRPr="001F7581">
        <w:rPr>
          <w:noProof/>
          <w:sz w:val="24"/>
          <w:szCs w:val="24"/>
        </w:rPr>
        <w:drawing>
          <wp:inline distT="0" distB="0" distL="0" distR="0" wp14:anchorId="2987EB9F" wp14:editId="5E670076">
            <wp:extent cx="2700000" cy="2016000"/>
            <wp:effectExtent l="19050" t="19050" r="24765" b="22860"/>
            <wp:docPr id="2" name="Obráz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0000" cy="2016000"/>
                    </a:xfrm>
                    <a:prstGeom prst="rect">
                      <a:avLst/>
                    </a:prstGeom>
                    <a:noFill/>
                    <a:ln w="6350">
                      <a:solidFill>
                        <a:schemeClr val="tx1"/>
                      </a:solidFill>
                    </a:ln>
                  </pic:spPr>
                </pic:pic>
              </a:graphicData>
            </a:graphic>
          </wp:inline>
        </w:drawing>
      </w:r>
      <w:r>
        <w:rPr>
          <w:rFonts w:cstheme="minorHAnsi"/>
          <w:sz w:val="24"/>
          <w:szCs w:val="24"/>
        </w:rPr>
        <w:t xml:space="preserve"> </w:t>
      </w:r>
      <w:r w:rsidR="00362375">
        <w:rPr>
          <w:rFonts w:cstheme="minorHAnsi"/>
          <w:sz w:val="24"/>
          <w:szCs w:val="24"/>
        </w:rPr>
        <w:tab/>
      </w:r>
      <w:r w:rsidRPr="001F7581">
        <w:rPr>
          <w:noProof/>
          <w:sz w:val="24"/>
          <w:szCs w:val="24"/>
        </w:rPr>
        <w:drawing>
          <wp:inline distT="0" distB="0" distL="0" distR="0" wp14:anchorId="30899692" wp14:editId="29622181">
            <wp:extent cx="2700000" cy="2021829"/>
            <wp:effectExtent l="19050" t="19050" r="24765" b="1714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0000" cy="2021829"/>
                    </a:xfrm>
                    <a:prstGeom prst="rect">
                      <a:avLst/>
                    </a:prstGeom>
                    <a:noFill/>
                    <a:ln w="6350">
                      <a:solidFill>
                        <a:schemeClr val="tx1"/>
                      </a:solidFill>
                    </a:ln>
                  </pic:spPr>
                </pic:pic>
              </a:graphicData>
            </a:graphic>
          </wp:inline>
        </w:drawing>
      </w:r>
    </w:p>
    <w:p w:rsidR="009962CB" w:rsidRPr="000B29CF" w:rsidRDefault="009962CB" w:rsidP="00362375">
      <w:pPr>
        <w:pBdr>
          <w:top w:val="single" w:sz="4" w:space="1" w:color="auto"/>
          <w:left w:val="single" w:sz="4" w:space="4" w:color="auto"/>
          <w:bottom w:val="single" w:sz="4" w:space="1" w:color="auto"/>
          <w:right w:val="single" w:sz="4" w:space="4" w:color="auto"/>
        </w:pBdr>
        <w:tabs>
          <w:tab w:val="left" w:pos="4678"/>
        </w:tabs>
        <w:spacing w:after="0" w:line="252" w:lineRule="auto"/>
        <w:contextualSpacing/>
        <w:jc w:val="both"/>
        <w:rPr>
          <w:rFonts w:eastAsia="Calibri" w:cstheme="minorHAnsi"/>
          <w:iCs/>
        </w:rPr>
      </w:pPr>
      <w:r w:rsidRPr="000B29CF">
        <w:rPr>
          <w:rFonts w:eastAsia="Calibri" w:cstheme="minorHAnsi"/>
          <w:b/>
          <w:bCs/>
          <w:iCs/>
        </w:rPr>
        <w:t>Zdroj:</w:t>
      </w:r>
      <w:r w:rsidRPr="000B29CF">
        <w:rPr>
          <w:rFonts w:eastAsia="Calibri" w:cstheme="minorHAnsi"/>
          <w:iCs/>
        </w:rPr>
        <w:t xml:space="preserve"> </w:t>
      </w:r>
      <w:r w:rsidR="002A4552" w:rsidRPr="000B29CF">
        <w:rPr>
          <w:rFonts w:eastAsia="Calibri" w:cstheme="minorHAnsi"/>
          <w:iCs/>
        </w:rPr>
        <w:t>ž</w:t>
      </w:r>
      <w:r w:rsidRPr="000B29CF">
        <w:rPr>
          <w:rFonts w:eastAsia="Calibri" w:cstheme="minorHAnsi"/>
          <w:iCs/>
        </w:rPr>
        <w:t>ádost o podporu</w:t>
      </w:r>
      <w:r w:rsidR="002A4552">
        <w:rPr>
          <w:rFonts w:eastAsia="Calibri" w:cstheme="minorHAnsi"/>
          <w:iCs/>
        </w:rPr>
        <w:t>.</w:t>
      </w:r>
      <w:r w:rsidRPr="00435049">
        <w:rPr>
          <w:rFonts w:eastAsia="Calibri" w:cstheme="minorHAnsi"/>
          <w:i/>
        </w:rPr>
        <w:tab/>
      </w:r>
      <w:r w:rsidRPr="000B29CF">
        <w:rPr>
          <w:rFonts w:eastAsia="Calibri" w:cstheme="minorHAnsi"/>
          <w:b/>
          <w:bCs/>
          <w:iCs/>
        </w:rPr>
        <w:t>Zdroj:</w:t>
      </w:r>
      <w:r w:rsidRPr="000B29CF">
        <w:rPr>
          <w:rFonts w:eastAsia="Calibri" w:cstheme="minorHAnsi"/>
          <w:iCs/>
        </w:rPr>
        <w:t xml:space="preserve"> </w:t>
      </w:r>
      <w:r w:rsidR="002A4552">
        <w:rPr>
          <w:rFonts w:eastAsia="Calibri" w:cstheme="minorHAnsi"/>
          <w:iCs/>
        </w:rPr>
        <w:t>z</w:t>
      </w:r>
      <w:r w:rsidRPr="000B29CF">
        <w:rPr>
          <w:rFonts w:eastAsia="Calibri" w:cstheme="minorHAnsi"/>
          <w:iCs/>
        </w:rPr>
        <w:t>ávěrečné vyhodnocení akce</w:t>
      </w:r>
      <w:r w:rsidR="002A4552">
        <w:rPr>
          <w:rFonts w:eastAsia="Calibri" w:cstheme="minorHAnsi"/>
          <w:iCs/>
        </w:rPr>
        <w:t>.</w:t>
      </w:r>
    </w:p>
    <w:p w:rsidR="009962CB" w:rsidRDefault="009962CB" w:rsidP="009962CB">
      <w:pPr>
        <w:spacing w:after="0" w:line="252" w:lineRule="auto"/>
        <w:contextualSpacing/>
        <w:jc w:val="both"/>
        <w:rPr>
          <w:rFonts w:eastAsia="Calibri" w:cstheme="minorHAnsi"/>
          <w:sz w:val="24"/>
          <w:szCs w:val="24"/>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Pr>
          <w:rFonts w:eastAsia="Calibri" w:cstheme="minorHAnsi"/>
          <w:b/>
          <w:i/>
          <w:color w:val="4472C4" w:themeColor="accent5"/>
          <w:sz w:val="24"/>
          <w:szCs w:val="24"/>
        </w:rPr>
        <w:t>... ale p</w:t>
      </w:r>
      <w:r w:rsidRPr="00C101CB">
        <w:rPr>
          <w:rFonts w:eastAsia="Calibri" w:cstheme="minorHAnsi"/>
          <w:b/>
          <w:i/>
          <w:color w:val="4472C4" w:themeColor="accent5"/>
          <w:sz w:val="24"/>
          <w:szCs w:val="24"/>
        </w:rPr>
        <w:t>odpora nebyla směrována vždy tam, kde by přinesla největší užitek</w:t>
      </w:r>
      <w:r>
        <w:rPr>
          <w:rFonts w:eastAsia="Calibri" w:cstheme="minorHAnsi"/>
          <w:b/>
          <w:i/>
          <w:color w:val="4472C4" w:themeColor="accent5"/>
          <w:sz w:val="24"/>
          <w:szCs w:val="24"/>
        </w:rPr>
        <w:t>.</w:t>
      </w:r>
    </w:p>
    <w:p w:rsidR="009962CB" w:rsidRDefault="009962CB" w:rsidP="009962CB">
      <w:pPr>
        <w:spacing w:after="0" w:line="252" w:lineRule="auto"/>
        <w:contextualSpacing/>
        <w:jc w:val="both"/>
        <w:rPr>
          <w:rFonts w:eastAsia="Calibri" w:cstheme="minorHAnsi"/>
          <w:sz w:val="24"/>
          <w:szCs w:val="24"/>
        </w:rPr>
      </w:pPr>
    </w:p>
    <w:p w:rsidR="009962CB" w:rsidRDefault="009962CB" w:rsidP="009962CB">
      <w:pPr>
        <w:spacing w:after="0" w:line="252" w:lineRule="auto"/>
        <w:contextualSpacing/>
        <w:jc w:val="both"/>
        <w:rPr>
          <w:rFonts w:eastAsia="Calibri" w:cstheme="minorHAnsi"/>
          <w:sz w:val="24"/>
          <w:szCs w:val="24"/>
        </w:rPr>
      </w:pPr>
      <w:bookmarkStart w:id="21" w:name="_Hlk177734047"/>
      <w:r w:rsidRPr="00233AED">
        <w:rPr>
          <w:rFonts w:eastAsia="Calibri" w:cstheme="minorHAnsi"/>
          <w:sz w:val="24"/>
          <w:szCs w:val="24"/>
        </w:rPr>
        <w:t xml:space="preserve">4.16 NKÚ </w:t>
      </w:r>
      <w:r>
        <w:rPr>
          <w:rFonts w:eastAsia="Calibri" w:cstheme="minorHAnsi"/>
          <w:sz w:val="24"/>
          <w:szCs w:val="24"/>
        </w:rPr>
        <w:t xml:space="preserve">však </w:t>
      </w:r>
      <w:r w:rsidRPr="00233AED">
        <w:rPr>
          <w:rFonts w:eastAsia="Calibri" w:cstheme="minorHAnsi"/>
          <w:sz w:val="24"/>
          <w:szCs w:val="24"/>
        </w:rPr>
        <w:t xml:space="preserve">kontrolou zjistil, že ne vždy byly podpořeny projekty s významným </w:t>
      </w:r>
      <w:r w:rsidR="006B5EF6">
        <w:rPr>
          <w:rFonts w:eastAsia="Calibri" w:cstheme="minorHAnsi"/>
          <w:sz w:val="24"/>
          <w:szCs w:val="24"/>
        </w:rPr>
        <w:br/>
      </w:r>
      <w:r w:rsidRPr="00233AED">
        <w:rPr>
          <w:rFonts w:eastAsia="Calibri" w:cstheme="minorHAnsi"/>
          <w:sz w:val="24"/>
          <w:szCs w:val="24"/>
        </w:rPr>
        <w:t>a prokazatelným přínosem pro zvýšení bezpečnosti chodců a zajištění bezbariérovosti komunikací pro pěší.</w:t>
      </w:r>
      <w:bookmarkEnd w:id="21"/>
      <w:r w:rsidRPr="00233AED">
        <w:rPr>
          <w:rFonts w:eastAsia="Calibri" w:cstheme="minorHAnsi"/>
          <w:sz w:val="24"/>
          <w:szCs w:val="24"/>
        </w:rPr>
        <w:t xml:space="preserve"> Důvodem bylo zejména nastavení podmínek podpory a s ním související hodnocení a výběr projektů podle kritérií nezaručujících, že budou peněžní prostředky státu </w:t>
      </w:r>
      <w:r w:rsidR="006B5EF6">
        <w:rPr>
          <w:rFonts w:eastAsia="Calibri" w:cstheme="minorHAnsi"/>
          <w:sz w:val="24"/>
          <w:szCs w:val="24"/>
        </w:rPr>
        <w:br/>
      </w:r>
      <w:r w:rsidRPr="00233AED">
        <w:rPr>
          <w:rFonts w:eastAsia="Calibri" w:cstheme="minorHAnsi"/>
          <w:sz w:val="24"/>
          <w:szCs w:val="24"/>
        </w:rPr>
        <w:t>a EU použity účelně</w:t>
      </w:r>
      <w:r>
        <w:rPr>
          <w:rFonts w:eastAsia="Calibri" w:cstheme="minorHAnsi"/>
          <w:sz w:val="24"/>
          <w:szCs w:val="24"/>
        </w:rPr>
        <w:t xml:space="preserve"> a hospodárně</w:t>
      </w:r>
      <w:r w:rsidRPr="00233AED">
        <w:rPr>
          <w:rFonts w:eastAsia="Calibri" w:cstheme="minorHAnsi"/>
          <w:sz w:val="24"/>
          <w:szCs w:val="24"/>
        </w:rPr>
        <w:t>.</w:t>
      </w:r>
      <w:r>
        <w:rPr>
          <w:rFonts w:eastAsia="Calibri" w:cstheme="minorHAnsi"/>
          <w:sz w:val="24"/>
          <w:szCs w:val="24"/>
        </w:rPr>
        <w:t xml:space="preserve"> MMR ani SFDI při výběru projektů dostatečně nezohlednily významnost přínosů projektů a při hodnocení vycházely z údajů a informací uváděných žadateli o podporu, aniž by je ověřovaly. Nastavení některých kritérií bylo nejednoznačné </w:t>
      </w:r>
      <w:r w:rsidR="006B5EF6">
        <w:rPr>
          <w:rFonts w:eastAsia="Calibri" w:cstheme="minorHAnsi"/>
          <w:sz w:val="24"/>
          <w:szCs w:val="24"/>
        </w:rPr>
        <w:br/>
      </w:r>
      <w:r>
        <w:rPr>
          <w:rFonts w:eastAsia="Calibri" w:cstheme="minorHAnsi"/>
          <w:sz w:val="24"/>
          <w:szCs w:val="24"/>
        </w:rPr>
        <w:t xml:space="preserve">a posuzování jejich splnění bylo spíše formální, bez odpovídajícího věcného obsahu (viz </w:t>
      </w:r>
      <w:r w:rsidR="00967A4B">
        <w:rPr>
          <w:rFonts w:eastAsia="Calibri" w:cstheme="minorHAnsi"/>
          <w:sz w:val="24"/>
          <w:szCs w:val="24"/>
        </w:rPr>
        <w:br/>
      </w:r>
      <w:r>
        <w:rPr>
          <w:rFonts w:eastAsia="Calibri" w:cstheme="minorHAnsi"/>
          <w:sz w:val="24"/>
          <w:szCs w:val="24"/>
        </w:rPr>
        <w:t xml:space="preserve">příklad č. 3). </w:t>
      </w:r>
    </w:p>
    <w:p w:rsidR="009962CB" w:rsidRDefault="009962CB" w:rsidP="009962CB">
      <w:pPr>
        <w:spacing w:after="0" w:line="252" w:lineRule="auto"/>
        <w:contextualSpacing/>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Příklad č. 3: Výběr projektů podle kritérií nezaručujících účelnost podpory</w:t>
      </w: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SFDI stanovil jako jedno z kritérií pro výběr projektů „</w:t>
      </w:r>
      <w:r w:rsidR="002A4552">
        <w:rPr>
          <w:rFonts w:eastAsia="Calibri" w:cstheme="minorHAnsi"/>
          <w:i/>
        </w:rPr>
        <w:t>n</w:t>
      </w:r>
      <w:r w:rsidRPr="00435049">
        <w:rPr>
          <w:rFonts w:eastAsia="Calibri" w:cstheme="minorHAnsi"/>
          <w:i/>
        </w:rPr>
        <w:t>ehodovost“. Žadatelé měli uvádět počet a popis následků dopravních nehod v řešené lokalitě za posledních 5 let. Nestanovil ale význam pojmu „řešená lokalita“. Na vzorku kontrolovaných projektů NKÚ zjistil, že žadatelé uváděli údaje nejen za řešené úseky, ale i za jiné komunikace, popř. za celou obec. Kritérium navíc zahrnovalo veškeré dopravní nehody, nejen nehody s chodci. Relevance údajů o dopravních nehodách vozidel bez účast</w:t>
      </w:r>
      <w:r w:rsidR="002A4552">
        <w:rPr>
          <w:rFonts w:eastAsia="Calibri" w:cstheme="minorHAnsi"/>
          <w:i/>
        </w:rPr>
        <w:t>i</w:t>
      </w:r>
      <w:r w:rsidRPr="00435049">
        <w:rPr>
          <w:rFonts w:eastAsia="Calibri" w:cstheme="minorHAnsi"/>
          <w:i/>
        </w:rPr>
        <w:t xml:space="preserve"> chodců </w:t>
      </w:r>
      <w:r w:rsidR="006B5EF6">
        <w:rPr>
          <w:rFonts w:eastAsia="Calibri" w:cstheme="minorHAnsi"/>
          <w:i/>
        </w:rPr>
        <w:br/>
      </w:r>
      <w:r w:rsidRPr="00435049">
        <w:rPr>
          <w:rFonts w:eastAsia="Calibri" w:cstheme="minorHAnsi"/>
          <w:i/>
        </w:rPr>
        <w:t xml:space="preserve">a mimo řešený úsek je ve vztahu k účelnosti podpory nulová. </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Obdobně nerelevantní bylo hodnocení potřebnosti úprav některých úseků komunikací v rámci kritéria „</w:t>
      </w:r>
      <w:r w:rsidR="002A4552">
        <w:rPr>
          <w:rFonts w:eastAsia="Calibri" w:cstheme="minorHAnsi"/>
          <w:i/>
        </w:rPr>
        <w:t>i</w:t>
      </w:r>
      <w:r w:rsidRPr="00435049">
        <w:rPr>
          <w:rFonts w:eastAsia="Calibri" w:cstheme="minorHAnsi"/>
          <w:i/>
        </w:rPr>
        <w:t xml:space="preserve">ntenzita všech vozidel za 24 h“ podle dopravního zatížení komunikací nacházejících se mimo řešený úsek. Tento postup umožňovala jak pravidla pro poskytování podpory z rozpočtu SFDI, tak z IROP ve výzvě č. 18. Jednalo se o případy, kdy žadatel do jednoho projektu zahrnul několik různých úseků komunikací v různých částech obce, přičemž projekt byl hodnocen podle úseku zatíženého největším dopravním provozem. </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Pr>
          <w:rFonts w:eastAsia="Calibri" w:cstheme="minorHAnsi"/>
          <w:i/>
        </w:rPr>
        <w:t>Předmětem projektu č.</w:t>
      </w:r>
      <w:r w:rsidR="002A4552">
        <w:rPr>
          <w:rFonts w:eastAsia="Calibri" w:cstheme="minorHAnsi"/>
          <w:i/>
        </w:rPr>
        <w:t xml:space="preserve"> </w:t>
      </w:r>
      <w:r>
        <w:rPr>
          <w:rFonts w:eastAsia="Calibri" w:cstheme="minorHAnsi"/>
          <w:i/>
        </w:rPr>
        <w:t>1</w:t>
      </w:r>
      <w:r w:rsidR="00955C21">
        <w:rPr>
          <w:rFonts w:eastAsia="Calibri" w:cstheme="minorHAnsi"/>
          <w:i/>
        </w:rPr>
        <w:t>3</w:t>
      </w:r>
      <w:r w:rsidRPr="00435049">
        <w:rPr>
          <w:rFonts w:eastAsia="Calibri" w:cstheme="minorHAnsi"/>
          <w:i/>
        </w:rPr>
        <w:t xml:space="preserve"> </w:t>
      </w:r>
      <w:r>
        <w:rPr>
          <w:rFonts w:eastAsia="Calibri" w:cstheme="minorHAnsi"/>
          <w:i/>
        </w:rPr>
        <w:t xml:space="preserve">byla </w:t>
      </w:r>
      <w:r w:rsidRPr="002977A2">
        <w:rPr>
          <w:rFonts w:eastAsia="Calibri" w:cstheme="minorHAnsi"/>
          <w:i/>
        </w:rPr>
        <w:t>rekonstrukc</w:t>
      </w:r>
      <w:r>
        <w:rPr>
          <w:rFonts w:eastAsia="Calibri" w:cstheme="minorHAnsi"/>
          <w:i/>
        </w:rPr>
        <w:t>e</w:t>
      </w:r>
      <w:r w:rsidRPr="002977A2">
        <w:rPr>
          <w:rFonts w:eastAsia="Calibri" w:cstheme="minorHAnsi"/>
          <w:i/>
        </w:rPr>
        <w:t xml:space="preserve"> čtyř úseků chodníků</w:t>
      </w:r>
      <w:r w:rsidR="00C431DE">
        <w:rPr>
          <w:rFonts w:eastAsia="Calibri" w:cstheme="minorHAnsi"/>
          <w:i/>
        </w:rPr>
        <w:t xml:space="preserve">, které spolu </w:t>
      </w:r>
      <w:r w:rsidR="00C431DE" w:rsidRPr="002977A2">
        <w:rPr>
          <w:rFonts w:eastAsia="Calibri" w:cstheme="minorHAnsi"/>
          <w:i/>
        </w:rPr>
        <w:t>místně ani funkčně nesouvise</w:t>
      </w:r>
      <w:r w:rsidR="00C431DE">
        <w:rPr>
          <w:rFonts w:eastAsia="Calibri" w:cstheme="minorHAnsi"/>
          <w:i/>
        </w:rPr>
        <w:t>ly a nacházely se</w:t>
      </w:r>
      <w:r w:rsidRPr="002977A2">
        <w:rPr>
          <w:rFonts w:eastAsia="Calibri" w:cstheme="minorHAnsi"/>
          <w:i/>
        </w:rPr>
        <w:t xml:space="preserve"> ve třech různých lokalitách obce.</w:t>
      </w:r>
      <w:r>
        <w:rPr>
          <w:rFonts w:eastAsia="Calibri" w:cstheme="minorHAnsi"/>
          <w:i/>
        </w:rPr>
        <w:t xml:space="preserve"> </w:t>
      </w:r>
      <w:r w:rsidRPr="00435049">
        <w:rPr>
          <w:rFonts w:eastAsia="Calibri" w:cstheme="minorHAnsi"/>
          <w:i/>
        </w:rPr>
        <w:t>Celkové</w:t>
      </w:r>
      <w:r>
        <w:rPr>
          <w:rFonts w:eastAsia="Calibri" w:cstheme="minorHAnsi"/>
          <w:i/>
        </w:rPr>
        <w:t xml:space="preserve"> </w:t>
      </w:r>
      <w:r w:rsidRPr="00435049">
        <w:rPr>
          <w:rFonts w:eastAsia="Calibri" w:cstheme="minorHAnsi"/>
          <w:i/>
        </w:rPr>
        <w:t>výdaje projektu</w:t>
      </w:r>
      <w:r>
        <w:rPr>
          <w:rFonts w:eastAsia="Calibri" w:cstheme="minorHAnsi"/>
          <w:i/>
        </w:rPr>
        <w:t xml:space="preserve"> </w:t>
      </w:r>
      <w:r w:rsidRPr="00435049">
        <w:rPr>
          <w:rFonts w:eastAsia="Calibri" w:cstheme="minorHAnsi"/>
          <w:i/>
        </w:rPr>
        <w:t xml:space="preserve">dle žádosti </w:t>
      </w:r>
      <w:r w:rsidR="006B5EF6">
        <w:rPr>
          <w:rFonts w:eastAsia="Calibri" w:cstheme="minorHAnsi"/>
          <w:i/>
        </w:rPr>
        <w:br/>
      </w:r>
      <w:r w:rsidRPr="00435049">
        <w:rPr>
          <w:rFonts w:eastAsia="Calibri" w:cstheme="minorHAnsi"/>
          <w:i/>
        </w:rPr>
        <w:t xml:space="preserve">o podporu činily </w:t>
      </w:r>
      <w:r>
        <w:rPr>
          <w:rFonts w:eastAsia="Calibri" w:cstheme="minorHAnsi"/>
          <w:i/>
        </w:rPr>
        <w:t>7</w:t>
      </w:r>
      <w:r w:rsidRPr="00435049">
        <w:rPr>
          <w:rFonts w:eastAsia="Calibri" w:cstheme="minorHAnsi"/>
          <w:i/>
        </w:rPr>
        <w:t>,</w:t>
      </w:r>
      <w:r>
        <w:rPr>
          <w:rFonts w:eastAsia="Calibri" w:cstheme="minorHAnsi"/>
          <w:i/>
        </w:rPr>
        <w:t>31</w:t>
      </w:r>
      <w:r w:rsidRPr="00435049">
        <w:rPr>
          <w:rFonts w:eastAsia="Calibri" w:cstheme="minorHAnsi"/>
          <w:i/>
        </w:rPr>
        <w:t xml:space="preserve"> mil. Kč (v závěrečném vyhodnocení akce nebyly celkové výdaje uvedeny). Způsobilé výdaje dle závěrečného vyhodnocení akce činily </w:t>
      </w:r>
      <w:r>
        <w:rPr>
          <w:rFonts w:eastAsia="Calibri" w:cstheme="minorHAnsi"/>
          <w:i/>
        </w:rPr>
        <w:t>7,08</w:t>
      </w:r>
      <w:r w:rsidRPr="00435049">
        <w:rPr>
          <w:rFonts w:eastAsia="Calibri" w:cstheme="minorHAnsi"/>
          <w:i/>
        </w:rPr>
        <w:t xml:space="preserve"> mil. Kč. Na projekt byla z IROP poskytnuta podpora ve výši </w:t>
      </w:r>
      <w:r>
        <w:rPr>
          <w:rFonts w:eastAsia="Calibri" w:cstheme="minorHAnsi"/>
          <w:i/>
        </w:rPr>
        <w:t>6</w:t>
      </w:r>
      <w:r w:rsidRPr="00435049">
        <w:rPr>
          <w:rFonts w:eastAsia="Calibri" w:cstheme="minorHAnsi"/>
          <w:i/>
        </w:rPr>
        <w:t>,</w:t>
      </w:r>
      <w:r>
        <w:rPr>
          <w:rFonts w:eastAsia="Calibri" w:cstheme="minorHAnsi"/>
          <w:i/>
        </w:rPr>
        <w:t>37</w:t>
      </w:r>
      <w:r w:rsidRPr="00435049">
        <w:rPr>
          <w:rFonts w:eastAsia="Calibri" w:cstheme="minorHAnsi"/>
          <w:i/>
        </w:rPr>
        <w:t xml:space="preserve"> mil. Kč (</w:t>
      </w:r>
      <w:r>
        <w:rPr>
          <w:rFonts w:eastAsia="Calibri" w:cstheme="minorHAnsi"/>
          <w:i/>
        </w:rPr>
        <w:t xml:space="preserve">cca </w:t>
      </w:r>
      <w:r w:rsidRPr="00435049">
        <w:rPr>
          <w:rFonts w:eastAsia="Calibri" w:cstheme="minorHAnsi"/>
          <w:i/>
        </w:rPr>
        <w:t>9</w:t>
      </w:r>
      <w:r>
        <w:rPr>
          <w:rFonts w:eastAsia="Calibri" w:cstheme="minorHAnsi"/>
          <w:i/>
        </w:rPr>
        <w:t>0</w:t>
      </w:r>
      <w:r w:rsidRPr="00435049">
        <w:rPr>
          <w:rFonts w:eastAsia="Calibri" w:cstheme="minorHAnsi"/>
          <w:i/>
        </w:rPr>
        <w:t xml:space="preserve"> % způsobilých výdajů).</w:t>
      </w:r>
    </w:p>
    <w:p w:rsidR="009962CB" w:rsidRPr="00C02513"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color w:val="auto"/>
          <w:sz w:val="22"/>
          <w:szCs w:val="22"/>
          <w:lang w:eastAsia="en-US"/>
        </w:rPr>
      </w:pPr>
      <w:r w:rsidRPr="002977A2">
        <w:rPr>
          <w:rFonts w:asciiTheme="minorHAnsi" w:hAnsiTheme="minorHAnsi" w:cstheme="minorHAnsi"/>
          <w:i/>
          <w:color w:val="auto"/>
          <w:sz w:val="22"/>
          <w:szCs w:val="22"/>
          <w:lang w:eastAsia="en-US"/>
        </w:rPr>
        <w:lastRenderedPageBreak/>
        <w:t xml:space="preserve">MMR schválilo poskytnutí podpory </w:t>
      </w:r>
      <w:r>
        <w:rPr>
          <w:rFonts w:asciiTheme="minorHAnsi" w:hAnsiTheme="minorHAnsi" w:cstheme="minorHAnsi"/>
          <w:i/>
          <w:color w:val="auto"/>
          <w:sz w:val="22"/>
          <w:szCs w:val="22"/>
          <w:lang w:eastAsia="en-US"/>
        </w:rPr>
        <w:t xml:space="preserve">projektu mj. </w:t>
      </w:r>
      <w:r w:rsidRPr="002977A2">
        <w:rPr>
          <w:rFonts w:asciiTheme="minorHAnsi" w:hAnsiTheme="minorHAnsi" w:cstheme="minorHAnsi"/>
          <w:i/>
          <w:color w:val="auto"/>
          <w:sz w:val="22"/>
          <w:szCs w:val="22"/>
          <w:lang w:eastAsia="en-US"/>
        </w:rPr>
        <w:t xml:space="preserve">na </w:t>
      </w:r>
      <w:r>
        <w:rPr>
          <w:rFonts w:asciiTheme="minorHAnsi" w:hAnsiTheme="minorHAnsi" w:cstheme="minorHAnsi"/>
          <w:i/>
          <w:color w:val="auto"/>
          <w:sz w:val="22"/>
          <w:szCs w:val="22"/>
          <w:lang w:eastAsia="en-US"/>
        </w:rPr>
        <w:t>základě</w:t>
      </w:r>
      <w:r w:rsidRPr="002977A2">
        <w:rPr>
          <w:rFonts w:asciiTheme="minorHAnsi" w:hAnsiTheme="minorHAnsi" w:cstheme="minorHAnsi"/>
          <w:i/>
          <w:color w:val="auto"/>
          <w:sz w:val="22"/>
          <w:szCs w:val="22"/>
          <w:lang w:eastAsia="en-US"/>
        </w:rPr>
        <w:t xml:space="preserve"> hodno</w:t>
      </w:r>
      <w:r>
        <w:rPr>
          <w:rFonts w:asciiTheme="minorHAnsi" w:hAnsiTheme="minorHAnsi" w:cstheme="minorHAnsi"/>
          <w:i/>
          <w:color w:val="auto"/>
          <w:sz w:val="22"/>
          <w:szCs w:val="22"/>
          <w:lang w:eastAsia="en-US"/>
        </w:rPr>
        <w:t>cení dopravního zatížení</w:t>
      </w:r>
      <w:r w:rsidRPr="002977A2">
        <w:rPr>
          <w:rFonts w:asciiTheme="minorHAnsi" w:hAnsiTheme="minorHAnsi" w:cstheme="minorHAnsi"/>
          <w:i/>
          <w:color w:val="auto"/>
          <w:sz w:val="22"/>
          <w:szCs w:val="22"/>
          <w:lang w:eastAsia="en-US"/>
        </w:rPr>
        <w:t xml:space="preserve"> úseku </w:t>
      </w:r>
      <w:r w:rsidR="006B5EF6">
        <w:rPr>
          <w:rFonts w:asciiTheme="minorHAnsi" w:hAnsiTheme="minorHAnsi" w:cstheme="minorHAnsi"/>
          <w:i/>
          <w:color w:val="auto"/>
          <w:sz w:val="22"/>
          <w:szCs w:val="22"/>
          <w:lang w:eastAsia="en-US"/>
        </w:rPr>
        <w:br/>
      </w:r>
      <w:r w:rsidRPr="002977A2">
        <w:rPr>
          <w:rFonts w:asciiTheme="minorHAnsi" w:hAnsiTheme="minorHAnsi" w:cstheme="minorHAnsi"/>
          <w:i/>
          <w:color w:val="auto"/>
          <w:sz w:val="22"/>
          <w:szCs w:val="22"/>
          <w:lang w:eastAsia="en-US"/>
        </w:rPr>
        <w:t>u průjezdní silnice II. třídy s intenzitou provozu 7 209 vozidel/24 hodin. Další dva řešené úseky se ale nacházely v jiné části obce</w:t>
      </w:r>
      <w:r>
        <w:rPr>
          <w:rFonts w:asciiTheme="minorHAnsi" w:hAnsiTheme="minorHAnsi" w:cstheme="minorHAnsi"/>
          <w:i/>
          <w:color w:val="auto"/>
          <w:sz w:val="22"/>
          <w:szCs w:val="22"/>
          <w:lang w:eastAsia="en-US"/>
        </w:rPr>
        <w:t>,</w:t>
      </w:r>
      <w:r w:rsidRPr="002977A2">
        <w:rPr>
          <w:rFonts w:asciiTheme="minorHAnsi" w:hAnsiTheme="minorHAnsi" w:cstheme="minorHAnsi"/>
          <w:i/>
          <w:color w:val="auto"/>
          <w:sz w:val="22"/>
          <w:szCs w:val="22"/>
          <w:lang w:eastAsia="en-US"/>
        </w:rPr>
        <w:t xml:space="preserve"> jednalo se o místní komunikace se zklidněnou dopravou (rychlost vozidel v nich byla omezena na max. 30 km/h) a s udávanou intenzitou provozu 816 a 803 vozidel/24 hodin. Čtvrtý úsek navazoval na předchozí úsek. Byl ale ve slepé ulici, na n</w:t>
      </w:r>
      <w:r w:rsidR="002A4552">
        <w:rPr>
          <w:rFonts w:asciiTheme="minorHAnsi" w:hAnsiTheme="minorHAnsi" w:cstheme="minorHAnsi"/>
          <w:i/>
          <w:color w:val="auto"/>
          <w:sz w:val="22"/>
          <w:szCs w:val="22"/>
          <w:lang w:eastAsia="en-US"/>
        </w:rPr>
        <w:t>i</w:t>
      </w:r>
      <w:r w:rsidRPr="002977A2">
        <w:rPr>
          <w:rFonts w:asciiTheme="minorHAnsi" w:hAnsiTheme="minorHAnsi" w:cstheme="minorHAnsi"/>
          <w:i/>
          <w:color w:val="auto"/>
          <w:sz w:val="22"/>
          <w:szCs w:val="22"/>
          <w:lang w:eastAsia="en-US"/>
        </w:rPr>
        <w:t>ž navazovala jen polní cesta</w:t>
      </w:r>
      <w:r w:rsidR="002A4552">
        <w:rPr>
          <w:rFonts w:asciiTheme="minorHAnsi" w:hAnsiTheme="minorHAnsi" w:cstheme="minorHAnsi"/>
          <w:i/>
          <w:color w:val="auto"/>
          <w:sz w:val="22"/>
          <w:szCs w:val="22"/>
          <w:lang w:eastAsia="en-US"/>
        </w:rPr>
        <w:t>,</w:t>
      </w:r>
      <w:r w:rsidRPr="002977A2">
        <w:rPr>
          <w:rFonts w:asciiTheme="minorHAnsi" w:hAnsiTheme="minorHAnsi" w:cstheme="minorHAnsi"/>
          <w:i/>
          <w:color w:val="auto"/>
          <w:sz w:val="22"/>
          <w:szCs w:val="22"/>
          <w:lang w:eastAsia="en-US"/>
        </w:rPr>
        <w:t xml:space="preserve"> </w:t>
      </w:r>
      <w:r w:rsidR="006B5EF6">
        <w:rPr>
          <w:rFonts w:asciiTheme="minorHAnsi" w:hAnsiTheme="minorHAnsi" w:cstheme="minorHAnsi"/>
          <w:i/>
          <w:color w:val="auto"/>
          <w:sz w:val="22"/>
          <w:szCs w:val="22"/>
          <w:lang w:eastAsia="en-US"/>
        </w:rPr>
        <w:br/>
      </w:r>
      <w:r w:rsidRPr="002977A2">
        <w:rPr>
          <w:rFonts w:asciiTheme="minorHAnsi" w:hAnsiTheme="minorHAnsi" w:cstheme="minorHAnsi"/>
          <w:i/>
          <w:color w:val="auto"/>
          <w:sz w:val="22"/>
          <w:szCs w:val="22"/>
          <w:lang w:eastAsia="en-US"/>
        </w:rPr>
        <w:t xml:space="preserve">a intenzita provozu pro něj samostatně nebyla uvedena. Pokud by úseky s méně intenzivním provozem byly hodnoceny samostatně, podporu by nezískaly. </w:t>
      </w:r>
    </w:p>
    <w:p w:rsidR="009962CB" w:rsidRPr="00F11287"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color w:val="auto"/>
          <w:sz w:val="12"/>
          <w:szCs w:val="12"/>
          <w:lang w:eastAsia="en-US"/>
        </w:rPr>
      </w:pPr>
    </w:p>
    <w:p w:rsidR="009962CB" w:rsidRPr="002977A2"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color w:val="auto"/>
          <w:sz w:val="22"/>
          <w:szCs w:val="22"/>
          <w:lang w:eastAsia="en-US"/>
        </w:rPr>
      </w:pPr>
      <w:r w:rsidRPr="002977A2">
        <w:rPr>
          <w:rFonts w:asciiTheme="minorHAnsi" w:hAnsiTheme="minorHAnsi" w:cstheme="minorHAnsi"/>
          <w:i/>
          <w:color w:val="auto"/>
          <w:sz w:val="22"/>
          <w:szCs w:val="22"/>
          <w:lang w:eastAsia="en-US"/>
        </w:rPr>
        <w:t>NKÚ při kontrole projektu č. 1</w:t>
      </w:r>
      <w:r w:rsidR="00955C21">
        <w:rPr>
          <w:rFonts w:asciiTheme="minorHAnsi" w:hAnsiTheme="minorHAnsi" w:cstheme="minorHAnsi"/>
          <w:i/>
          <w:color w:val="auto"/>
          <w:sz w:val="22"/>
          <w:szCs w:val="22"/>
          <w:lang w:eastAsia="en-US"/>
        </w:rPr>
        <w:t>3</w:t>
      </w:r>
      <w:r w:rsidRPr="002977A2">
        <w:rPr>
          <w:rFonts w:asciiTheme="minorHAnsi" w:hAnsiTheme="minorHAnsi" w:cstheme="minorHAnsi"/>
          <w:i/>
          <w:color w:val="auto"/>
          <w:sz w:val="22"/>
          <w:szCs w:val="22"/>
          <w:lang w:eastAsia="en-US"/>
        </w:rPr>
        <w:t xml:space="preserve"> navíc zjistil, že nebylo prokázáno, že se jednalo o rekonstrukci, a nikoliv jen o opravy chodníků, na něž by podpora neměla být použita. Dále </w:t>
      </w:r>
      <w:r>
        <w:rPr>
          <w:rFonts w:asciiTheme="minorHAnsi" w:hAnsiTheme="minorHAnsi" w:cstheme="minorHAnsi"/>
          <w:i/>
          <w:color w:val="auto"/>
          <w:sz w:val="22"/>
          <w:szCs w:val="22"/>
          <w:lang w:eastAsia="en-US"/>
        </w:rPr>
        <w:t xml:space="preserve">NKÚ </w:t>
      </w:r>
      <w:r w:rsidRPr="002977A2">
        <w:rPr>
          <w:rFonts w:asciiTheme="minorHAnsi" w:hAnsiTheme="minorHAnsi" w:cstheme="minorHAnsi"/>
          <w:i/>
          <w:color w:val="auto"/>
          <w:sz w:val="22"/>
          <w:szCs w:val="22"/>
          <w:lang w:eastAsia="en-US"/>
        </w:rPr>
        <w:t>zjistil, že projekt trpí nedostatky, které ohrožují plnění jeho cílů a očekávaných výsledků</w:t>
      </w:r>
      <w:r>
        <w:rPr>
          <w:rFonts w:asciiTheme="minorHAnsi" w:hAnsiTheme="minorHAnsi" w:cstheme="minorHAnsi"/>
          <w:i/>
          <w:color w:val="auto"/>
          <w:sz w:val="22"/>
          <w:szCs w:val="22"/>
          <w:lang w:eastAsia="en-US"/>
        </w:rPr>
        <w:t>. P</w:t>
      </w:r>
      <w:r w:rsidRPr="002977A2">
        <w:rPr>
          <w:rFonts w:asciiTheme="minorHAnsi" w:hAnsiTheme="minorHAnsi" w:cstheme="minorHAnsi"/>
          <w:i/>
          <w:color w:val="auto"/>
          <w:sz w:val="22"/>
          <w:szCs w:val="22"/>
          <w:lang w:eastAsia="en-US"/>
        </w:rPr>
        <w:t>roto vyhodnotil vynaložení prostředků na tento projekt jako neúčelné.</w:t>
      </w:r>
    </w:p>
    <w:p w:rsidR="009962CB" w:rsidRPr="006530DF" w:rsidRDefault="009962CB" w:rsidP="009962CB">
      <w:pPr>
        <w:spacing w:after="0" w:line="252" w:lineRule="auto"/>
        <w:contextualSpacing/>
        <w:jc w:val="both"/>
        <w:rPr>
          <w:rFonts w:cstheme="minorHAnsi"/>
          <w:sz w:val="24"/>
          <w:szCs w:val="24"/>
        </w:rPr>
      </w:pPr>
    </w:p>
    <w:p w:rsidR="009962C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 xml:space="preserve">4.17 Předmětem 10 ze vzorku 23 projektů, které NKÚ podrobil kontrole, byla zcela nebo alespoň z podstatné části rekonstrukce chodníků. Základním zjištěným nedostatkem prakticky u všech těchto projektů byly jen obecně formulované popisy stavu a závad původních chodníků. NKÚ zjistil, že žadatelé v žádostech o podporu často uváděli přehnaně negativní hodnocení výchozího </w:t>
      </w:r>
      <w:proofErr w:type="gramStart"/>
      <w:r>
        <w:rPr>
          <w:rFonts w:eastAsia="Calibri" w:cstheme="minorHAnsi"/>
          <w:sz w:val="24"/>
          <w:szCs w:val="24"/>
        </w:rPr>
        <w:t>stavu</w:t>
      </w:r>
      <w:proofErr w:type="gramEnd"/>
      <w:r>
        <w:rPr>
          <w:rFonts w:eastAsia="Calibri" w:cstheme="minorHAnsi"/>
          <w:sz w:val="24"/>
          <w:szCs w:val="24"/>
        </w:rPr>
        <w:t xml:space="preserve"> a naopak zveličovali přínosy projektů. V některých případech uváděli </w:t>
      </w:r>
      <w:r w:rsidR="001F5620">
        <w:rPr>
          <w:rFonts w:eastAsia="Calibri" w:cstheme="minorHAnsi"/>
          <w:sz w:val="24"/>
          <w:szCs w:val="24"/>
        </w:rPr>
        <w:t xml:space="preserve">nepřesné </w:t>
      </w:r>
      <w:r>
        <w:rPr>
          <w:rFonts w:eastAsia="Calibri" w:cstheme="minorHAnsi"/>
          <w:sz w:val="24"/>
          <w:szCs w:val="24"/>
        </w:rPr>
        <w:t xml:space="preserve">informace. SFDI ani MMR přitom jejich tvrzení neověřovaly a ani nepožadovaly, aby svá tvrzení doložili relevantními doklady. Jeden z projektů, u nichž žádost o podporu obsahovala </w:t>
      </w:r>
      <w:r w:rsidR="008D5897">
        <w:rPr>
          <w:rFonts w:eastAsia="Calibri" w:cstheme="minorHAnsi"/>
          <w:sz w:val="24"/>
          <w:szCs w:val="24"/>
        </w:rPr>
        <w:t>takovéto</w:t>
      </w:r>
      <w:r>
        <w:rPr>
          <w:rFonts w:eastAsia="Calibri" w:cstheme="minorHAnsi"/>
          <w:sz w:val="24"/>
          <w:szCs w:val="24"/>
        </w:rPr>
        <w:t xml:space="preserve"> informace, je uveden v příkladu č. 4.</w:t>
      </w:r>
    </w:p>
    <w:p w:rsidR="009962CB" w:rsidRDefault="009962CB" w:rsidP="009962CB">
      <w:pPr>
        <w:spacing w:after="0" w:line="252" w:lineRule="auto"/>
        <w:contextualSpacing/>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 xml:space="preserve">Příklad č. 4: </w:t>
      </w:r>
      <w:r w:rsidR="001F5620">
        <w:rPr>
          <w:rFonts w:eastAsia="Calibri" w:cstheme="minorHAnsi"/>
          <w:b/>
          <w:i/>
          <w:color w:val="2EB3A1"/>
        </w:rPr>
        <w:t>Nepřesné</w:t>
      </w:r>
      <w:r w:rsidRPr="00F427F3">
        <w:rPr>
          <w:rFonts w:eastAsia="Calibri" w:cstheme="minorHAnsi"/>
          <w:b/>
          <w:i/>
          <w:color w:val="2EB3A1"/>
        </w:rPr>
        <w:t xml:space="preserve"> informace uváděné v žádostech o podporu</w:t>
      </w: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 xml:space="preserve">Předmětem projektu č. </w:t>
      </w:r>
      <w:r>
        <w:rPr>
          <w:rFonts w:eastAsia="Calibri" w:cstheme="minorHAnsi"/>
          <w:i/>
        </w:rPr>
        <w:t>9</w:t>
      </w:r>
      <w:r w:rsidRPr="00435049">
        <w:rPr>
          <w:rFonts w:eastAsia="Calibri" w:cstheme="minorHAnsi"/>
          <w:i/>
        </w:rPr>
        <w:t xml:space="preserve"> byla </w:t>
      </w:r>
      <w:r>
        <w:rPr>
          <w:rFonts w:eastAsia="Calibri" w:cstheme="minorHAnsi"/>
          <w:i/>
        </w:rPr>
        <w:t xml:space="preserve">zejména </w:t>
      </w:r>
      <w:r w:rsidRPr="00435049">
        <w:rPr>
          <w:rFonts w:eastAsia="Calibri" w:cstheme="minorHAnsi"/>
          <w:i/>
        </w:rPr>
        <w:t xml:space="preserve">rekonstrukce </w:t>
      </w:r>
      <w:r>
        <w:rPr>
          <w:rFonts w:eastAsia="Calibri" w:cstheme="minorHAnsi"/>
          <w:i/>
        </w:rPr>
        <w:t xml:space="preserve">oboustranných </w:t>
      </w:r>
      <w:r w:rsidRPr="00435049">
        <w:rPr>
          <w:rFonts w:cstheme="minorHAnsi"/>
          <w:i/>
        </w:rPr>
        <w:t>chodníků</w:t>
      </w:r>
      <w:r w:rsidRPr="00435049">
        <w:rPr>
          <w:i/>
        </w:rPr>
        <w:t xml:space="preserve"> v</w:t>
      </w:r>
      <w:r>
        <w:rPr>
          <w:i/>
        </w:rPr>
        <w:t xml:space="preserve"> celkové </w:t>
      </w:r>
      <w:r w:rsidRPr="00435049">
        <w:rPr>
          <w:i/>
        </w:rPr>
        <w:t xml:space="preserve">délce </w:t>
      </w:r>
      <w:r>
        <w:rPr>
          <w:i/>
        </w:rPr>
        <w:t>3 012</w:t>
      </w:r>
      <w:r w:rsidRPr="00435049">
        <w:rPr>
          <w:i/>
        </w:rPr>
        <w:t xml:space="preserve"> m</w:t>
      </w:r>
      <w:r>
        <w:rPr>
          <w:i/>
        </w:rPr>
        <w:t xml:space="preserve"> podél silnice I. třídy v intravilánu města</w:t>
      </w:r>
      <w:r w:rsidRPr="00435049">
        <w:rPr>
          <w:i/>
        </w:rPr>
        <w:t xml:space="preserve">. </w:t>
      </w:r>
      <w:r w:rsidRPr="00435049">
        <w:rPr>
          <w:rFonts w:eastAsia="Calibri" w:cstheme="minorHAnsi"/>
          <w:i/>
        </w:rPr>
        <w:t xml:space="preserve">Celkové výdaje </w:t>
      </w:r>
      <w:r>
        <w:rPr>
          <w:rFonts w:eastAsia="Calibri" w:cstheme="minorHAnsi"/>
          <w:i/>
        </w:rPr>
        <w:t>projektu dle</w:t>
      </w:r>
      <w:r w:rsidRPr="00435049">
        <w:rPr>
          <w:rFonts w:eastAsia="Calibri" w:cstheme="minorHAnsi"/>
          <w:i/>
        </w:rPr>
        <w:t xml:space="preserve"> závěrečného vyhodnocení akce činily </w:t>
      </w:r>
      <w:r>
        <w:rPr>
          <w:rFonts w:eastAsia="Calibri" w:cstheme="minorHAnsi"/>
          <w:i/>
        </w:rPr>
        <w:t>23</w:t>
      </w:r>
      <w:r w:rsidRPr="00435049">
        <w:rPr>
          <w:rFonts w:eastAsia="Calibri" w:cstheme="minorHAnsi"/>
          <w:i/>
        </w:rPr>
        <w:t>,</w:t>
      </w:r>
      <w:r>
        <w:rPr>
          <w:rFonts w:eastAsia="Calibri" w:cstheme="minorHAnsi"/>
          <w:i/>
        </w:rPr>
        <w:t>07</w:t>
      </w:r>
      <w:r w:rsidRPr="00435049">
        <w:rPr>
          <w:rFonts w:eastAsia="Calibri" w:cstheme="minorHAnsi"/>
          <w:i/>
        </w:rPr>
        <w:t xml:space="preserve"> mil. Kč</w:t>
      </w:r>
      <w:r>
        <w:rPr>
          <w:rFonts w:eastAsia="Calibri" w:cstheme="minorHAnsi"/>
          <w:i/>
        </w:rPr>
        <w:t>.</w:t>
      </w:r>
      <w:r w:rsidRPr="00435049">
        <w:rPr>
          <w:rFonts w:eastAsia="Calibri" w:cstheme="minorHAnsi"/>
          <w:i/>
        </w:rPr>
        <w:t xml:space="preserve"> </w:t>
      </w:r>
      <w:r>
        <w:rPr>
          <w:rFonts w:eastAsia="Calibri" w:cstheme="minorHAnsi"/>
          <w:i/>
        </w:rPr>
        <w:t>Jeho uznatelné náklady</w:t>
      </w:r>
      <w:r w:rsidRPr="00435049">
        <w:rPr>
          <w:rFonts w:eastAsia="Calibri" w:cstheme="minorHAnsi"/>
          <w:i/>
        </w:rPr>
        <w:t xml:space="preserve"> činily </w:t>
      </w:r>
      <w:r>
        <w:rPr>
          <w:rFonts w:eastAsia="Calibri" w:cstheme="minorHAnsi"/>
          <w:i/>
        </w:rPr>
        <w:t>2</w:t>
      </w:r>
      <w:r w:rsidRPr="00435049">
        <w:rPr>
          <w:rFonts w:eastAsia="Calibri" w:cstheme="minorHAnsi"/>
          <w:i/>
        </w:rPr>
        <w:t>1,</w:t>
      </w:r>
      <w:r>
        <w:rPr>
          <w:rFonts w:eastAsia="Calibri" w:cstheme="minorHAnsi"/>
          <w:i/>
        </w:rPr>
        <w:t>30</w:t>
      </w:r>
      <w:r w:rsidRPr="00435049">
        <w:rPr>
          <w:rFonts w:eastAsia="Calibri" w:cstheme="minorHAnsi"/>
          <w:i/>
        </w:rPr>
        <w:t xml:space="preserve"> mil. Kč. Na projekt byla </w:t>
      </w:r>
      <w:r>
        <w:rPr>
          <w:rFonts w:eastAsia="Calibri" w:cstheme="minorHAnsi"/>
          <w:i/>
        </w:rPr>
        <w:t>z rozpočtu SFDI</w:t>
      </w:r>
      <w:r w:rsidRPr="00435049">
        <w:rPr>
          <w:rFonts w:eastAsia="Calibri" w:cstheme="minorHAnsi"/>
          <w:i/>
        </w:rPr>
        <w:t xml:space="preserve"> poskytnuta podpora ve výši 1</w:t>
      </w:r>
      <w:r>
        <w:rPr>
          <w:rFonts w:eastAsia="Calibri" w:cstheme="minorHAnsi"/>
          <w:i/>
        </w:rPr>
        <w:t>7</w:t>
      </w:r>
      <w:r w:rsidRPr="00435049">
        <w:rPr>
          <w:rFonts w:eastAsia="Calibri" w:cstheme="minorHAnsi"/>
          <w:i/>
        </w:rPr>
        <w:t>,</w:t>
      </w:r>
      <w:r>
        <w:rPr>
          <w:rFonts w:eastAsia="Calibri" w:cstheme="minorHAnsi"/>
          <w:i/>
        </w:rPr>
        <w:t>99</w:t>
      </w:r>
      <w:r w:rsidRPr="00435049">
        <w:rPr>
          <w:rFonts w:eastAsia="Calibri" w:cstheme="minorHAnsi"/>
          <w:i/>
        </w:rPr>
        <w:t xml:space="preserve"> mil. Kč (</w:t>
      </w:r>
      <w:r>
        <w:rPr>
          <w:rFonts w:eastAsia="Calibri" w:cstheme="minorHAnsi"/>
          <w:i/>
        </w:rPr>
        <w:t>cca 84,5</w:t>
      </w:r>
      <w:r w:rsidRPr="00435049">
        <w:rPr>
          <w:rFonts w:eastAsia="Calibri" w:cstheme="minorHAnsi"/>
          <w:i/>
        </w:rPr>
        <w:t xml:space="preserve"> % </w:t>
      </w:r>
      <w:r>
        <w:rPr>
          <w:rFonts w:eastAsia="Calibri" w:cstheme="minorHAnsi"/>
          <w:i/>
        </w:rPr>
        <w:t>uznatelných nákladů</w:t>
      </w:r>
      <w:r w:rsidRPr="00435049">
        <w:rPr>
          <w:rFonts w:eastAsia="Calibri" w:cstheme="minorHAnsi"/>
          <w:i/>
        </w:rPr>
        <w:t>).</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Pr>
          <w:rFonts w:eastAsia="Calibri" w:cstheme="minorHAnsi"/>
          <w:i/>
        </w:rPr>
        <w:t>V dokumentaci tvořící součást</w:t>
      </w:r>
      <w:r w:rsidRPr="00435049">
        <w:rPr>
          <w:rFonts w:eastAsia="Calibri" w:cstheme="minorHAnsi"/>
          <w:i/>
        </w:rPr>
        <w:t xml:space="preserve"> žádosti o podporu </w:t>
      </w:r>
      <w:r>
        <w:rPr>
          <w:rFonts w:eastAsia="Calibri" w:cstheme="minorHAnsi"/>
          <w:i/>
        </w:rPr>
        <w:t xml:space="preserve">bylo </w:t>
      </w:r>
      <w:r w:rsidRPr="00435049">
        <w:rPr>
          <w:rFonts w:eastAsia="Calibri" w:cstheme="minorHAnsi"/>
          <w:i/>
        </w:rPr>
        <w:t>konstatov</w:t>
      </w:r>
      <w:r>
        <w:rPr>
          <w:rFonts w:eastAsia="Calibri" w:cstheme="minorHAnsi"/>
          <w:i/>
        </w:rPr>
        <w:t>áno</w:t>
      </w:r>
      <w:r w:rsidRPr="00435049">
        <w:rPr>
          <w:rFonts w:eastAsia="Calibri" w:cstheme="minorHAnsi"/>
          <w:i/>
        </w:rPr>
        <w:t>, že chodníky v</w:t>
      </w:r>
      <w:r w:rsidR="000B6060">
        <w:rPr>
          <w:rFonts w:eastAsia="Calibri" w:cstheme="minorHAnsi"/>
          <w:i/>
        </w:rPr>
        <w:t> některých úsecích</w:t>
      </w:r>
      <w:r w:rsidR="000B6060" w:rsidRPr="00435049">
        <w:rPr>
          <w:rFonts w:eastAsia="Calibri" w:cstheme="minorHAnsi"/>
          <w:i/>
        </w:rPr>
        <w:t xml:space="preserve"> </w:t>
      </w:r>
      <w:r w:rsidRPr="00435049">
        <w:rPr>
          <w:rFonts w:eastAsia="Calibri" w:cstheme="minorHAnsi"/>
          <w:i/>
        </w:rPr>
        <w:t xml:space="preserve">neexistují, resp. že jsou natolik poškozené, že je nelze užívat. </w:t>
      </w:r>
      <w:r w:rsidR="008D5897">
        <w:rPr>
          <w:rFonts w:eastAsia="Calibri" w:cstheme="minorHAnsi"/>
          <w:i/>
        </w:rPr>
        <w:t>Z p</w:t>
      </w:r>
      <w:r w:rsidR="008D5897" w:rsidRPr="00435049">
        <w:rPr>
          <w:rFonts w:eastAsia="Calibri" w:cstheme="minorHAnsi"/>
          <w:i/>
        </w:rPr>
        <w:t>řiložen</w:t>
      </w:r>
      <w:r w:rsidR="008D5897">
        <w:rPr>
          <w:rFonts w:eastAsia="Calibri" w:cstheme="minorHAnsi"/>
          <w:i/>
        </w:rPr>
        <w:t>é</w:t>
      </w:r>
      <w:r w:rsidR="008D5897" w:rsidRPr="00435049">
        <w:rPr>
          <w:rFonts w:eastAsia="Calibri" w:cstheme="minorHAnsi"/>
          <w:i/>
        </w:rPr>
        <w:t xml:space="preserve"> obrazov</w:t>
      </w:r>
      <w:r w:rsidR="008D5897">
        <w:rPr>
          <w:rFonts w:eastAsia="Calibri" w:cstheme="minorHAnsi"/>
          <w:i/>
        </w:rPr>
        <w:t>é</w:t>
      </w:r>
      <w:r w:rsidR="008D5897" w:rsidRPr="00435049">
        <w:rPr>
          <w:rFonts w:eastAsia="Calibri" w:cstheme="minorHAnsi"/>
          <w:i/>
        </w:rPr>
        <w:t xml:space="preserve"> dokumentace </w:t>
      </w:r>
      <w:r w:rsidR="006B5EF6">
        <w:rPr>
          <w:rFonts w:eastAsia="Calibri" w:cstheme="minorHAnsi"/>
          <w:i/>
        </w:rPr>
        <w:br/>
      </w:r>
      <w:r w:rsidR="008D5897" w:rsidRPr="00435049">
        <w:rPr>
          <w:rFonts w:eastAsia="Calibri" w:cstheme="minorHAnsi"/>
          <w:i/>
        </w:rPr>
        <w:t>a dokumentace původního stavu chodníků dostupn</w:t>
      </w:r>
      <w:r w:rsidR="00D75AE1">
        <w:rPr>
          <w:rFonts w:eastAsia="Calibri" w:cstheme="minorHAnsi"/>
          <w:i/>
        </w:rPr>
        <w:t>é</w:t>
      </w:r>
      <w:r w:rsidR="008D5897" w:rsidRPr="00435049">
        <w:rPr>
          <w:rFonts w:eastAsia="Calibri" w:cstheme="minorHAnsi"/>
          <w:i/>
        </w:rPr>
        <w:t xml:space="preserve"> z veřejných zdrojů </w:t>
      </w:r>
      <w:r w:rsidR="008D5897">
        <w:rPr>
          <w:rFonts w:eastAsia="Calibri" w:cstheme="minorHAnsi"/>
          <w:i/>
        </w:rPr>
        <w:t>to</w:t>
      </w:r>
      <w:r w:rsidR="008D5897" w:rsidRPr="00435049">
        <w:rPr>
          <w:rFonts w:eastAsia="Calibri" w:cstheme="minorHAnsi"/>
          <w:i/>
        </w:rPr>
        <w:t xml:space="preserve"> ovšem </w:t>
      </w:r>
      <w:r w:rsidR="008D5897">
        <w:rPr>
          <w:rFonts w:eastAsia="Calibri" w:cstheme="minorHAnsi"/>
          <w:i/>
        </w:rPr>
        <w:t>nevyplývá</w:t>
      </w:r>
      <w:r w:rsidRPr="00435049">
        <w:rPr>
          <w:rFonts w:eastAsia="Calibri" w:cstheme="minorHAnsi"/>
          <w:i/>
        </w:rPr>
        <w:t xml:space="preserve">. </w:t>
      </w:r>
      <w:r w:rsidR="008D5897">
        <w:rPr>
          <w:rFonts w:eastAsia="Calibri" w:cstheme="minorHAnsi"/>
          <w:i/>
        </w:rPr>
        <w:t>Sporné jsou i</w:t>
      </w:r>
      <w:r w:rsidRPr="00435049">
        <w:rPr>
          <w:rFonts w:eastAsia="Calibri" w:cstheme="minorHAnsi"/>
          <w:i/>
        </w:rPr>
        <w:t xml:space="preserve"> žadatelem uváděné informace o nehodovosti.</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AA7239"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r w:rsidRPr="00435049">
        <w:rPr>
          <w:rFonts w:eastAsia="Calibri" w:cstheme="minorHAnsi"/>
          <w:i/>
        </w:rPr>
        <w:t>Z popisu výchozího stavu projektu č. 9: „Město se dlouhodobě potýká s absencí bezpečných chodníků, protože silnice</w:t>
      </w:r>
      <w:r w:rsidR="00116942">
        <w:rPr>
          <w:rFonts w:eastAsia="Calibri" w:cstheme="minorHAnsi"/>
          <w:i/>
        </w:rPr>
        <w:t xml:space="preserve">, </w:t>
      </w:r>
      <w:r w:rsidRPr="00435049">
        <w:rPr>
          <w:rFonts w:eastAsia="Calibri" w:cstheme="minorHAnsi"/>
          <w:i/>
        </w:rPr>
        <w:t>která prochází jeho středem je velmi frekventovaná a dochází zde k častým nehodám, mj. jsou často účastníky těchto nehod chodci, kteří utrpěli těžká zranění. ... Riziko se zvyšuje hlavně přítomností základní školy, která se nachází v trase silnice. Děti s rodiči i další cílové skupiny proto musí pro průchod napříč městem využívat chůzi v blízkosti krajnice velice nebezpečné silnice I. třídy. ... Jen za posledních 5 let se v lokalitě stalo celkem 32 dopravních nehod, z toho 4 nehody s chodcem, z čehož byly 3 osoby s těžkými zraněními.“</w:t>
      </w: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sz w:val="12"/>
          <w:szCs w:val="12"/>
        </w:rPr>
      </w:pPr>
    </w:p>
    <w:p w:rsidR="009962CB" w:rsidRPr="00435049" w:rsidRDefault="009962CB" w:rsidP="00362375">
      <w:pPr>
        <w:pBdr>
          <w:top w:val="single" w:sz="4" w:space="1" w:color="auto"/>
          <w:left w:val="single" w:sz="4" w:space="4" w:color="auto"/>
          <w:bottom w:val="single" w:sz="4" w:space="1" w:color="auto"/>
          <w:right w:val="single" w:sz="4" w:space="4" w:color="auto"/>
        </w:pBdr>
        <w:tabs>
          <w:tab w:val="left" w:pos="4678"/>
        </w:tabs>
        <w:spacing w:after="0" w:line="252" w:lineRule="auto"/>
        <w:jc w:val="both"/>
        <w:rPr>
          <w:rFonts w:eastAsia="Calibri" w:cstheme="minorHAnsi"/>
          <w:b/>
          <w:i/>
        </w:rPr>
      </w:pPr>
      <w:r w:rsidRPr="00435049">
        <w:rPr>
          <w:rFonts w:eastAsia="Calibri" w:cstheme="minorHAnsi"/>
          <w:b/>
          <w:i/>
        </w:rPr>
        <w:lastRenderedPageBreak/>
        <w:t>Před rekonstrukcí</w:t>
      </w:r>
      <w:r w:rsidRPr="00435049">
        <w:rPr>
          <w:rFonts w:eastAsia="Calibri" w:cstheme="minorHAnsi"/>
          <w:b/>
          <w:i/>
        </w:rPr>
        <w:tab/>
        <w:t>Po rekonstrukci</w:t>
      </w:r>
    </w:p>
    <w:p w:rsidR="009962CB" w:rsidRDefault="009962CB" w:rsidP="00362375">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b/>
          <w:sz w:val="24"/>
          <w:szCs w:val="24"/>
        </w:rPr>
      </w:pPr>
      <w:r>
        <w:rPr>
          <w:noProof/>
        </w:rPr>
        <w:drawing>
          <wp:inline distT="0" distB="0" distL="0" distR="0" wp14:anchorId="34AC09C3" wp14:editId="46FF44A6">
            <wp:extent cx="2700000" cy="2026842"/>
            <wp:effectExtent l="19050" t="19050" r="24765" b="1206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2026842"/>
                    </a:xfrm>
                    <a:prstGeom prst="rect">
                      <a:avLst/>
                    </a:prstGeom>
                    <a:noFill/>
                    <a:ln w="6350">
                      <a:solidFill>
                        <a:schemeClr val="tx1"/>
                      </a:solidFill>
                    </a:ln>
                  </pic:spPr>
                </pic:pic>
              </a:graphicData>
            </a:graphic>
          </wp:inline>
        </w:drawing>
      </w:r>
      <w:r>
        <w:rPr>
          <w:rFonts w:cstheme="minorHAnsi"/>
          <w:b/>
          <w:sz w:val="24"/>
          <w:szCs w:val="24"/>
        </w:rPr>
        <w:t xml:space="preserve"> </w:t>
      </w:r>
      <w:r w:rsidR="00CA6D0B">
        <w:rPr>
          <w:rFonts w:cstheme="minorHAnsi"/>
          <w:b/>
          <w:sz w:val="24"/>
          <w:szCs w:val="24"/>
        </w:rPr>
        <w:tab/>
      </w:r>
      <w:r>
        <w:rPr>
          <w:noProof/>
        </w:rPr>
        <w:drawing>
          <wp:inline distT="0" distB="0" distL="0" distR="0" wp14:anchorId="49F960BB" wp14:editId="7F00CA42">
            <wp:extent cx="2700000" cy="2025653"/>
            <wp:effectExtent l="19050" t="19050" r="24765" b="1270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0000" cy="2025653"/>
                    </a:xfrm>
                    <a:prstGeom prst="rect">
                      <a:avLst/>
                    </a:prstGeom>
                    <a:noFill/>
                    <a:ln w="6350">
                      <a:solidFill>
                        <a:schemeClr val="tx1"/>
                      </a:solidFill>
                    </a:ln>
                  </pic:spPr>
                </pic:pic>
              </a:graphicData>
            </a:graphic>
          </wp:inline>
        </w:drawing>
      </w:r>
    </w:p>
    <w:p w:rsidR="009962CB" w:rsidRPr="000B29CF" w:rsidRDefault="009962CB" w:rsidP="00362375">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Cs/>
        </w:rPr>
      </w:pPr>
      <w:r w:rsidRPr="000B29CF">
        <w:rPr>
          <w:rFonts w:cstheme="minorHAnsi"/>
          <w:b/>
          <w:bCs/>
          <w:iCs/>
        </w:rPr>
        <w:t>Zdroj:</w:t>
      </w:r>
      <w:r w:rsidRPr="000B29CF">
        <w:rPr>
          <w:rFonts w:cstheme="minorHAnsi"/>
          <w:iCs/>
        </w:rPr>
        <w:t xml:space="preserve"> </w:t>
      </w:r>
      <w:r w:rsidR="002A4552">
        <w:rPr>
          <w:rFonts w:cstheme="minorHAnsi"/>
          <w:iCs/>
        </w:rPr>
        <w:t>ž</w:t>
      </w:r>
      <w:r w:rsidRPr="000B29CF">
        <w:rPr>
          <w:rFonts w:cstheme="minorHAnsi"/>
          <w:iCs/>
        </w:rPr>
        <w:t>ádost o podporu</w:t>
      </w:r>
      <w:r w:rsidR="002A4552">
        <w:rPr>
          <w:rFonts w:cstheme="minorHAnsi"/>
          <w:iCs/>
        </w:rPr>
        <w:t>.</w:t>
      </w:r>
      <w:r w:rsidRPr="000B29CF">
        <w:rPr>
          <w:rFonts w:cstheme="minorHAnsi"/>
          <w:iCs/>
        </w:rPr>
        <w:tab/>
      </w:r>
      <w:r w:rsidRPr="000B29CF">
        <w:rPr>
          <w:rFonts w:cstheme="minorHAnsi"/>
          <w:b/>
          <w:bCs/>
          <w:iCs/>
        </w:rPr>
        <w:t>Zdroj:</w:t>
      </w:r>
      <w:r w:rsidRPr="000B29CF">
        <w:rPr>
          <w:rFonts w:cstheme="minorHAnsi"/>
          <w:iCs/>
        </w:rPr>
        <w:t xml:space="preserve"> </w:t>
      </w:r>
      <w:r w:rsidR="002A4552">
        <w:rPr>
          <w:rFonts w:cstheme="minorHAnsi"/>
          <w:iCs/>
        </w:rPr>
        <w:t>k</w:t>
      </w:r>
      <w:r w:rsidR="00AA7239" w:rsidRPr="000B29CF">
        <w:rPr>
          <w:rFonts w:cstheme="minorHAnsi"/>
          <w:iCs/>
        </w:rPr>
        <w:t>ontrola</w:t>
      </w:r>
      <w:r w:rsidRPr="000B29CF">
        <w:rPr>
          <w:rFonts w:cstheme="minorHAnsi"/>
          <w:iCs/>
        </w:rPr>
        <w:t xml:space="preserve"> NKÚ</w:t>
      </w:r>
      <w:r w:rsidR="00AA7239" w:rsidRPr="000B29CF">
        <w:rPr>
          <w:rFonts w:cstheme="minorHAnsi"/>
          <w:iCs/>
        </w:rPr>
        <w:t xml:space="preserve"> na místě</w:t>
      </w:r>
      <w:r w:rsidR="002A4552">
        <w:rPr>
          <w:rFonts w:cstheme="minorHAnsi"/>
          <w:iCs/>
        </w:rPr>
        <w:t>.</w:t>
      </w: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i/>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eastAsia="Calibri" w:cstheme="minorHAnsi"/>
          <w:b/>
          <w:i/>
        </w:rPr>
      </w:pPr>
      <w:r w:rsidRPr="00435049">
        <w:rPr>
          <w:rFonts w:eastAsia="Calibri" w:cstheme="minorHAnsi"/>
          <w:b/>
          <w:i/>
        </w:rPr>
        <w:t>Příchod k základní škole – stav před rekonstrukcí a po rekonstrukci chodníku</w:t>
      </w:r>
    </w:p>
    <w:p w:rsidR="009962CB" w:rsidRPr="0007487C" w:rsidRDefault="009962CB" w:rsidP="00CA6D0B">
      <w:pPr>
        <w:pStyle w:val="Odstavecseseznamem"/>
        <w:pBdr>
          <w:top w:val="single" w:sz="4" w:space="1" w:color="auto"/>
          <w:left w:val="single" w:sz="4" w:space="4" w:color="auto"/>
          <w:bottom w:val="single" w:sz="4" w:space="1" w:color="auto"/>
          <w:right w:val="single" w:sz="4" w:space="4" w:color="auto"/>
        </w:pBdr>
        <w:tabs>
          <w:tab w:val="left" w:pos="4678"/>
        </w:tabs>
        <w:spacing w:after="0" w:line="252" w:lineRule="auto"/>
        <w:ind w:left="0"/>
        <w:jc w:val="both"/>
        <w:rPr>
          <w:rFonts w:cstheme="minorHAnsi"/>
          <w:bCs/>
          <w:sz w:val="24"/>
          <w:szCs w:val="24"/>
        </w:rPr>
      </w:pPr>
      <w:r w:rsidRPr="0007487C">
        <w:rPr>
          <w:noProof/>
          <w:sz w:val="24"/>
          <w:szCs w:val="24"/>
        </w:rPr>
        <w:drawing>
          <wp:inline distT="0" distB="0" distL="0" distR="0" wp14:anchorId="5C5C4E7F" wp14:editId="5C3C362D">
            <wp:extent cx="2700000" cy="2024528"/>
            <wp:effectExtent l="19050" t="19050" r="24765" b="1397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0000" cy="2024528"/>
                    </a:xfrm>
                    <a:prstGeom prst="rect">
                      <a:avLst/>
                    </a:prstGeom>
                    <a:noFill/>
                    <a:ln w="6350">
                      <a:solidFill>
                        <a:schemeClr val="tx1"/>
                      </a:solidFill>
                    </a:ln>
                  </pic:spPr>
                </pic:pic>
              </a:graphicData>
            </a:graphic>
          </wp:inline>
        </w:drawing>
      </w:r>
      <w:r w:rsidRPr="0007487C">
        <w:rPr>
          <w:rFonts w:cstheme="minorHAnsi"/>
          <w:bCs/>
          <w:sz w:val="24"/>
          <w:szCs w:val="24"/>
        </w:rPr>
        <w:t xml:space="preserve"> </w:t>
      </w:r>
      <w:r w:rsidR="00CA6D0B">
        <w:rPr>
          <w:rFonts w:cstheme="minorHAnsi"/>
          <w:bCs/>
          <w:sz w:val="24"/>
          <w:szCs w:val="24"/>
        </w:rPr>
        <w:tab/>
      </w:r>
      <w:r w:rsidRPr="0007487C">
        <w:rPr>
          <w:noProof/>
          <w:sz w:val="24"/>
          <w:szCs w:val="24"/>
        </w:rPr>
        <w:drawing>
          <wp:inline distT="0" distB="0" distL="0" distR="0" wp14:anchorId="0CF74699" wp14:editId="055C24CA">
            <wp:extent cx="2700000" cy="2025000"/>
            <wp:effectExtent l="19050" t="19050" r="24765" b="1397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w="6350">
                      <a:solidFill>
                        <a:schemeClr val="tx1"/>
                      </a:solidFill>
                    </a:ln>
                  </pic:spPr>
                </pic:pic>
              </a:graphicData>
            </a:graphic>
          </wp:inline>
        </w:drawing>
      </w:r>
    </w:p>
    <w:p w:rsidR="009962CB" w:rsidRPr="000B29CF"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Cs/>
        </w:rPr>
      </w:pPr>
      <w:r w:rsidRPr="000B29CF">
        <w:rPr>
          <w:rFonts w:cstheme="minorHAnsi"/>
          <w:b/>
          <w:bCs/>
          <w:iCs/>
        </w:rPr>
        <w:t>Zdroj:</w:t>
      </w:r>
      <w:r w:rsidRPr="000B29CF">
        <w:rPr>
          <w:rFonts w:cstheme="minorHAnsi"/>
          <w:iCs/>
        </w:rPr>
        <w:t xml:space="preserve"> </w:t>
      </w:r>
      <w:hyperlink r:id="rId20" w:history="1">
        <w:r w:rsidRPr="000B29CF">
          <w:rPr>
            <w:rStyle w:val="Hypertextovodkaz"/>
            <w:rFonts w:cstheme="minorHAnsi"/>
            <w:iCs/>
          </w:rPr>
          <w:t>www.mapy.cz</w:t>
        </w:r>
      </w:hyperlink>
      <w:r w:rsidRPr="000B29CF">
        <w:rPr>
          <w:rFonts w:cstheme="minorHAnsi"/>
          <w:iCs/>
        </w:rPr>
        <w:t xml:space="preserve"> (stav k 22. 8. 2015)</w:t>
      </w:r>
      <w:r w:rsidR="002A4552">
        <w:rPr>
          <w:rFonts w:cstheme="minorHAnsi"/>
          <w:iCs/>
        </w:rPr>
        <w:t>.</w:t>
      </w:r>
      <w:r w:rsidRPr="000B29CF">
        <w:rPr>
          <w:rFonts w:cstheme="minorHAnsi"/>
          <w:iCs/>
        </w:rPr>
        <w:tab/>
      </w:r>
      <w:r w:rsidRPr="000B29CF">
        <w:rPr>
          <w:rFonts w:cstheme="minorHAnsi"/>
          <w:b/>
          <w:bCs/>
          <w:iCs/>
        </w:rPr>
        <w:t>Zdroj:</w:t>
      </w:r>
      <w:r w:rsidRPr="000B29CF">
        <w:rPr>
          <w:rFonts w:cstheme="minorHAnsi"/>
          <w:iCs/>
        </w:rPr>
        <w:t xml:space="preserve"> </w:t>
      </w:r>
      <w:hyperlink r:id="rId21" w:history="1">
        <w:r w:rsidRPr="000B29CF">
          <w:rPr>
            <w:rStyle w:val="Hypertextovodkaz"/>
            <w:rFonts w:cstheme="minorHAnsi"/>
            <w:iCs/>
          </w:rPr>
          <w:t>www.mapy.cz</w:t>
        </w:r>
      </w:hyperlink>
      <w:r w:rsidRPr="000B29CF">
        <w:rPr>
          <w:rFonts w:cstheme="minorHAnsi"/>
          <w:iCs/>
        </w:rPr>
        <w:t xml:space="preserve"> (stav k 3. 6. 2023)</w:t>
      </w:r>
      <w:r w:rsidR="002A4552">
        <w:rPr>
          <w:rFonts w:cstheme="minorHAnsi"/>
          <w:iCs/>
        </w:rPr>
        <w:t>.</w:t>
      </w:r>
    </w:p>
    <w:p w:rsidR="009962CB" w:rsidRPr="00435049" w:rsidRDefault="009962CB" w:rsidP="009962CB">
      <w:pPr>
        <w:pStyle w:val="Odstavecseseznamem"/>
        <w:pBdr>
          <w:top w:val="single" w:sz="4" w:space="1" w:color="auto"/>
          <w:left w:val="single" w:sz="4" w:space="4" w:color="auto"/>
          <w:bottom w:val="single" w:sz="4" w:space="1" w:color="auto"/>
          <w:right w:val="single" w:sz="4" w:space="4" w:color="auto"/>
        </w:pBdr>
        <w:spacing w:after="0" w:line="252" w:lineRule="auto"/>
        <w:ind w:left="0"/>
        <w:jc w:val="both"/>
        <w:rPr>
          <w:rFonts w:cstheme="minorHAnsi"/>
          <w:bCs/>
          <w:i/>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r w:rsidRPr="00435049">
        <w:rPr>
          <w:rFonts w:cstheme="minorHAnsi"/>
          <w:bCs/>
          <w:i/>
        </w:rPr>
        <w:t xml:space="preserve">Ze statistik nehodovosti zveřejněných Centrem dopravního výzkumu (www.nehody.cdv.cz) vyplývá, že v úseku silnice I. třídy, který byl předmětem projektu č. 9, </w:t>
      </w:r>
      <w:r w:rsidRPr="00435049">
        <w:rPr>
          <w:rFonts w:cstheme="minorHAnsi"/>
          <w:i/>
        </w:rPr>
        <w:t>došlo v letech 2014</w:t>
      </w:r>
      <w:r w:rsidR="002A4552">
        <w:rPr>
          <w:rFonts w:cstheme="minorHAnsi"/>
          <w:i/>
        </w:rPr>
        <w:t>–</w:t>
      </w:r>
      <w:r w:rsidRPr="00435049">
        <w:rPr>
          <w:rFonts w:cstheme="minorHAnsi"/>
          <w:i/>
        </w:rPr>
        <w:t>2018 (5 let před realizací projektu) k</w:t>
      </w:r>
      <w:r w:rsidR="002A4552">
        <w:rPr>
          <w:rFonts w:cstheme="minorHAnsi"/>
          <w:i/>
        </w:rPr>
        <w:t xml:space="preserve"> </w:t>
      </w:r>
      <w:r w:rsidRPr="00435049">
        <w:rPr>
          <w:rFonts w:cstheme="minorHAnsi"/>
          <w:i/>
        </w:rPr>
        <w:t>jediné dopravní nehodě s</w:t>
      </w:r>
      <w:r w:rsidR="002A4552">
        <w:rPr>
          <w:rFonts w:cstheme="minorHAnsi"/>
          <w:i/>
        </w:rPr>
        <w:t xml:space="preserve"> </w:t>
      </w:r>
      <w:r w:rsidRPr="00435049">
        <w:rPr>
          <w:rFonts w:cstheme="minorHAnsi"/>
          <w:i/>
        </w:rPr>
        <w:t>chodcem s</w:t>
      </w:r>
      <w:r w:rsidR="002A4552">
        <w:rPr>
          <w:rFonts w:cstheme="minorHAnsi"/>
          <w:i/>
        </w:rPr>
        <w:t xml:space="preserve"> </w:t>
      </w:r>
      <w:r w:rsidRPr="00435049">
        <w:rPr>
          <w:rFonts w:cstheme="minorHAnsi"/>
          <w:i/>
        </w:rPr>
        <w:t xml:space="preserve">následky na zdraví (těžké zranění). Podle protokolu </w:t>
      </w:r>
      <w:r w:rsidR="006B5EF6">
        <w:rPr>
          <w:rFonts w:cstheme="minorHAnsi"/>
          <w:i/>
        </w:rPr>
        <w:br/>
      </w:r>
      <w:r w:rsidRPr="00435049">
        <w:rPr>
          <w:rFonts w:cstheme="minorHAnsi"/>
          <w:i/>
        </w:rPr>
        <w:t xml:space="preserve">z této nehody ji zavinil chodec svým jednáním, když náhle vstoupil do vozovky v blízkosti přechodu pro chodce. V době od dokončení projektu do května 2024 došlo v řešeném úseku rovněž k jedné nehodě s účastí chodce. Podle protokolu z této nehody byl při ní chodec lehce zraněn. K nehodě došlo na přechodu pro chodce a chodec i řidič </w:t>
      </w:r>
      <w:r>
        <w:rPr>
          <w:rFonts w:cstheme="minorHAnsi"/>
          <w:i/>
        </w:rPr>
        <w:t xml:space="preserve">vozidla </w:t>
      </w:r>
      <w:r w:rsidRPr="00435049">
        <w:rPr>
          <w:rFonts w:cstheme="minorHAnsi"/>
          <w:i/>
        </w:rPr>
        <w:t>byli pod vlivem alkoholu.</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bCs/>
          <w:i/>
          <w:sz w:val="12"/>
          <w:szCs w:val="12"/>
        </w:rPr>
      </w:pPr>
    </w:p>
    <w:p w:rsidR="009962CB" w:rsidRPr="002A75B4"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eastAsiaTheme="minorHAnsi" w:hAnsiTheme="minorHAnsi" w:cstheme="minorHAnsi"/>
          <w:bCs/>
          <w:i/>
          <w:color w:val="auto"/>
          <w:sz w:val="22"/>
          <w:szCs w:val="22"/>
          <w:lang w:eastAsia="en-US"/>
        </w:rPr>
      </w:pPr>
      <w:r w:rsidRPr="002A75B4">
        <w:rPr>
          <w:rFonts w:asciiTheme="minorHAnsi" w:eastAsiaTheme="minorHAnsi" w:hAnsiTheme="minorHAnsi" w:cstheme="minorHAnsi"/>
          <w:bCs/>
          <w:i/>
          <w:color w:val="auto"/>
          <w:sz w:val="22"/>
          <w:szCs w:val="22"/>
          <w:lang w:eastAsia="en-US"/>
        </w:rPr>
        <w:t xml:space="preserve">NKÚ </w:t>
      </w:r>
      <w:r>
        <w:rPr>
          <w:rFonts w:asciiTheme="minorHAnsi" w:eastAsiaTheme="minorHAnsi" w:hAnsiTheme="minorHAnsi" w:cstheme="minorHAnsi"/>
          <w:bCs/>
          <w:i/>
          <w:color w:val="auto"/>
          <w:sz w:val="22"/>
          <w:szCs w:val="22"/>
          <w:lang w:eastAsia="en-US"/>
        </w:rPr>
        <w:t>k</w:t>
      </w:r>
      <w:r w:rsidRPr="002A75B4">
        <w:rPr>
          <w:rFonts w:asciiTheme="minorHAnsi" w:eastAsiaTheme="minorHAnsi" w:hAnsiTheme="minorHAnsi" w:cstheme="minorHAnsi"/>
          <w:bCs/>
          <w:i/>
          <w:color w:val="auto"/>
          <w:sz w:val="22"/>
          <w:szCs w:val="22"/>
          <w:lang w:eastAsia="en-US"/>
        </w:rPr>
        <w:t xml:space="preserve">ontrolou zjistil, že projekt č. 9 </w:t>
      </w:r>
      <w:r w:rsidRPr="00014188">
        <w:rPr>
          <w:rFonts w:asciiTheme="minorHAnsi" w:eastAsiaTheme="minorHAnsi" w:hAnsiTheme="minorHAnsi" w:cstheme="minorHAnsi"/>
          <w:bCs/>
          <w:i/>
          <w:color w:val="auto"/>
          <w:sz w:val="22"/>
          <w:szCs w:val="22"/>
          <w:lang w:eastAsia="en-US"/>
        </w:rPr>
        <w:t xml:space="preserve">přinesl celkové zlepšení stavu </w:t>
      </w:r>
      <w:r w:rsidRPr="002A75B4">
        <w:rPr>
          <w:rFonts w:asciiTheme="minorHAnsi" w:eastAsiaTheme="minorHAnsi" w:hAnsiTheme="minorHAnsi" w:cstheme="minorHAnsi"/>
          <w:bCs/>
          <w:i/>
          <w:color w:val="auto"/>
          <w:sz w:val="22"/>
          <w:szCs w:val="22"/>
          <w:lang w:eastAsia="en-US"/>
        </w:rPr>
        <w:t>řeše</w:t>
      </w:r>
      <w:r w:rsidRPr="00014188">
        <w:rPr>
          <w:rFonts w:asciiTheme="minorHAnsi" w:eastAsiaTheme="minorHAnsi" w:hAnsiTheme="minorHAnsi" w:cstheme="minorHAnsi"/>
          <w:bCs/>
          <w:i/>
          <w:color w:val="auto"/>
          <w:sz w:val="22"/>
          <w:szCs w:val="22"/>
          <w:lang w:eastAsia="en-US"/>
        </w:rPr>
        <w:t xml:space="preserve">ných úseků chodníků, bezpečnost chodců ale významně nezvýšil. </w:t>
      </w:r>
      <w:r w:rsidRPr="002A75B4">
        <w:rPr>
          <w:rFonts w:asciiTheme="minorHAnsi" w:eastAsiaTheme="minorHAnsi" w:hAnsiTheme="minorHAnsi" w:cstheme="minorHAnsi"/>
          <w:bCs/>
          <w:i/>
          <w:color w:val="auto"/>
          <w:sz w:val="22"/>
          <w:szCs w:val="22"/>
          <w:lang w:eastAsia="en-US"/>
        </w:rPr>
        <w:t xml:space="preserve">Některé nedostatky v oblasti bezpečnosti a bezbariérovosti dané trasy byly rekonstrukcí odstraněny jen částečně, popř. nebyly odstraněny vůbec. </w:t>
      </w:r>
      <w:r>
        <w:rPr>
          <w:rFonts w:asciiTheme="minorHAnsi" w:eastAsiaTheme="minorHAnsi" w:hAnsiTheme="minorHAnsi" w:cstheme="minorHAnsi"/>
          <w:bCs/>
          <w:i/>
          <w:color w:val="auto"/>
          <w:sz w:val="22"/>
          <w:szCs w:val="22"/>
          <w:lang w:eastAsia="en-US"/>
        </w:rPr>
        <w:t>P</w:t>
      </w:r>
      <w:r w:rsidRPr="002A75B4">
        <w:rPr>
          <w:rFonts w:asciiTheme="minorHAnsi" w:eastAsiaTheme="minorHAnsi" w:hAnsiTheme="minorHAnsi" w:cstheme="minorHAnsi"/>
          <w:bCs/>
          <w:i/>
          <w:color w:val="auto"/>
          <w:sz w:val="22"/>
          <w:szCs w:val="22"/>
          <w:lang w:eastAsia="en-US"/>
        </w:rPr>
        <w:t>roto NKÚ vyhodnotil vynaložení prostředků na tento projekt jako účelné jen omezeně.</w:t>
      </w:r>
    </w:p>
    <w:p w:rsidR="009962CB" w:rsidRDefault="009962CB" w:rsidP="009962CB">
      <w:pPr>
        <w:spacing w:after="0" w:line="252" w:lineRule="auto"/>
        <w:jc w:val="both"/>
        <w:rPr>
          <w:rFonts w:eastAsia="Calibri" w:cstheme="minorHAnsi"/>
          <w:sz w:val="24"/>
          <w:szCs w:val="24"/>
        </w:rPr>
      </w:pPr>
    </w:p>
    <w:p w:rsidR="009962C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4.18 Podpora z</w:t>
      </w:r>
      <w:r w:rsidR="00CA30D7">
        <w:rPr>
          <w:rFonts w:eastAsia="Calibri" w:cstheme="minorHAnsi"/>
          <w:sz w:val="24"/>
          <w:szCs w:val="24"/>
        </w:rPr>
        <w:t xml:space="preserve"> </w:t>
      </w:r>
      <w:r>
        <w:rPr>
          <w:rFonts w:eastAsia="Calibri" w:cstheme="minorHAnsi"/>
          <w:sz w:val="24"/>
          <w:szCs w:val="24"/>
        </w:rPr>
        <w:t xml:space="preserve">peněžních prostředků státu poskytovaná </w:t>
      </w:r>
      <w:r w:rsidR="00CA30D7" w:rsidRPr="00CA30D7">
        <w:rPr>
          <w:rFonts w:eastAsia="Calibri" w:cstheme="minorHAnsi"/>
          <w:sz w:val="24"/>
          <w:szCs w:val="24"/>
        </w:rPr>
        <w:t>Státní</w:t>
      </w:r>
      <w:r w:rsidR="00CA30D7">
        <w:rPr>
          <w:rFonts w:eastAsia="Calibri" w:cstheme="minorHAnsi"/>
          <w:sz w:val="24"/>
          <w:szCs w:val="24"/>
        </w:rPr>
        <w:t>m</w:t>
      </w:r>
      <w:r w:rsidR="00CA30D7" w:rsidRPr="00CA30D7">
        <w:rPr>
          <w:rFonts w:eastAsia="Calibri" w:cstheme="minorHAnsi"/>
          <w:sz w:val="24"/>
          <w:szCs w:val="24"/>
        </w:rPr>
        <w:t xml:space="preserve"> fond</w:t>
      </w:r>
      <w:r w:rsidR="00CA30D7">
        <w:rPr>
          <w:rFonts w:eastAsia="Calibri" w:cstheme="minorHAnsi"/>
          <w:sz w:val="24"/>
          <w:szCs w:val="24"/>
        </w:rPr>
        <w:t>em</w:t>
      </w:r>
      <w:r w:rsidR="00CA30D7" w:rsidRPr="00CA30D7">
        <w:rPr>
          <w:rFonts w:eastAsia="Calibri" w:cstheme="minorHAnsi"/>
          <w:sz w:val="24"/>
          <w:szCs w:val="24"/>
        </w:rPr>
        <w:t xml:space="preserve"> dopravní infrastruktury</w:t>
      </w:r>
      <w:r w:rsidR="00CA30D7">
        <w:rPr>
          <w:rFonts w:eastAsia="Calibri" w:cstheme="minorHAnsi"/>
          <w:sz w:val="24"/>
          <w:szCs w:val="24"/>
        </w:rPr>
        <w:t xml:space="preserve"> </w:t>
      </w:r>
      <w:r>
        <w:rPr>
          <w:rFonts w:eastAsia="Calibri" w:cstheme="minorHAnsi"/>
          <w:sz w:val="24"/>
          <w:szCs w:val="24"/>
        </w:rPr>
        <w:t>byla určena na zajištění bezpečnosti a bezbariérovosti komunikací pro pěší. Podpora z</w:t>
      </w:r>
      <w:r w:rsidR="009A5953">
        <w:rPr>
          <w:rFonts w:eastAsia="Calibri" w:cstheme="minorHAnsi"/>
          <w:sz w:val="24"/>
          <w:szCs w:val="24"/>
        </w:rPr>
        <w:t xml:space="preserve"> </w:t>
      </w:r>
      <w:r>
        <w:rPr>
          <w:rFonts w:eastAsia="Calibri" w:cstheme="minorHAnsi"/>
          <w:sz w:val="24"/>
          <w:szCs w:val="24"/>
        </w:rPr>
        <w:t>peněžních prostředků státu a EU v</w:t>
      </w:r>
      <w:r w:rsidR="009A5953">
        <w:rPr>
          <w:rFonts w:eastAsia="Calibri" w:cstheme="minorHAnsi"/>
          <w:sz w:val="24"/>
          <w:szCs w:val="24"/>
        </w:rPr>
        <w:t xml:space="preserve"> </w:t>
      </w:r>
      <w:r>
        <w:rPr>
          <w:rFonts w:eastAsia="Calibri" w:cstheme="minorHAnsi"/>
          <w:sz w:val="24"/>
          <w:szCs w:val="24"/>
        </w:rPr>
        <w:t>rámci IROP, o jejímž poskytnutí rozhodovalo MMR, byla zaměřena šířeji a umožňovala financovat větší rozsah prací. Součástí projektů financovaných z IROP tak mohly být</w:t>
      </w:r>
      <w:r w:rsidR="00CA30D7">
        <w:rPr>
          <w:rFonts w:eastAsia="Calibri" w:cstheme="minorHAnsi"/>
          <w:sz w:val="24"/>
          <w:szCs w:val="24"/>
        </w:rPr>
        <w:t xml:space="preserve"> </w:t>
      </w:r>
      <w:r>
        <w:rPr>
          <w:rFonts w:eastAsia="Calibri" w:cstheme="minorHAnsi"/>
          <w:sz w:val="24"/>
          <w:szCs w:val="24"/>
        </w:rPr>
        <w:t>např. i</w:t>
      </w:r>
      <w:r w:rsidR="00046384">
        <w:rPr>
          <w:rFonts w:eastAsia="Calibri" w:cstheme="minorHAnsi"/>
          <w:sz w:val="24"/>
          <w:szCs w:val="24"/>
        </w:rPr>
        <w:t xml:space="preserve"> </w:t>
      </w:r>
      <w:r>
        <w:rPr>
          <w:rFonts w:eastAsia="Calibri" w:cstheme="minorHAnsi"/>
          <w:sz w:val="24"/>
          <w:szCs w:val="24"/>
        </w:rPr>
        <w:t>vegetační úpravy, osvětlení nebo městský mobiliář. NKÚ zjistil, že jeden ze vzorku</w:t>
      </w:r>
      <w:r w:rsidR="002A4552">
        <w:rPr>
          <w:rFonts w:eastAsia="Calibri" w:cstheme="minorHAnsi"/>
          <w:sz w:val="24"/>
          <w:szCs w:val="24"/>
        </w:rPr>
        <w:t xml:space="preserve"> </w:t>
      </w:r>
      <w:r>
        <w:rPr>
          <w:rFonts w:eastAsia="Calibri" w:cstheme="minorHAnsi"/>
          <w:sz w:val="24"/>
          <w:szCs w:val="24"/>
        </w:rPr>
        <w:t xml:space="preserve">projektů více než bezpečnost a bezbariérovost komunikací pro </w:t>
      </w:r>
      <w:r>
        <w:rPr>
          <w:rFonts w:eastAsia="Calibri" w:cstheme="minorHAnsi"/>
          <w:sz w:val="24"/>
          <w:szCs w:val="24"/>
        </w:rPr>
        <w:lastRenderedPageBreak/>
        <w:t>pěší řešil jejich vzhled v rámci revitalizace městského prostoru. Projekt měl přitom podporovat aktivitu „</w:t>
      </w:r>
      <w:r w:rsidRPr="000B29CF">
        <w:rPr>
          <w:rFonts w:eastAsia="Calibri" w:cstheme="minorHAnsi"/>
          <w:i/>
          <w:iCs/>
          <w:sz w:val="24"/>
          <w:szCs w:val="24"/>
        </w:rPr>
        <w:t>Bezpečnost dopravy</w:t>
      </w:r>
      <w:r>
        <w:rPr>
          <w:rFonts w:eastAsia="Calibri" w:cstheme="minorHAnsi"/>
          <w:sz w:val="24"/>
          <w:szCs w:val="24"/>
        </w:rPr>
        <w:t>“. Informace o tomto projektu jsou uvedeny v příkladu č. 5.</w:t>
      </w:r>
    </w:p>
    <w:p w:rsidR="009962CB" w:rsidRDefault="009962CB" w:rsidP="009962CB">
      <w:pPr>
        <w:spacing w:after="0" w:line="252" w:lineRule="auto"/>
        <w:contextualSpacing/>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Příklad č. 5: Podpora zlepšující vzhled města, nikoliv bezpečnost a bezbariérovost chodníků</w:t>
      </w: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35049">
        <w:rPr>
          <w:rFonts w:eastAsia="Calibri" w:cstheme="minorHAnsi"/>
          <w:i/>
        </w:rPr>
        <w:t>Předmětem projektu č. 2</w:t>
      </w:r>
      <w:r w:rsidR="00046384">
        <w:rPr>
          <w:rFonts w:eastAsia="Calibri" w:cstheme="minorHAnsi"/>
          <w:i/>
        </w:rPr>
        <w:t>1</w:t>
      </w:r>
      <w:r w:rsidRPr="00435049">
        <w:rPr>
          <w:rFonts w:eastAsia="Calibri" w:cstheme="minorHAnsi"/>
          <w:i/>
        </w:rPr>
        <w:t xml:space="preserve"> byla rekonstrukce </w:t>
      </w:r>
      <w:r w:rsidRPr="00435049">
        <w:rPr>
          <w:rFonts w:cstheme="minorHAnsi"/>
          <w:i/>
        </w:rPr>
        <w:t>a rozšíření chodníků</w:t>
      </w:r>
      <w:r w:rsidRPr="00435049">
        <w:rPr>
          <w:i/>
        </w:rPr>
        <w:t xml:space="preserve"> v délce 513 m v blízkosti náměstí. </w:t>
      </w:r>
      <w:r w:rsidRPr="00435049">
        <w:rPr>
          <w:rFonts w:eastAsia="Calibri" w:cstheme="minorHAnsi"/>
          <w:i/>
        </w:rPr>
        <w:t>Celkové výdaje projektu dle žádosti o podporu činily 15,18 mil. Kč (v závěrečném vyhodnocení akce nebyly celkové výdaje uvedeny). Způsobilé výdaje dle závěrečného vyhodnocení akce činily 11,76</w:t>
      </w:r>
      <w:r w:rsidR="00CA30D7">
        <w:rPr>
          <w:rFonts w:eastAsia="Calibri" w:cstheme="minorHAnsi"/>
          <w:i/>
        </w:rPr>
        <w:t> </w:t>
      </w:r>
      <w:r w:rsidRPr="00435049">
        <w:rPr>
          <w:rFonts w:eastAsia="Calibri" w:cstheme="minorHAnsi"/>
          <w:i/>
        </w:rPr>
        <w:t>mil.</w:t>
      </w:r>
      <w:r w:rsidR="00CA30D7">
        <w:rPr>
          <w:rFonts w:eastAsia="Calibri" w:cstheme="minorHAnsi"/>
          <w:i/>
        </w:rPr>
        <w:t> </w:t>
      </w:r>
      <w:r w:rsidRPr="00435049">
        <w:rPr>
          <w:rFonts w:eastAsia="Calibri" w:cstheme="minorHAnsi"/>
          <w:i/>
        </w:rPr>
        <w:t>Kč. Na projekt byla z IROP poskytnuta podpora ve výši 11,17 mil. Kč (95 % způsobilých výdajů).</w:t>
      </w:r>
    </w:p>
    <w:p w:rsidR="009962CB" w:rsidRPr="00E9575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i/>
        </w:rPr>
      </w:pPr>
      <w:r w:rsidRPr="00435049">
        <w:rPr>
          <w:rFonts w:cstheme="minorHAnsi"/>
          <w:i/>
        </w:rPr>
        <w:t xml:space="preserve">Z dokumentace projektu není zřejmé, nakolik byly původní chodníky ve špatném technickém stavu ani že by tento stav bránil v jejich běžném užívání. Nevyplývá z ní ani to, že by rekonstrukcí chodníků došlo k odstranění nějaké překážky významně omezující mobilitu osob se sníženou schopností pohybu nebo orientace. </w:t>
      </w:r>
      <w:r w:rsidRPr="00435049">
        <w:rPr>
          <w:i/>
        </w:rPr>
        <w:t xml:space="preserve">Projekt byl realizován </w:t>
      </w:r>
      <w:r w:rsidRPr="00435049">
        <w:rPr>
          <w:rFonts w:cstheme="minorHAnsi"/>
          <w:i/>
        </w:rPr>
        <w:t xml:space="preserve">v klidové zóně s převážně jednosměrným provozem, kde je maximální rychlost vozidel omezena na 30 km/h. </w:t>
      </w:r>
      <w:r w:rsidRPr="00435049">
        <w:rPr>
          <w:rFonts w:cstheme="minorHAnsi"/>
          <w:bCs/>
          <w:i/>
        </w:rPr>
        <w:t xml:space="preserve">Ze statistik nehodovosti zveřejněných Centrem dopravního výzkumu (www.nehody.cdv.cz) NKÚ zjistil, že </w:t>
      </w:r>
      <w:r w:rsidR="00CA30D7" w:rsidRPr="00435049">
        <w:rPr>
          <w:rFonts w:cstheme="minorHAnsi"/>
          <w:bCs/>
          <w:i/>
        </w:rPr>
        <w:t xml:space="preserve">se </w:t>
      </w:r>
      <w:r w:rsidRPr="00435049">
        <w:rPr>
          <w:rFonts w:cstheme="minorHAnsi"/>
          <w:bCs/>
          <w:i/>
        </w:rPr>
        <w:t>v</w:t>
      </w:r>
      <w:r w:rsidR="00CA30D7">
        <w:rPr>
          <w:rFonts w:cstheme="minorHAnsi"/>
          <w:bCs/>
          <w:i/>
        </w:rPr>
        <w:t xml:space="preserve"> </w:t>
      </w:r>
      <w:r w:rsidRPr="00435049">
        <w:rPr>
          <w:rFonts w:cstheme="minorHAnsi"/>
          <w:bCs/>
          <w:i/>
        </w:rPr>
        <w:t>řešeném úseku v</w:t>
      </w:r>
      <w:r w:rsidR="00CA30D7">
        <w:rPr>
          <w:rFonts w:cstheme="minorHAnsi"/>
          <w:bCs/>
          <w:i/>
        </w:rPr>
        <w:t xml:space="preserve"> období</w:t>
      </w:r>
      <w:r w:rsidRPr="00435049">
        <w:rPr>
          <w:rFonts w:cstheme="minorHAnsi"/>
          <w:bCs/>
          <w:i/>
        </w:rPr>
        <w:t xml:space="preserve"> pěti let před realizací projektu a ani po jeho dokončení nestala žádná dopravní nehoda s účastí chodce </w:t>
      </w:r>
      <w:r w:rsidRPr="00435049">
        <w:rPr>
          <w:rFonts w:cstheme="minorHAnsi"/>
          <w:i/>
        </w:rPr>
        <w:t xml:space="preserve">s následky na zdraví nebo životě. </w:t>
      </w:r>
      <w:r w:rsidRPr="00435049">
        <w:rPr>
          <w:i/>
        </w:rPr>
        <w:t xml:space="preserve">Původní asfaltový a betonový povrch chodníků byl nahrazen kamennou mozaikovou dlažbou se žulovými obrubníky. Součástí projektu byla výsadba stromů, </w:t>
      </w:r>
      <w:r w:rsidR="000B6060">
        <w:rPr>
          <w:i/>
        </w:rPr>
        <w:t>úprava</w:t>
      </w:r>
      <w:r w:rsidR="000B6060" w:rsidRPr="00435049">
        <w:rPr>
          <w:i/>
        </w:rPr>
        <w:t xml:space="preserve"> </w:t>
      </w:r>
      <w:r w:rsidRPr="00435049">
        <w:rPr>
          <w:i/>
        </w:rPr>
        <w:t>osvětlení a instalace mobiliáře. V souvislosti s úpravou chodníků došlo i k přeorganizování parkovacích stání.</w:t>
      </w:r>
    </w:p>
    <w:p w:rsidR="009962CB" w:rsidRPr="00F11287"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i/>
          <w:sz w:val="12"/>
          <w:szCs w:val="12"/>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bCs/>
          <w:i/>
        </w:rPr>
      </w:pPr>
      <w:r w:rsidRPr="00435049">
        <w:rPr>
          <w:i/>
        </w:rPr>
        <w:t xml:space="preserve">NKÚ zjistil, že </w:t>
      </w:r>
      <w:r w:rsidRPr="00435049">
        <w:rPr>
          <w:rFonts w:cstheme="minorHAnsi"/>
          <w:i/>
        </w:rPr>
        <w:t>jednotková cena rekonstruované komunikace pro pěší ve výši téměř 23 tis. Kč/m patří k nejvyšším ve</w:t>
      </w:r>
      <w:r w:rsidR="0046431D">
        <w:rPr>
          <w:rFonts w:cstheme="minorHAnsi"/>
          <w:i/>
        </w:rPr>
        <w:t xml:space="preserve"> </w:t>
      </w:r>
      <w:r w:rsidRPr="00435049">
        <w:rPr>
          <w:rFonts w:cstheme="minorHAnsi"/>
          <w:i/>
        </w:rPr>
        <w:t xml:space="preserve">vzorku kontrolovaných projektů. Tato vysoká cena je dána zejména použitím nadstandardních materiálů a velkým objemem vedlejších a vyvolaných nákladů na úpravy uličního prostoru. </w:t>
      </w:r>
      <w:r>
        <w:rPr>
          <w:rFonts w:cstheme="minorHAnsi"/>
          <w:bCs/>
          <w:i/>
        </w:rPr>
        <w:t>P</w:t>
      </w:r>
      <w:r w:rsidRPr="002A75B4">
        <w:rPr>
          <w:rFonts w:cstheme="minorHAnsi"/>
          <w:bCs/>
          <w:i/>
        </w:rPr>
        <w:t xml:space="preserve">roto NKÚ vyhodnotil vynaložení prostředků na tento projekt jako </w:t>
      </w:r>
      <w:r>
        <w:rPr>
          <w:rFonts w:cstheme="minorHAnsi"/>
          <w:bCs/>
          <w:i/>
        </w:rPr>
        <w:t>hospodár</w:t>
      </w:r>
      <w:r w:rsidRPr="002A75B4">
        <w:rPr>
          <w:rFonts w:cstheme="minorHAnsi"/>
          <w:bCs/>
          <w:i/>
        </w:rPr>
        <w:t>né jen omezeně.</w:t>
      </w:r>
    </w:p>
    <w:p w:rsidR="009962CB" w:rsidRPr="00F11287"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r w:rsidRPr="00435049">
        <w:rPr>
          <w:rFonts w:cstheme="minorHAnsi"/>
          <w:i/>
        </w:rPr>
        <w:t xml:space="preserve">Při </w:t>
      </w:r>
      <w:r w:rsidR="00AA7239">
        <w:rPr>
          <w:rFonts w:cstheme="minorHAnsi"/>
          <w:i/>
        </w:rPr>
        <w:t>kontrole na místě</w:t>
      </w:r>
      <w:r w:rsidRPr="00435049">
        <w:rPr>
          <w:rFonts w:cstheme="minorHAnsi"/>
          <w:i/>
        </w:rPr>
        <w:t xml:space="preserve"> NKÚ navíc zjistil, že rekonstruované chodníky trpí řadou nedostatků s negativním vlivem na bezpečnost a mobilitu osob se sníženou schopností pohybu nebo orientace (nebezpečné místo se změnou </w:t>
      </w:r>
      <w:r w:rsidR="000B6060" w:rsidRPr="00435049">
        <w:rPr>
          <w:rFonts w:cstheme="minorHAnsi"/>
          <w:i/>
        </w:rPr>
        <w:t>nivel</w:t>
      </w:r>
      <w:r w:rsidR="000B6060">
        <w:rPr>
          <w:rFonts w:cstheme="minorHAnsi"/>
          <w:i/>
        </w:rPr>
        <w:t>e</w:t>
      </w:r>
      <w:r w:rsidR="000B6060" w:rsidRPr="00435049">
        <w:rPr>
          <w:rFonts w:cstheme="minorHAnsi"/>
          <w:i/>
        </w:rPr>
        <w:t>ty</w:t>
      </w:r>
      <w:r w:rsidR="000B6060">
        <w:rPr>
          <w:rStyle w:val="Znakapoznpodarou"/>
          <w:rFonts w:cstheme="minorHAnsi"/>
          <w:i/>
        </w:rPr>
        <w:footnoteReference w:id="29"/>
      </w:r>
      <w:r w:rsidR="000B6060" w:rsidRPr="00435049">
        <w:rPr>
          <w:rFonts w:cstheme="minorHAnsi"/>
          <w:i/>
        </w:rPr>
        <w:t xml:space="preserve"> </w:t>
      </w:r>
      <w:r w:rsidRPr="00435049">
        <w:rPr>
          <w:rFonts w:cstheme="minorHAnsi"/>
          <w:i/>
        </w:rPr>
        <w:t xml:space="preserve">chodníku a zapuštěným schodištěm ve směru signálního pásu z místa pro přecházení z protějšího chodníku, chybějící části vodicích linií, překážky v blízkosti vodicích linií atd.). </w:t>
      </w:r>
      <w:r>
        <w:rPr>
          <w:rFonts w:cstheme="minorHAnsi"/>
          <w:bCs/>
          <w:i/>
        </w:rPr>
        <w:t>P</w:t>
      </w:r>
      <w:r w:rsidRPr="002A75B4">
        <w:rPr>
          <w:rFonts w:cstheme="minorHAnsi"/>
          <w:bCs/>
          <w:i/>
        </w:rPr>
        <w:t>roto NKÚ vyhodnotil vynaložení prostředků na tento projekt jako účelné jen omezeně.</w:t>
      </w: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b/>
          <w:i/>
        </w:rPr>
      </w:pPr>
      <w:r w:rsidRPr="00435049">
        <w:rPr>
          <w:rFonts w:cstheme="minorHAnsi"/>
          <w:b/>
          <w:i/>
        </w:rPr>
        <w:t>Stav chodníků před rekonstrukcí</w:t>
      </w:r>
    </w:p>
    <w:p w:rsidR="009962CB"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jc w:val="both"/>
        <w:rPr>
          <w:rFonts w:cstheme="minorHAnsi"/>
          <w:sz w:val="24"/>
          <w:szCs w:val="24"/>
        </w:rPr>
      </w:pPr>
      <w:r>
        <w:rPr>
          <w:noProof/>
        </w:rPr>
        <w:drawing>
          <wp:inline distT="0" distB="0" distL="0" distR="0" wp14:anchorId="3AFC1E9E" wp14:editId="752F66F1">
            <wp:extent cx="2700000" cy="2020971"/>
            <wp:effectExtent l="19050" t="19050" r="24765" b="1778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2020971"/>
                    </a:xfrm>
                    <a:prstGeom prst="rect">
                      <a:avLst/>
                    </a:prstGeom>
                    <a:noFill/>
                    <a:ln w="6350">
                      <a:solidFill>
                        <a:schemeClr val="tx1"/>
                      </a:solidFill>
                    </a:ln>
                  </pic:spPr>
                </pic:pic>
              </a:graphicData>
            </a:graphic>
          </wp:inline>
        </w:drawing>
      </w:r>
      <w:r>
        <w:rPr>
          <w:rFonts w:cstheme="minorHAnsi"/>
          <w:sz w:val="24"/>
          <w:szCs w:val="24"/>
        </w:rPr>
        <w:t xml:space="preserve"> </w:t>
      </w:r>
      <w:r w:rsidR="00CA6D0B">
        <w:rPr>
          <w:rFonts w:cstheme="minorHAnsi"/>
          <w:sz w:val="24"/>
          <w:szCs w:val="24"/>
        </w:rPr>
        <w:tab/>
      </w:r>
      <w:r>
        <w:rPr>
          <w:noProof/>
        </w:rPr>
        <w:drawing>
          <wp:inline distT="0" distB="0" distL="0" distR="0" wp14:anchorId="368D19B2" wp14:editId="5E1F9C1A">
            <wp:extent cx="2700000" cy="2019935"/>
            <wp:effectExtent l="19050" t="19050" r="24765" b="1841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2019935"/>
                    </a:xfrm>
                    <a:prstGeom prst="rect">
                      <a:avLst/>
                    </a:prstGeom>
                    <a:noFill/>
                    <a:ln w="6350">
                      <a:solidFill>
                        <a:schemeClr val="tx1"/>
                      </a:solidFill>
                    </a:ln>
                  </pic:spPr>
                </pic:pic>
              </a:graphicData>
            </a:graphic>
          </wp:inline>
        </w:drawing>
      </w:r>
    </w:p>
    <w:p w:rsidR="009962CB" w:rsidRPr="000B29CF"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iCs/>
        </w:rPr>
      </w:pPr>
      <w:r w:rsidRPr="000B29CF">
        <w:rPr>
          <w:rFonts w:cstheme="minorHAnsi"/>
          <w:b/>
          <w:bCs/>
          <w:iCs/>
        </w:rPr>
        <w:t>Zdroj:</w:t>
      </w:r>
      <w:r w:rsidRPr="000B29CF">
        <w:rPr>
          <w:rFonts w:cstheme="minorHAnsi"/>
          <w:iCs/>
        </w:rPr>
        <w:t xml:space="preserve"> 2</w:t>
      </w:r>
      <w:r w:rsidR="00CA30D7" w:rsidRPr="000B29CF">
        <w:rPr>
          <w:rFonts w:cstheme="minorHAnsi"/>
          <w:iCs/>
        </w:rPr>
        <w:t>×</w:t>
      </w:r>
      <w:r w:rsidRPr="000B29CF">
        <w:rPr>
          <w:rFonts w:cstheme="minorHAnsi"/>
          <w:iCs/>
        </w:rPr>
        <w:t xml:space="preserve"> </w:t>
      </w:r>
      <w:r w:rsidRPr="000B29CF">
        <w:rPr>
          <w:iCs/>
        </w:rPr>
        <w:t>www.google.cz/maps (stav k dubnu 2012)</w:t>
      </w:r>
      <w:r w:rsidR="00CA30D7">
        <w:rPr>
          <w:iCs/>
        </w:rPr>
        <w:t>.</w:t>
      </w: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9962CB" w:rsidRPr="00435049"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b/>
          <w:i/>
        </w:rPr>
      </w:pPr>
      <w:r w:rsidRPr="00435049">
        <w:rPr>
          <w:rFonts w:cstheme="minorHAnsi"/>
          <w:b/>
          <w:i/>
        </w:rPr>
        <w:lastRenderedPageBreak/>
        <w:t xml:space="preserve">Chodníky po rekonstrukci </w:t>
      </w:r>
    </w:p>
    <w:p w:rsidR="009962CB"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jc w:val="both"/>
        <w:rPr>
          <w:rFonts w:eastAsia="Calibri" w:cstheme="minorHAnsi"/>
          <w:sz w:val="24"/>
          <w:szCs w:val="24"/>
        </w:rPr>
      </w:pPr>
      <w:r w:rsidRPr="00074D3A">
        <w:rPr>
          <w:noProof/>
        </w:rPr>
        <w:drawing>
          <wp:inline distT="0" distB="0" distL="0" distR="0" wp14:anchorId="7DB4747F" wp14:editId="0EE6314A">
            <wp:extent cx="2700000" cy="2052000"/>
            <wp:effectExtent l="19050" t="19050" r="24765" b="24765"/>
            <wp:docPr id="15" name="Obrázek 15" descr="C:\Users\LOCAL_~1\Temp\vmware-KUKLOVA-2832729546\VMwareDnD\horizon_11572-5c0ee692\IMG_20240604_1023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LOCAL_~1\Temp\vmware-KUKLOVA-2832729546\VMwareDnD\horizon_11572-5c0ee692\IMG_20240604_102303.jpg"/>
                    <pic:cNvPicPr preferRelativeResize="0">
                      <a:picLocks noChangeAspect="1" noChangeArrowheads="1"/>
                    </pic:cNvPicPr>
                  </pic:nvPicPr>
                  <pic:blipFill rotWithShape="1">
                    <a:blip r:embed="rId26" cstate="print">
                      <a:extLst>
                        <a:ext uri="{28A0092B-C50C-407E-A947-70E740481C1C}">
                          <a14:useLocalDpi xmlns:a14="http://schemas.microsoft.com/office/drawing/2010/main" val="0"/>
                        </a:ext>
                      </a:extLst>
                    </a:blip>
                    <a:srcRect l="13467" t="17239" r="18299" b="14526"/>
                    <a:stretch/>
                  </pic:blipFill>
                  <pic:spPr bwMode="auto">
                    <a:xfrm>
                      <a:off x="0" y="0"/>
                      <a:ext cx="2700000" cy="20520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rFonts w:eastAsia="Calibri" w:cstheme="minorHAnsi"/>
          <w:sz w:val="24"/>
          <w:szCs w:val="24"/>
        </w:rPr>
        <w:t xml:space="preserve"> </w:t>
      </w:r>
      <w:r w:rsidR="00CA6D0B">
        <w:rPr>
          <w:rFonts w:eastAsia="Calibri" w:cstheme="minorHAnsi"/>
          <w:sz w:val="24"/>
          <w:szCs w:val="24"/>
        </w:rPr>
        <w:tab/>
      </w:r>
      <w:r w:rsidRPr="000F1D5E">
        <w:rPr>
          <w:noProof/>
        </w:rPr>
        <w:drawing>
          <wp:inline distT="0" distB="0" distL="0" distR="0" wp14:anchorId="2FFD8ED1" wp14:editId="2D5CC4D7">
            <wp:extent cx="2700000" cy="2052000"/>
            <wp:effectExtent l="19050" t="19050" r="24765" b="24765"/>
            <wp:docPr id="26" name="Obrázek 26" descr="C:\Users\LOCAL_~1\Temp\vmware-KUKLOVA-2832729546\VMwareDnD\horizon_11572-11793245\IMG_20240604_1026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LOCAL_~1\Temp\vmware-KUKLOVA-2832729546\VMwareDnD\horizon_11572-11793245\IMG_20240604_102605.jpg"/>
                    <pic:cNvPicPr preferRelativeResize="0">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l="2483" t="13390" r="17173" b="6267"/>
                    <a:stretch/>
                  </pic:blipFill>
                  <pic:spPr bwMode="auto">
                    <a:xfrm>
                      <a:off x="0" y="0"/>
                      <a:ext cx="2700000" cy="20520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9962CB" w:rsidRPr="000B29CF"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Cs/>
        </w:rPr>
      </w:pPr>
      <w:r w:rsidRPr="000B29CF">
        <w:rPr>
          <w:rFonts w:cstheme="minorHAnsi"/>
          <w:b/>
          <w:bCs/>
          <w:iCs/>
        </w:rPr>
        <w:t>Zdroj:</w:t>
      </w:r>
      <w:r w:rsidRPr="000B29CF">
        <w:rPr>
          <w:rFonts w:cstheme="minorHAnsi"/>
          <w:iCs/>
        </w:rPr>
        <w:t xml:space="preserve"> 2</w:t>
      </w:r>
      <w:r w:rsidR="00CA30D7">
        <w:rPr>
          <w:rFonts w:cstheme="minorHAnsi"/>
          <w:iCs/>
        </w:rPr>
        <w:t>×</w:t>
      </w:r>
      <w:r w:rsidRPr="000B29CF">
        <w:rPr>
          <w:rFonts w:cstheme="minorHAnsi"/>
          <w:iCs/>
        </w:rPr>
        <w:t xml:space="preserve"> </w:t>
      </w:r>
      <w:r w:rsidR="00AA7239" w:rsidRPr="000B29CF">
        <w:rPr>
          <w:rFonts w:cstheme="minorHAnsi"/>
          <w:iCs/>
        </w:rPr>
        <w:t xml:space="preserve">kontrola </w:t>
      </w:r>
      <w:r w:rsidRPr="000B29CF">
        <w:rPr>
          <w:rFonts w:cstheme="minorHAnsi"/>
          <w:iCs/>
        </w:rPr>
        <w:t>NKÚ</w:t>
      </w:r>
      <w:r w:rsidR="00AA7239" w:rsidRPr="000B29CF">
        <w:rPr>
          <w:rFonts w:cstheme="minorHAnsi"/>
          <w:iCs/>
        </w:rPr>
        <w:t xml:space="preserve"> na místě</w:t>
      </w:r>
      <w:r w:rsidR="00CA30D7">
        <w:rPr>
          <w:rFonts w:cstheme="minorHAnsi"/>
          <w:iCs/>
        </w:rPr>
        <w:t>.</w:t>
      </w:r>
    </w:p>
    <w:p w:rsidR="009962CB" w:rsidRDefault="009962CB" w:rsidP="009962CB">
      <w:pPr>
        <w:spacing w:after="0" w:line="252" w:lineRule="auto"/>
        <w:contextualSpacing/>
        <w:jc w:val="both"/>
        <w:rPr>
          <w:rFonts w:eastAsia="Calibri" w:cstheme="minorHAnsi"/>
          <w:sz w:val="24"/>
          <w:szCs w:val="24"/>
        </w:rPr>
      </w:pPr>
    </w:p>
    <w:p w:rsidR="009962CB" w:rsidRDefault="009962CB" w:rsidP="009962CB">
      <w:pPr>
        <w:spacing w:after="0" w:line="252" w:lineRule="auto"/>
        <w:jc w:val="both"/>
        <w:rPr>
          <w:rFonts w:eastAsia="Calibri" w:cstheme="minorHAnsi"/>
          <w:sz w:val="24"/>
          <w:szCs w:val="24"/>
        </w:rPr>
      </w:pPr>
      <w:r>
        <w:rPr>
          <w:rFonts w:eastAsia="Calibri" w:cstheme="minorHAnsi"/>
          <w:sz w:val="24"/>
          <w:szCs w:val="24"/>
        </w:rPr>
        <w:t>4.19 NKÚ dále zjistil, že potřeba rekonstrukce chodníků často byla zdůvodňována jejich uvedením do tzv. „normového stavu“</w:t>
      </w:r>
      <w:r>
        <w:rPr>
          <w:rStyle w:val="Znakapoznpodarou"/>
          <w:rFonts w:eastAsia="Calibri" w:cstheme="minorHAnsi"/>
          <w:sz w:val="24"/>
          <w:szCs w:val="24"/>
        </w:rPr>
        <w:footnoteReference w:id="30"/>
      </w:r>
      <w:r>
        <w:rPr>
          <w:rFonts w:eastAsia="Calibri" w:cstheme="minorHAnsi"/>
          <w:sz w:val="24"/>
          <w:szCs w:val="24"/>
        </w:rPr>
        <w:t xml:space="preserve">. Z dokladů, které měly SFDI i MMR při rozhodování </w:t>
      </w:r>
      <w:r w:rsidR="006B5EF6">
        <w:rPr>
          <w:rFonts w:eastAsia="Calibri" w:cstheme="minorHAnsi"/>
          <w:sz w:val="24"/>
          <w:szCs w:val="24"/>
        </w:rPr>
        <w:br/>
      </w:r>
      <w:r>
        <w:rPr>
          <w:rFonts w:eastAsia="Calibri" w:cstheme="minorHAnsi"/>
          <w:sz w:val="24"/>
          <w:szCs w:val="24"/>
        </w:rPr>
        <w:t>o poskytnutí podpory a NKÚ při kontrole k dispozici, ovšem nebylo možno zjistit, nakolik jsou tyto změny významné a zda dosažená kvalitativní změna pro uživatele odpovídá peněžním prostředkům</w:t>
      </w:r>
      <w:r w:rsidRPr="00A57852">
        <w:rPr>
          <w:rFonts w:eastAsia="Calibri" w:cstheme="minorHAnsi"/>
          <w:sz w:val="24"/>
          <w:szCs w:val="24"/>
        </w:rPr>
        <w:t xml:space="preserve"> </w:t>
      </w:r>
      <w:r>
        <w:rPr>
          <w:rFonts w:eastAsia="Calibri" w:cstheme="minorHAnsi"/>
          <w:sz w:val="24"/>
          <w:szCs w:val="24"/>
        </w:rPr>
        <w:t>vynaloženým na její dosažení (viz příklad č. 6).</w:t>
      </w:r>
    </w:p>
    <w:p w:rsidR="009962CB" w:rsidRDefault="009962CB" w:rsidP="009962CB">
      <w:pPr>
        <w:spacing w:after="0" w:line="252" w:lineRule="auto"/>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Příklad č. 6: Neprokázání přínosů projektu</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E3DFD">
        <w:rPr>
          <w:rFonts w:ascii="Calibri" w:hAnsi="Calibri" w:cs="Calibri"/>
          <w:i/>
          <w:color w:val="000000"/>
        </w:rPr>
        <w:t xml:space="preserve">Předmětem projektu č. 8 byla rekonstrukce chodníků ve třech úsecích v blízkosti dopravně zatížené silnice I. třídy procházející obcí a dále rekonstrukce přechodu pro chodce a autobusové zastávky. </w:t>
      </w:r>
      <w:r w:rsidRPr="004E3DFD">
        <w:rPr>
          <w:rFonts w:eastAsia="Calibri" w:cstheme="minorHAnsi"/>
          <w:i/>
        </w:rPr>
        <w:t>Celkové náklady projektu činily 3,</w:t>
      </w:r>
      <w:r w:rsidR="00B76919">
        <w:rPr>
          <w:rFonts w:eastAsia="Calibri" w:cstheme="minorHAnsi"/>
          <w:i/>
        </w:rPr>
        <w:t>67</w:t>
      </w:r>
      <w:r w:rsidR="00B76919" w:rsidRPr="004E3DFD">
        <w:rPr>
          <w:rFonts w:eastAsia="Calibri" w:cstheme="minorHAnsi"/>
          <w:i/>
        </w:rPr>
        <w:t xml:space="preserve"> </w:t>
      </w:r>
      <w:r w:rsidRPr="004E3DFD">
        <w:rPr>
          <w:rFonts w:eastAsia="Calibri" w:cstheme="minorHAnsi"/>
          <w:i/>
        </w:rPr>
        <w:t>mil. Kč, z toho uznatelné náklady 2,</w:t>
      </w:r>
      <w:r w:rsidR="00B76919" w:rsidRPr="004E3DFD">
        <w:rPr>
          <w:rFonts w:eastAsia="Calibri" w:cstheme="minorHAnsi"/>
          <w:i/>
        </w:rPr>
        <w:t>8</w:t>
      </w:r>
      <w:r w:rsidR="00B76919">
        <w:rPr>
          <w:rFonts w:eastAsia="Calibri" w:cstheme="minorHAnsi"/>
          <w:i/>
        </w:rPr>
        <w:t>1</w:t>
      </w:r>
      <w:r w:rsidR="00B76919" w:rsidRPr="004E3DFD">
        <w:rPr>
          <w:rFonts w:eastAsia="Calibri" w:cstheme="minorHAnsi"/>
          <w:i/>
        </w:rPr>
        <w:t xml:space="preserve"> </w:t>
      </w:r>
      <w:r w:rsidRPr="004E3DFD">
        <w:rPr>
          <w:rFonts w:eastAsia="Calibri" w:cstheme="minorHAnsi"/>
          <w:i/>
        </w:rPr>
        <w:t>mil. Kč</w:t>
      </w:r>
      <w:r w:rsidR="00EC465F" w:rsidRPr="00435049">
        <w:rPr>
          <w:rFonts w:eastAsia="Calibri" w:cstheme="minorHAnsi"/>
          <w:i/>
        </w:rPr>
        <w:t>, schválený limitní příspěvek SFDI na ně</w:t>
      </w:r>
      <w:r w:rsidR="00EC465F">
        <w:rPr>
          <w:rFonts w:eastAsia="Calibri" w:cstheme="minorHAnsi"/>
          <w:i/>
        </w:rPr>
        <w:t>j</w:t>
      </w:r>
      <w:r w:rsidR="00EC465F" w:rsidRPr="00435049">
        <w:rPr>
          <w:rFonts w:eastAsia="Calibri" w:cstheme="minorHAnsi"/>
          <w:i/>
        </w:rPr>
        <w:t xml:space="preserve"> činil</w:t>
      </w:r>
      <w:r w:rsidRPr="004E3DFD">
        <w:rPr>
          <w:rFonts w:eastAsia="Calibri" w:cstheme="minorHAnsi"/>
          <w:i/>
        </w:rPr>
        <w:t xml:space="preserve"> cca 2,</w:t>
      </w:r>
      <w:r w:rsidR="00B76919">
        <w:rPr>
          <w:rFonts w:eastAsia="Calibri" w:cstheme="minorHAnsi"/>
          <w:i/>
        </w:rPr>
        <w:t>35</w:t>
      </w:r>
      <w:r w:rsidR="00B76919" w:rsidRPr="004E3DFD">
        <w:rPr>
          <w:rFonts w:eastAsia="Calibri" w:cstheme="minorHAnsi"/>
          <w:i/>
        </w:rPr>
        <w:t xml:space="preserve"> </w:t>
      </w:r>
      <w:r w:rsidRPr="004E3DFD">
        <w:rPr>
          <w:rFonts w:eastAsia="Calibri" w:cstheme="minorHAnsi"/>
          <w:i/>
        </w:rPr>
        <w:t xml:space="preserve">mil. Kč (cca </w:t>
      </w:r>
      <w:r w:rsidR="00B76919" w:rsidRPr="004E3DFD">
        <w:rPr>
          <w:rFonts w:eastAsia="Calibri" w:cstheme="minorHAnsi"/>
          <w:i/>
        </w:rPr>
        <w:t>8</w:t>
      </w:r>
      <w:r w:rsidR="00B76919">
        <w:rPr>
          <w:rFonts w:eastAsia="Calibri" w:cstheme="minorHAnsi"/>
          <w:i/>
        </w:rPr>
        <w:t>3,6</w:t>
      </w:r>
      <w:r w:rsidR="00B76919" w:rsidRPr="004E3DFD">
        <w:rPr>
          <w:rFonts w:eastAsia="Calibri" w:cstheme="minorHAnsi"/>
          <w:i/>
        </w:rPr>
        <w:t xml:space="preserve"> </w:t>
      </w:r>
      <w:r w:rsidRPr="004E3DFD">
        <w:rPr>
          <w:rFonts w:eastAsia="Calibri" w:cstheme="minorHAnsi"/>
          <w:i/>
        </w:rPr>
        <w:t>% uznatelných nákladů).</w:t>
      </w:r>
    </w:p>
    <w:p w:rsidR="009962CB" w:rsidRPr="005223D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9962CB" w:rsidRPr="005223D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r w:rsidRPr="005223DD">
        <w:rPr>
          <w:rFonts w:cstheme="minorHAnsi"/>
          <w:i/>
        </w:rPr>
        <w:t>Rekonstrukce přinesla zlepšení stavu předmětných úseků chodníků, ale bezpečnost chodců významně nezvýšila. Bezpečné oddělení chodců od ostatního dopravního provozu zajišťovaly již původní chodníky a jejich rekonstrukce v tomto nepřinesla žádnou změnu. Rekonstrukce zlepšila povrch chodníků a dále zajistila provedení některých stavebních úprav (mj. zkrácení a mírné rozšíření přechodu pro chodce, úpravy nástupní hrany a nástupiště autobusové zastávky, doplnění některých bezbariérových úprav).</w:t>
      </w:r>
    </w:p>
    <w:p w:rsidR="009962CB" w:rsidRPr="005223D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9962CB" w:rsidRPr="002A75B4"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eastAsiaTheme="minorHAnsi" w:hAnsiTheme="minorHAnsi" w:cstheme="minorHAnsi"/>
          <w:bCs/>
          <w:i/>
          <w:color w:val="auto"/>
          <w:sz w:val="22"/>
          <w:szCs w:val="22"/>
          <w:lang w:eastAsia="en-US"/>
        </w:rPr>
      </w:pPr>
      <w:r w:rsidRPr="005223DD">
        <w:rPr>
          <w:rFonts w:asciiTheme="minorHAnsi" w:hAnsiTheme="minorHAnsi" w:cstheme="minorHAnsi"/>
          <w:i/>
          <w:sz w:val="22"/>
          <w:szCs w:val="22"/>
        </w:rPr>
        <w:t xml:space="preserve">Z popisu stavu a závad původních chodníků (nezajištění rovinatosti krytu, místy rozvolněné spáry dlažby, nezajištění příčného sklonu chodníku, rozlámané okraje a další lokální poruchy) ani z obrazové dokumentace nevyplývá, že by původní stav chodníků bránil jejich běžnému užívání. Nezbytnost obnovy a modernizace chodníků s jejich uvedením do „normového stavu“ pro zajištění bezpečného </w:t>
      </w:r>
      <w:r w:rsidR="006B5EF6">
        <w:rPr>
          <w:rFonts w:asciiTheme="minorHAnsi" w:hAnsiTheme="minorHAnsi" w:cstheme="minorHAnsi"/>
          <w:i/>
          <w:sz w:val="22"/>
          <w:szCs w:val="22"/>
        </w:rPr>
        <w:br/>
      </w:r>
      <w:r w:rsidRPr="005223DD">
        <w:rPr>
          <w:rFonts w:asciiTheme="minorHAnsi" w:hAnsiTheme="minorHAnsi" w:cstheme="minorHAnsi"/>
          <w:i/>
          <w:sz w:val="22"/>
          <w:szCs w:val="22"/>
        </w:rPr>
        <w:t xml:space="preserve">a bezbariérového pohybu chodců v celém provedeném rozsahu s podporou státu nebyla prokázána. </w:t>
      </w:r>
      <w:r w:rsidRPr="005223DD">
        <w:rPr>
          <w:rFonts w:asciiTheme="minorHAnsi" w:eastAsiaTheme="minorHAnsi" w:hAnsiTheme="minorHAnsi" w:cstheme="minorHAnsi"/>
          <w:bCs/>
          <w:i/>
          <w:color w:val="auto"/>
          <w:sz w:val="22"/>
          <w:szCs w:val="22"/>
          <w:lang w:eastAsia="en-US"/>
        </w:rPr>
        <w:t>Proto NKÚ vyhodnotil vynaložení prostředků na tento projekt jako účelné jen omezeně.</w:t>
      </w:r>
    </w:p>
    <w:p w:rsidR="009962CB" w:rsidRPr="005223D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color w:val="000000"/>
          <w:sz w:val="12"/>
          <w:szCs w:val="12"/>
        </w:rPr>
      </w:pP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E3DFD">
        <w:rPr>
          <w:rFonts w:ascii="Calibri" w:hAnsi="Calibri" w:cs="Calibri"/>
          <w:i/>
          <w:color w:val="000000"/>
        </w:rPr>
        <w:t>Projekt byl realizován v</w:t>
      </w:r>
      <w:r w:rsidR="00CA30D7">
        <w:rPr>
          <w:rFonts w:ascii="Calibri" w:hAnsi="Calibri" w:cs="Calibri"/>
          <w:i/>
          <w:color w:val="000000"/>
        </w:rPr>
        <w:t xml:space="preserve"> </w:t>
      </w:r>
      <w:r w:rsidRPr="004E3DFD">
        <w:rPr>
          <w:rFonts w:ascii="Calibri" w:hAnsi="Calibri" w:cs="Calibri"/>
          <w:i/>
          <w:color w:val="000000"/>
        </w:rPr>
        <w:t xml:space="preserve">roce 2020. </w:t>
      </w:r>
      <w:r w:rsidR="00C431DE">
        <w:rPr>
          <w:rFonts w:ascii="Calibri" w:hAnsi="Calibri" w:cs="Calibri"/>
          <w:i/>
          <w:color w:val="000000"/>
        </w:rPr>
        <w:t>V</w:t>
      </w:r>
      <w:r w:rsidR="00CA30D7">
        <w:rPr>
          <w:rFonts w:ascii="Calibri" w:hAnsi="Calibri" w:cs="Calibri"/>
          <w:i/>
          <w:color w:val="000000"/>
        </w:rPr>
        <w:t xml:space="preserve"> </w:t>
      </w:r>
      <w:r w:rsidRPr="004E3DFD">
        <w:rPr>
          <w:rFonts w:ascii="Calibri" w:hAnsi="Calibri" w:cs="Calibri"/>
          <w:i/>
          <w:color w:val="000000"/>
        </w:rPr>
        <w:t xml:space="preserve">době ukončení kontroly NKÚ nebyl </w:t>
      </w:r>
      <w:r w:rsidR="00C431DE">
        <w:rPr>
          <w:rFonts w:ascii="Calibri" w:hAnsi="Calibri" w:cs="Calibri"/>
          <w:i/>
          <w:color w:val="000000"/>
        </w:rPr>
        <w:t xml:space="preserve">vyhodnocen </w:t>
      </w:r>
      <w:r w:rsidRPr="004E3DFD">
        <w:rPr>
          <w:rFonts w:ascii="Calibri" w:hAnsi="Calibri" w:cs="Calibri"/>
          <w:i/>
          <w:color w:val="000000"/>
        </w:rPr>
        <w:t xml:space="preserve">z </w:t>
      </w:r>
      <w:r w:rsidRPr="004E3DFD">
        <w:rPr>
          <w:rFonts w:cstheme="minorHAnsi"/>
          <w:i/>
        </w:rPr>
        <w:t xml:space="preserve">důvodu nevypořádání </w:t>
      </w:r>
      <w:r w:rsidR="00C431DE" w:rsidRPr="004E3DFD">
        <w:rPr>
          <w:rFonts w:cstheme="minorHAnsi"/>
          <w:i/>
        </w:rPr>
        <w:t>majetkoprávní</w:t>
      </w:r>
      <w:r w:rsidR="00C431DE">
        <w:rPr>
          <w:rFonts w:cstheme="minorHAnsi"/>
          <w:i/>
        </w:rPr>
        <w:t>ch vztahů k</w:t>
      </w:r>
      <w:r w:rsidR="00C431DE" w:rsidRPr="004E3DFD">
        <w:rPr>
          <w:rFonts w:cstheme="minorHAnsi"/>
          <w:i/>
        </w:rPr>
        <w:t xml:space="preserve"> </w:t>
      </w:r>
      <w:r w:rsidRPr="004E3DFD">
        <w:rPr>
          <w:rFonts w:cstheme="minorHAnsi"/>
          <w:i/>
        </w:rPr>
        <w:t>pozemků</w:t>
      </w:r>
      <w:r w:rsidR="00C431DE">
        <w:rPr>
          <w:rFonts w:cstheme="minorHAnsi"/>
          <w:i/>
        </w:rPr>
        <w:t>m</w:t>
      </w:r>
      <w:r w:rsidRPr="004E3DFD">
        <w:rPr>
          <w:rFonts w:cstheme="minorHAnsi"/>
          <w:i/>
        </w:rPr>
        <w:t xml:space="preserve"> s krajem. </w:t>
      </w:r>
      <w:r w:rsidRPr="004E3DFD">
        <w:rPr>
          <w:rFonts w:eastAsia="Calibri" w:cstheme="minorHAnsi"/>
          <w:i/>
        </w:rPr>
        <w:t>Na základě žádostí příjemce podpory mu SFDI lhůtu pro předložení závěrečného vyhodnocení akce celkem 5</w:t>
      </w:r>
      <w:r w:rsidR="00CA30D7">
        <w:rPr>
          <w:rFonts w:eastAsia="Calibri" w:cstheme="minorHAnsi"/>
          <w:i/>
        </w:rPr>
        <w:t>×</w:t>
      </w:r>
      <w:r w:rsidRPr="004E3DFD">
        <w:rPr>
          <w:rFonts w:eastAsia="Calibri" w:cstheme="minorHAnsi"/>
          <w:i/>
        </w:rPr>
        <w:t xml:space="preserve"> prodloužil.</w:t>
      </w: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rPr>
          <w:rFonts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rPr>
          <w:rFonts w:cstheme="minorHAnsi"/>
          <w:i/>
        </w:rPr>
      </w:pPr>
    </w:p>
    <w:p w:rsidR="00116942"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rPr>
          <w:rFonts w:cstheme="minorHAnsi"/>
          <w:i/>
        </w:rPr>
      </w:pPr>
    </w:p>
    <w:p w:rsidR="00116942" w:rsidRPr="004E3DFD" w:rsidRDefault="00116942" w:rsidP="009962CB">
      <w:pPr>
        <w:pBdr>
          <w:top w:val="single" w:sz="4" w:space="1" w:color="auto"/>
          <w:left w:val="single" w:sz="4" w:space="4" w:color="auto"/>
          <w:bottom w:val="single" w:sz="4" w:space="1" w:color="auto"/>
          <w:right w:val="single" w:sz="4" w:space="4" w:color="auto"/>
        </w:pBdr>
        <w:spacing w:after="0" w:line="252" w:lineRule="auto"/>
        <w:contextualSpacing/>
        <w:rPr>
          <w:rFonts w:cstheme="minorHAnsi"/>
          <w:i/>
        </w:rPr>
      </w:pPr>
    </w:p>
    <w:p w:rsidR="009962CB" w:rsidRPr="004E3DFD"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
        </w:rPr>
      </w:pPr>
      <w:r w:rsidRPr="004E3DFD">
        <w:rPr>
          <w:rFonts w:cstheme="minorHAnsi"/>
          <w:b/>
          <w:i/>
        </w:rPr>
        <w:lastRenderedPageBreak/>
        <w:t>Před rekonstrukcí</w:t>
      </w:r>
      <w:r w:rsidRPr="004E3DFD">
        <w:rPr>
          <w:rFonts w:cstheme="minorHAnsi"/>
          <w:i/>
        </w:rPr>
        <w:tab/>
      </w:r>
      <w:r w:rsidRPr="004E3DFD">
        <w:rPr>
          <w:rFonts w:cstheme="minorHAnsi"/>
          <w:b/>
          <w:i/>
        </w:rPr>
        <w:t>Po rekonstrukci</w:t>
      </w:r>
    </w:p>
    <w:p w:rsidR="009962CB" w:rsidRPr="009B0137"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sz w:val="24"/>
          <w:szCs w:val="24"/>
        </w:rPr>
      </w:pPr>
      <w:r w:rsidRPr="009B0137">
        <w:rPr>
          <w:rFonts w:cstheme="minorHAnsi"/>
          <w:noProof/>
          <w:sz w:val="24"/>
          <w:szCs w:val="24"/>
        </w:rPr>
        <w:drawing>
          <wp:inline distT="0" distB="0" distL="0" distR="0" wp14:anchorId="5AF82892" wp14:editId="7D395947">
            <wp:extent cx="2700000" cy="2024256"/>
            <wp:effectExtent l="19050" t="19050" r="24765" b="1460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0000" cy="2024256"/>
                    </a:xfrm>
                    <a:prstGeom prst="rect">
                      <a:avLst/>
                    </a:prstGeom>
                    <a:noFill/>
                    <a:ln w="6350">
                      <a:solidFill>
                        <a:schemeClr val="tx1"/>
                      </a:solidFill>
                    </a:ln>
                  </pic:spPr>
                </pic:pic>
              </a:graphicData>
            </a:graphic>
          </wp:inline>
        </w:drawing>
      </w:r>
      <w:r w:rsidRPr="009B0137">
        <w:rPr>
          <w:rFonts w:cstheme="minorHAnsi"/>
          <w:sz w:val="24"/>
          <w:szCs w:val="24"/>
        </w:rPr>
        <w:t xml:space="preserve"> </w:t>
      </w:r>
      <w:r w:rsidR="00CA6D0B">
        <w:rPr>
          <w:rFonts w:cstheme="minorHAnsi"/>
          <w:sz w:val="24"/>
          <w:szCs w:val="24"/>
        </w:rPr>
        <w:tab/>
      </w:r>
      <w:r w:rsidRPr="009B0137">
        <w:rPr>
          <w:rFonts w:cstheme="minorHAnsi"/>
          <w:noProof/>
          <w:sz w:val="24"/>
          <w:szCs w:val="24"/>
        </w:rPr>
        <w:drawing>
          <wp:inline distT="0" distB="0" distL="0" distR="0" wp14:anchorId="1C22FCBF" wp14:editId="0546D9EC">
            <wp:extent cx="2700000" cy="2024179"/>
            <wp:effectExtent l="19050" t="19050" r="24765" b="14605"/>
            <wp:docPr id="12" name="Obrázek 12" descr="C:\Users\LOCAL_~1\Temp\vmware-BUKAC-2866414532\VMwareDnD\horizon_11580-c4345eee\Sezemice1 fot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CAL_~1\Temp\vmware-BUKAC-2866414532\VMwareDnD\horizon_11580-c4345eee\Sezemice1 foto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0000" cy="2024179"/>
                    </a:xfrm>
                    <a:prstGeom prst="rect">
                      <a:avLst/>
                    </a:prstGeom>
                    <a:noFill/>
                    <a:ln w="6350">
                      <a:solidFill>
                        <a:schemeClr val="tx1"/>
                      </a:solidFill>
                    </a:ln>
                  </pic:spPr>
                </pic:pic>
              </a:graphicData>
            </a:graphic>
          </wp:inline>
        </w:drawing>
      </w:r>
    </w:p>
    <w:p w:rsidR="009962CB" w:rsidRPr="000B29CF"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Cs/>
        </w:rPr>
      </w:pPr>
      <w:r w:rsidRPr="000B29CF">
        <w:rPr>
          <w:rFonts w:cstheme="minorHAnsi"/>
          <w:b/>
          <w:bCs/>
          <w:iCs/>
        </w:rPr>
        <w:t>Zdroj:</w:t>
      </w:r>
      <w:r w:rsidRPr="000B29CF">
        <w:rPr>
          <w:rFonts w:cstheme="minorHAnsi"/>
          <w:iCs/>
        </w:rPr>
        <w:t xml:space="preserve"> </w:t>
      </w:r>
      <w:r w:rsidR="00CA30D7">
        <w:rPr>
          <w:rFonts w:cstheme="minorHAnsi"/>
          <w:iCs/>
        </w:rPr>
        <w:t>ž</w:t>
      </w:r>
      <w:r w:rsidRPr="000B29CF">
        <w:rPr>
          <w:rFonts w:cstheme="minorHAnsi"/>
          <w:iCs/>
        </w:rPr>
        <w:t>ádost o podporu</w:t>
      </w:r>
      <w:r w:rsidR="00CA30D7">
        <w:rPr>
          <w:rFonts w:cstheme="minorHAnsi"/>
          <w:iCs/>
        </w:rPr>
        <w:t>.</w:t>
      </w:r>
      <w:r w:rsidRPr="000B29CF">
        <w:rPr>
          <w:rFonts w:cstheme="minorHAnsi"/>
          <w:iCs/>
        </w:rPr>
        <w:tab/>
      </w:r>
      <w:r w:rsidRPr="000B29CF">
        <w:rPr>
          <w:rFonts w:cstheme="minorHAnsi"/>
          <w:b/>
          <w:bCs/>
          <w:iCs/>
        </w:rPr>
        <w:t>Zdroj:</w:t>
      </w:r>
      <w:r w:rsidRPr="000B29CF">
        <w:rPr>
          <w:rFonts w:cstheme="minorHAnsi"/>
          <w:iCs/>
        </w:rPr>
        <w:t xml:space="preserve"> </w:t>
      </w:r>
      <w:r w:rsidR="00CA30D7">
        <w:rPr>
          <w:rFonts w:cstheme="minorHAnsi"/>
          <w:iCs/>
        </w:rPr>
        <w:t>k</w:t>
      </w:r>
      <w:r w:rsidR="00AA7239" w:rsidRPr="000B29CF">
        <w:rPr>
          <w:rFonts w:cstheme="minorHAnsi"/>
          <w:iCs/>
        </w:rPr>
        <w:t xml:space="preserve">ontrola </w:t>
      </w:r>
      <w:r w:rsidRPr="000B29CF">
        <w:rPr>
          <w:rFonts w:cstheme="minorHAnsi"/>
          <w:iCs/>
        </w:rPr>
        <w:t>NKÚ</w:t>
      </w:r>
      <w:r w:rsidR="00AA7239" w:rsidRPr="000B29CF">
        <w:rPr>
          <w:rFonts w:cstheme="minorHAnsi"/>
          <w:iCs/>
        </w:rPr>
        <w:t xml:space="preserve"> na místě</w:t>
      </w:r>
      <w:r w:rsidR="00CA30D7">
        <w:rPr>
          <w:rFonts w:cstheme="minorHAnsi"/>
          <w:iCs/>
        </w:rPr>
        <w:t>.</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rPr>
          <w:rFonts w:cstheme="minorHAnsi"/>
          <w:i/>
        </w:rPr>
      </w:pPr>
    </w:p>
    <w:p w:rsidR="009962CB" w:rsidRPr="004E3DFD"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
        </w:rPr>
      </w:pPr>
      <w:r w:rsidRPr="004E3DFD">
        <w:rPr>
          <w:rFonts w:cstheme="minorHAnsi"/>
          <w:b/>
          <w:i/>
        </w:rPr>
        <w:t>Před rekonstrukcí</w:t>
      </w:r>
      <w:r w:rsidRPr="004E3DFD">
        <w:rPr>
          <w:rFonts w:cstheme="minorHAnsi"/>
          <w:i/>
        </w:rPr>
        <w:tab/>
      </w:r>
      <w:r w:rsidRPr="004E3DFD">
        <w:rPr>
          <w:rFonts w:cstheme="minorHAnsi"/>
          <w:b/>
          <w:i/>
        </w:rPr>
        <w:t>Po rekonstrukci</w:t>
      </w:r>
    </w:p>
    <w:p w:rsidR="009962CB" w:rsidRPr="009B0137"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sz w:val="24"/>
          <w:szCs w:val="24"/>
        </w:rPr>
      </w:pPr>
      <w:r w:rsidRPr="009B0137">
        <w:rPr>
          <w:rFonts w:cstheme="minorHAnsi"/>
          <w:noProof/>
          <w:sz w:val="24"/>
          <w:szCs w:val="24"/>
        </w:rPr>
        <w:drawing>
          <wp:inline distT="0" distB="0" distL="0" distR="0" wp14:anchorId="0A22DE7F" wp14:editId="76BE649B">
            <wp:extent cx="2700000" cy="2024256"/>
            <wp:effectExtent l="19050" t="19050" r="24765" b="1460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0000" cy="2024256"/>
                    </a:xfrm>
                    <a:prstGeom prst="rect">
                      <a:avLst/>
                    </a:prstGeom>
                    <a:noFill/>
                    <a:ln w="6350">
                      <a:solidFill>
                        <a:schemeClr val="tx1"/>
                      </a:solidFill>
                    </a:ln>
                  </pic:spPr>
                </pic:pic>
              </a:graphicData>
            </a:graphic>
          </wp:inline>
        </w:drawing>
      </w:r>
      <w:r>
        <w:rPr>
          <w:rFonts w:cstheme="minorHAnsi"/>
          <w:noProof/>
          <w:sz w:val="24"/>
          <w:szCs w:val="24"/>
        </w:rPr>
        <w:t xml:space="preserve"> </w:t>
      </w:r>
      <w:r w:rsidR="00CA6D0B">
        <w:rPr>
          <w:rFonts w:cstheme="minorHAnsi"/>
          <w:noProof/>
          <w:sz w:val="24"/>
          <w:szCs w:val="24"/>
        </w:rPr>
        <w:tab/>
      </w:r>
      <w:r w:rsidRPr="009B0137">
        <w:rPr>
          <w:rFonts w:cstheme="minorHAnsi"/>
          <w:noProof/>
          <w:sz w:val="24"/>
          <w:szCs w:val="24"/>
        </w:rPr>
        <w:drawing>
          <wp:inline distT="0" distB="0" distL="0" distR="0" wp14:anchorId="0126908A" wp14:editId="3F83A5EC">
            <wp:extent cx="2700000" cy="2024320"/>
            <wp:effectExtent l="19050" t="19050" r="24765" b="14605"/>
            <wp:docPr id="14" name="Obrázek 14" descr="C:\Users\LOCAL_~1\Temp\vmware-BUKAC-2866414532\VMwareDnD\horizon_11580-57bcea9d\Sezemice1 f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L_~1\Temp\vmware-BUKAC-2866414532\VMwareDnD\horizon_11580-57bcea9d\Sezemice1 foto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0000" cy="2024320"/>
                    </a:xfrm>
                    <a:prstGeom prst="rect">
                      <a:avLst/>
                    </a:prstGeom>
                    <a:noFill/>
                    <a:ln w="6350">
                      <a:solidFill>
                        <a:schemeClr val="tx1"/>
                      </a:solidFill>
                    </a:ln>
                  </pic:spPr>
                </pic:pic>
              </a:graphicData>
            </a:graphic>
          </wp:inline>
        </w:drawing>
      </w:r>
    </w:p>
    <w:p w:rsidR="009962CB" w:rsidRPr="000B29CF"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Cs/>
        </w:rPr>
      </w:pPr>
      <w:r w:rsidRPr="000B29CF">
        <w:rPr>
          <w:rFonts w:cstheme="minorHAnsi"/>
          <w:b/>
          <w:bCs/>
          <w:iCs/>
        </w:rPr>
        <w:t>Zdroj:</w:t>
      </w:r>
      <w:r w:rsidRPr="000B29CF">
        <w:rPr>
          <w:rFonts w:cstheme="minorHAnsi"/>
          <w:iCs/>
        </w:rPr>
        <w:t xml:space="preserve"> </w:t>
      </w:r>
      <w:r w:rsidR="00CA30D7">
        <w:rPr>
          <w:rFonts w:cstheme="minorHAnsi"/>
          <w:iCs/>
        </w:rPr>
        <w:t>ž</w:t>
      </w:r>
      <w:r w:rsidRPr="000B29CF">
        <w:rPr>
          <w:rFonts w:cstheme="minorHAnsi"/>
          <w:iCs/>
        </w:rPr>
        <w:t>ádost o podporu</w:t>
      </w:r>
      <w:r w:rsidR="00CA30D7">
        <w:rPr>
          <w:rFonts w:cstheme="minorHAnsi"/>
          <w:iCs/>
        </w:rPr>
        <w:t>.</w:t>
      </w:r>
      <w:r w:rsidRPr="000B29CF">
        <w:rPr>
          <w:rFonts w:cstheme="minorHAnsi"/>
          <w:iCs/>
        </w:rPr>
        <w:tab/>
      </w:r>
      <w:r w:rsidRPr="000B29CF">
        <w:rPr>
          <w:rFonts w:cstheme="minorHAnsi"/>
          <w:b/>
          <w:bCs/>
          <w:iCs/>
        </w:rPr>
        <w:t>Zdroj:</w:t>
      </w:r>
      <w:r w:rsidRPr="000B29CF">
        <w:rPr>
          <w:rFonts w:cstheme="minorHAnsi"/>
          <w:iCs/>
        </w:rPr>
        <w:t xml:space="preserve"> </w:t>
      </w:r>
      <w:r w:rsidR="00CA30D7">
        <w:rPr>
          <w:rFonts w:cstheme="minorHAnsi"/>
          <w:iCs/>
        </w:rPr>
        <w:t>k</w:t>
      </w:r>
      <w:r w:rsidR="00AA7239" w:rsidRPr="000B29CF">
        <w:rPr>
          <w:rFonts w:cstheme="minorHAnsi"/>
          <w:iCs/>
        </w:rPr>
        <w:t>ontrola</w:t>
      </w:r>
      <w:r w:rsidRPr="000B29CF">
        <w:rPr>
          <w:rFonts w:cstheme="minorHAnsi"/>
          <w:iCs/>
        </w:rPr>
        <w:t xml:space="preserve"> NKÚ</w:t>
      </w:r>
      <w:r w:rsidR="00AA7239" w:rsidRPr="000B29CF">
        <w:rPr>
          <w:rFonts w:cstheme="minorHAnsi"/>
          <w:iCs/>
        </w:rPr>
        <w:t xml:space="preserve"> na místě</w:t>
      </w:r>
      <w:r w:rsidR="00CA30D7">
        <w:rPr>
          <w:rFonts w:cstheme="minorHAnsi"/>
          <w:iCs/>
        </w:rPr>
        <w:t>.</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rPr>
          <w:rFonts w:cstheme="minorHAnsi"/>
          <w:i/>
        </w:rPr>
      </w:pPr>
    </w:p>
    <w:p w:rsidR="009962CB" w:rsidRPr="004E3DFD" w:rsidRDefault="009962CB" w:rsidP="00CA6D0B">
      <w:pPr>
        <w:pBdr>
          <w:top w:val="single" w:sz="4" w:space="1" w:color="auto"/>
          <w:left w:val="single" w:sz="4" w:space="4" w:color="auto"/>
          <w:bottom w:val="single" w:sz="4" w:space="1" w:color="auto"/>
          <w:right w:val="single" w:sz="4" w:space="4" w:color="auto"/>
        </w:pBdr>
        <w:tabs>
          <w:tab w:val="left" w:pos="4678"/>
        </w:tabs>
        <w:spacing w:after="0" w:line="252" w:lineRule="auto"/>
        <w:contextualSpacing/>
        <w:rPr>
          <w:rFonts w:cstheme="minorHAnsi"/>
          <w:i/>
        </w:rPr>
      </w:pPr>
      <w:r w:rsidRPr="004E3DFD">
        <w:rPr>
          <w:rFonts w:cstheme="minorHAnsi"/>
          <w:b/>
          <w:i/>
        </w:rPr>
        <w:t>Před rekonstrukcí</w:t>
      </w:r>
      <w:r w:rsidRPr="004E3DFD">
        <w:rPr>
          <w:rFonts w:cstheme="minorHAnsi"/>
          <w:i/>
        </w:rPr>
        <w:tab/>
      </w:r>
      <w:r w:rsidRPr="004E3DFD">
        <w:rPr>
          <w:rFonts w:cstheme="minorHAnsi"/>
          <w:b/>
          <w:i/>
        </w:rPr>
        <w:t>Po rekonstrukci</w:t>
      </w:r>
    </w:p>
    <w:p w:rsidR="009962CB" w:rsidRDefault="009962CB" w:rsidP="00CA6D0B">
      <w:pPr>
        <w:pStyle w:val="Odstavecseseznamem"/>
        <w:pBdr>
          <w:top w:val="single" w:sz="4" w:space="1" w:color="auto"/>
          <w:left w:val="single" w:sz="4" w:space="4" w:color="auto"/>
          <w:bottom w:val="single" w:sz="4" w:space="1" w:color="auto"/>
          <w:right w:val="single" w:sz="4" w:space="4" w:color="auto"/>
        </w:pBdr>
        <w:tabs>
          <w:tab w:val="left" w:pos="4678"/>
        </w:tabs>
        <w:spacing w:after="0" w:line="252" w:lineRule="auto"/>
        <w:ind w:left="0"/>
        <w:jc w:val="both"/>
        <w:rPr>
          <w:rFonts w:cstheme="minorHAnsi"/>
          <w:sz w:val="24"/>
          <w:szCs w:val="24"/>
        </w:rPr>
      </w:pPr>
      <w:r>
        <w:rPr>
          <w:noProof/>
        </w:rPr>
        <w:drawing>
          <wp:inline distT="0" distB="0" distL="0" distR="0" wp14:anchorId="38811385" wp14:editId="4AD6B0E1">
            <wp:extent cx="2700000" cy="2024069"/>
            <wp:effectExtent l="19050" t="19050" r="24765" b="1460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0000" cy="2024069"/>
                    </a:xfrm>
                    <a:prstGeom prst="rect">
                      <a:avLst/>
                    </a:prstGeom>
                    <a:noFill/>
                    <a:ln w="6350">
                      <a:solidFill>
                        <a:schemeClr val="tx1"/>
                      </a:solidFill>
                    </a:ln>
                  </pic:spPr>
                </pic:pic>
              </a:graphicData>
            </a:graphic>
          </wp:inline>
        </w:drawing>
      </w:r>
      <w:r>
        <w:rPr>
          <w:rFonts w:cstheme="minorHAnsi"/>
          <w:sz w:val="24"/>
          <w:szCs w:val="24"/>
        </w:rPr>
        <w:t xml:space="preserve"> </w:t>
      </w:r>
      <w:r w:rsidR="00CA6D0B">
        <w:rPr>
          <w:rFonts w:cstheme="minorHAnsi"/>
          <w:sz w:val="24"/>
          <w:szCs w:val="24"/>
        </w:rPr>
        <w:tab/>
      </w:r>
      <w:r>
        <w:rPr>
          <w:noProof/>
        </w:rPr>
        <w:drawing>
          <wp:inline distT="0" distB="0" distL="0" distR="0" wp14:anchorId="294C803B" wp14:editId="76E01EC3">
            <wp:extent cx="2700000" cy="2026486"/>
            <wp:effectExtent l="19050" t="19050" r="24765" b="1206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0000" cy="2026486"/>
                    </a:xfrm>
                    <a:prstGeom prst="rect">
                      <a:avLst/>
                    </a:prstGeom>
                    <a:noFill/>
                    <a:ln w="6350">
                      <a:solidFill>
                        <a:schemeClr val="tx1"/>
                      </a:solidFill>
                    </a:ln>
                  </pic:spPr>
                </pic:pic>
              </a:graphicData>
            </a:graphic>
          </wp:inline>
        </w:drawing>
      </w:r>
    </w:p>
    <w:p w:rsidR="009962CB" w:rsidRPr="000B29CF" w:rsidRDefault="009962CB" w:rsidP="00CA6D0B">
      <w:pPr>
        <w:pStyle w:val="Odstavecseseznamem"/>
        <w:pBdr>
          <w:top w:val="single" w:sz="4" w:space="1" w:color="auto"/>
          <w:left w:val="single" w:sz="4" w:space="4" w:color="auto"/>
          <w:bottom w:val="single" w:sz="4" w:space="1" w:color="auto"/>
          <w:right w:val="single" w:sz="4" w:space="4" w:color="auto"/>
        </w:pBdr>
        <w:tabs>
          <w:tab w:val="left" w:pos="4678"/>
        </w:tabs>
        <w:spacing w:after="0" w:line="252" w:lineRule="auto"/>
        <w:ind w:left="0"/>
        <w:jc w:val="both"/>
        <w:rPr>
          <w:rFonts w:cstheme="minorHAnsi"/>
          <w:iCs/>
        </w:rPr>
      </w:pPr>
      <w:r w:rsidRPr="000B29CF">
        <w:rPr>
          <w:rFonts w:cstheme="minorHAnsi"/>
          <w:b/>
          <w:bCs/>
          <w:iCs/>
        </w:rPr>
        <w:t>Zdroj:</w:t>
      </w:r>
      <w:r w:rsidRPr="000B29CF">
        <w:rPr>
          <w:rFonts w:cstheme="minorHAnsi"/>
          <w:iCs/>
        </w:rPr>
        <w:t xml:space="preserve"> </w:t>
      </w:r>
      <w:hyperlink r:id="rId35" w:history="1">
        <w:r w:rsidRPr="000B29CF">
          <w:rPr>
            <w:rStyle w:val="Hypertextovodkaz"/>
            <w:rFonts w:cstheme="minorHAnsi"/>
            <w:iCs/>
          </w:rPr>
          <w:t>www.mapy.cz</w:t>
        </w:r>
      </w:hyperlink>
      <w:r w:rsidRPr="000B29CF">
        <w:rPr>
          <w:rFonts w:cstheme="minorHAnsi"/>
          <w:iCs/>
        </w:rPr>
        <w:t xml:space="preserve"> (stav k 24. 4. 2019)</w:t>
      </w:r>
      <w:r w:rsidR="00CA30D7">
        <w:rPr>
          <w:rFonts w:cstheme="minorHAnsi"/>
          <w:iCs/>
        </w:rPr>
        <w:t>.</w:t>
      </w:r>
      <w:r w:rsidRPr="000B29CF">
        <w:rPr>
          <w:rFonts w:cstheme="minorHAnsi"/>
          <w:iCs/>
        </w:rPr>
        <w:tab/>
      </w:r>
      <w:r w:rsidRPr="000B29CF">
        <w:rPr>
          <w:rFonts w:cstheme="minorHAnsi"/>
          <w:b/>
          <w:bCs/>
          <w:iCs/>
        </w:rPr>
        <w:t>Zdroj:</w:t>
      </w:r>
      <w:r w:rsidRPr="000B29CF">
        <w:rPr>
          <w:rFonts w:cstheme="minorHAnsi"/>
          <w:iCs/>
        </w:rPr>
        <w:t xml:space="preserve"> </w:t>
      </w:r>
      <w:hyperlink r:id="rId36" w:history="1">
        <w:r w:rsidRPr="000B29CF">
          <w:rPr>
            <w:rStyle w:val="Hypertextovodkaz"/>
            <w:rFonts w:cstheme="minorHAnsi"/>
            <w:iCs/>
          </w:rPr>
          <w:t>www.mapy.cz</w:t>
        </w:r>
      </w:hyperlink>
      <w:r w:rsidRPr="000B29CF">
        <w:rPr>
          <w:rFonts w:cstheme="minorHAnsi"/>
          <w:iCs/>
        </w:rPr>
        <w:t xml:space="preserve"> (stav k 3. 8. 2022)</w:t>
      </w:r>
      <w:r w:rsidR="00CA30D7">
        <w:rPr>
          <w:rFonts w:cstheme="minorHAnsi"/>
          <w:iCs/>
        </w:rPr>
        <w:t>.</w:t>
      </w:r>
    </w:p>
    <w:p w:rsidR="009962CB" w:rsidRDefault="009962CB" w:rsidP="009962CB">
      <w:pPr>
        <w:spacing w:after="0" w:line="252" w:lineRule="auto"/>
        <w:contextualSpacing/>
        <w:rPr>
          <w:rFonts w:eastAsia="Calibri" w:cstheme="minorHAnsi"/>
          <w:b/>
          <w:i/>
          <w:color w:val="4472C4" w:themeColor="accent5"/>
          <w:sz w:val="24"/>
          <w:szCs w:val="24"/>
        </w:rPr>
      </w:pPr>
    </w:p>
    <w:p w:rsidR="00046384" w:rsidRDefault="00046384" w:rsidP="009962CB">
      <w:pPr>
        <w:spacing w:after="0" w:line="252" w:lineRule="auto"/>
        <w:contextualSpacing/>
        <w:rPr>
          <w:rFonts w:eastAsia="Calibri" w:cstheme="minorHAnsi"/>
          <w:b/>
          <w:i/>
          <w:color w:val="4472C4" w:themeColor="accent5"/>
          <w:sz w:val="24"/>
          <w:szCs w:val="24"/>
        </w:rPr>
      </w:pPr>
    </w:p>
    <w:p w:rsidR="00116942" w:rsidRDefault="00116942" w:rsidP="009962CB">
      <w:pPr>
        <w:spacing w:after="0" w:line="252" w:lineRule="auto"/>
        <w:contextualSpacing/>
        <w:rPr>
          <w:rFonts w:eastAsia="Calibri" w:cstheme="minorHAnsi"/>
          <w:b/>
          <w:i/>
          <w:color w:val="4472C4" w:themeColor="accent5"/>
          <w:sz w:val="24"/>
          <w:szCs w:val="24"/>
        </w:rPr>
      </w:pPr>
    </w:p>
    <w:p w:rsidR="00116942" w:rsidRDefault="00116942" w:rsidP="009962CB">
      <w:pPr>
        <w:spacing w:after="0" w:line="252" w:lineRule="auto"/>
        <w:contextualSpacing/>
        <w:rPr>
          <w:rFonts w:eastAsia="Calibri" w:cstheme="minorHAnsi"/>
          <w:b/>
          <w:i/>
          <w:color w:val="4472C4" w:themeColor="accent5"/>
          <w:sz w:val="24"/>
          <w:szCs w:val="24"/>
        </w:rPr>
      </w:pPr>
    </w:p>
    <w:p w:rsidR="00116942" w:rsidRDefault="00116942" w:rsidP="009962CB">
      <w:pPr>
        <w:spacing w:after="0" w:line="252" w:lineRule="auto"/>
        <w:contextualSpacing/>
        <w:rPr>
          <w:rFonts w:eastAsia="Calibri" w:cstheme="minorHAnsi"/>
          <w:b/>
          <w:i/>
          <w:color w:val="4472C4" w:themeColor="accent5"/>
          <w:sz w:val="24"/>
          <w:szCs w:val="24"/>
        </w:rPr>
      </w:pPr>
    </w:p>
    <w:p w:rsidR="00116942" w:rsidRDefault="00116942" w:rsidP="009962CB">
      <w:pPr>
        <w:spacing w:after="0" w:line="252" w:lineRule="auto"/>
        <w:contextualSpacing/>
        <w:rPr>
          <w:rFonts w:eastAsia="Calibri" w:cstheme="minorHAnsi"/>
          <w:b/>
          <w:i/>
          <w:color w:val="4472C4" w:themeColor="accent5"/>
          <w:sz w:val="24"/>
          <w:szCs w:val="24"/>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lastRenderedPageBreak/>
        <w:t>Rekonstrukce</w:t>
      </w:r>
      <w:r w:rsidR="00B76919">
        <w:rPr>
          <w:rFonts w:eastAsia="Calibri" w:cstheme="minorHAnsi"/>
          <w:b/>
          <w:i/>
          <w:color w:val="4472C4" w:themeColor="accent5"/>
          <w:sz w:val="24"/>
          <w:szCs w:val="24"/>
        </w:rPr>
        <w:t>,</w:t>
      </w:r>
      <w:r w:rsidRPr="00C101CB">
        <w:rPr>
          <w:rFonts w:eastAsia="Calibri" w:cstheme="minorHAnsi"/>
          <w:b/>
          <w:i/>
          <w:color w:val="4472C4" w:themeColor="accent5"/>
          <w:sz w:val="24"/>
          <w:szCs w:val="24"/>
        </w:rPr>
        <w:t xml:space="preserve"> nebo jen údržba a opravy? </w:t>
      </w:r>
    </w:p>
    <w:p w:rsidR="009962CB" w:rsidRPr="009B09A3" w:rsidRDefault="009962CB" w:rsidP="009962CB">
      <w:pPr>
        <w:spacing w:after="0" w:line="252" w:lineRule="auto"/>
        <w:contextualSpacing/>
        <w:rPr>
          <w:rFonts w:cstheme="minorHAnsi"/>
          <w:b/>
          <w:sz w:val="24"/>
          <w:szCs w:val="24"/>
        </w:rPr>
      </w:pPr>
    </w:p>
    <w:p w:rsidR="009962C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4.20 Každý vlastník komunikací pro pěší je povinen provádět jejich opravy a údržbu</w:t>
      </w:r>
      <w:r>
        <w:rPr>
          <w:rStyle w:val="Znakapoznpodarou"/>
          <w:rFonts w:eastAsia="Calibri" w:cstheme="minorHAnsi"/>
          <w:sz w:val="24"/>
          <w:szCs w:val="24"/>
        </w:rPr>
        <w:footnoteReference w:id="31"/>
      </w:r>
      <w:r>
        <w:rPr>
          <w:rFonts w:eastAsia="Calibri" w:cstheme="minorHAnsi"/>
          <w:sz w:val="24"/>
          <w:szCs w:val="24"/>
        </w:rPr>
        <w:t>. Jejich součástí by mělo být odstraňování závad a provádění některých úprav včetně obnovy poškozeného povrchu chodníků. Rekonstrukce řeší stavební práce, které svou povahou nebo rozsahem opravy a údržb</w:t>
      </w:r>
      <w:r w:rsidR="00072F77">
        <w:rPr>
          <w:rFonts w:eastAsia="Calibri" w:cstheme="minorHAnsi"/>
          <w:sz w:val="24"/>
          <w:szCs w:val="24"/>
        </w:rPr>
        <w:t>u</w:t>
      </w:r>
      <w:r>
        <w:rPr>
          <w:rFonts w:eastAsia="Calibri" w:cstheme="minorHAnsi"/>
          <w:sz w:val="24"/>
          <w:szCs w:val="24"/>
        </w:rPr>
        <w:t xml:space="preserve"> překračují. MMR </w:t>
      </w:r>
      <w:r w:rsidRPr="00616365">
        <w:rPr>
          <w:rFonts w:eastAsia="Calibri" w:cstheme="minorHAnsi"/>
          <w:sz w:val="24"/>
          <w:szCs w:val="24"/>
        </w:rPr>
        <w:t xml:space="preserve">v podmínkách podpory pojem </w:t>
      </w:r>
      <w:r w:rsidRPr="00616365">
        <w:rPr>
          <w:rFonts w:cstheme="minorHAnsi"/>
          <w:iCs/>
          <w:sz w:val="24"/>
          <w:szCs w:val="24"/>
        </w:rPr>
        <w:t>rekonstrukce/modernizace komunikace pro pěší vymezilo jako</w:t>
      </w:r>
      <w:r>
        <w:rPr>
          <w:rFonts w:cstheme="minorHAnsi"/>
          <w:i/>
          <w:iCs/>
          <w:sz w:val="24"/>
          <w:szCs w:val="24"/>
        </w:rPr>
        <w:t xml:space="preserve"> </w:t>
      </w:r>
      <w:r w:rsidRPr="000B29CF">
        <w:rPr>
          <w:rFonts w:cstheme="minorHAnsi"/>
          <w:sz w:val="24"/>
          <w:szCs w:val="24"/>
        </w:rPr>
        <w:t>„</w:t>
      </w:r>
      <w:r w:rsidRPr="00D86A32">
        <w:rPr>
          <w:rFonts w:cstheme="minorHAnsi"/>
          <w:i/>
          <w:iCs/>
          <w:sz w:val="24"/>
          <w:szCs w:val="24"/>
        </w:rPr>
        <w:t xml:space="preserve">úpravy stávající komunikace spojené s přestavbou zemního tělesa nebo konstrukčních vrstev komunikace, jejímž výsledkem </w:t>
      </w:r>
      <w:r w:rsidRPr="00616365">
        <w:rPr>
          <w:rFonts w:cstheme="minorHAnsi"/>
          <w:i/>
          <w:iCs/>
          <w:sz w:val="24"/>
          <w:szCs w:val="24"/>
        </w:rPr>
        <w:t xml:space="preserve">je </w:t>
      </w:r>
      <w:r w:rsidRPr="00616365">
        <w:rPr>
          <w:rFonts w:cstheme="minorHAnsi"/>
          <w:bCs/>
          <w:i/>
          <w:iCs/>
          <w:sz w:val="24"/>
          <w:szCs w:val="24"/>
        </w:rPr>
        <w:t>změna nivelety</w:t>
      </w:r>
      <w:r w:rsidRPr="00616365">
        <w:rPr>
          <w:rFonts w:cstheme="minorHAnsi"/>
          <w:i/>
          <w:iCs/>
          <w:sz w:val="24"/>
          <w:szCs w:val="24"/>
        </w:rPr>
        <w:t>, směrového vedení</w:t>
      </w:r>
      <w:r w:rsidRPr="00D86A32">
        <w:rPr>
          <w:rFonts w:cstheme="minorHAnsi"/>
          <w:i/>
          <w:iCs/>
          <w:sz w:val="24"/>
          <w:szCs w:val="24"/>
        </w:rPr>
        <w:t xml:space="preserve"> nebo šířkového uspořádání komunikace</w:t>
      </w:r>
      <w:r w:rsidRPr="000B29CF">
        <w:rPr>
          <w:rFonts w:cstheme="minorHAnsi"/>
          <w:sz w:val="24"/>
          <w:szCs w:val="24"/>
        </w:rPr>
        <w:t>“</w:t>
      </w:r>
      <w:r>
        <w:rPr>
          <w:rFonts w:cstheme="minorHAnsi"/>
          <w:i/>
          <w:iCs/>
          <w:sz w:val="24"/>
          <w:szCs w:val="24"/>
        </w:rPr>
        <w:t>.</w:t>
      </w:r>
      <w:r w:rsidRPr="005223DD">
        <w:rPr>
          <w:rFonts w:eastAsia="Calibri" w:cstheme="minorHAnsi"/>
          <w:sz w:val="24"/>
          <w:szCs w:val="24"/>
        </w:rPr>
        <w:t xml:space="preserve"> </w:t>
      </w:r>
      <w:r>
        <w:rPr>
          <w:rFonts w:eastAsia="Calibri" w:cstheme="minorHAnsi"/>
          <w:sz w:val="24"/>
          <w:szCs w:val="24"/>
        </w:rPr>
        <w:t>Zároveň uvedlo</w:t>
      </w:r>
      <w:r w:rsidRPr="005223DD">
        <w:rPr>
          <w:rFonts w:eastAsia="Calibri" w:cstheme="minorHAnsi"/>
          <w:sz w:val="24"/>
          <w:szCs w:val="24"/>
        </w:rPr>
        <w:t>, že nezpůsobilými jsou „</w:t>
      </w:r>
      <w:r w:rsidRPr="005223DD">
        <w:rPr>
          <w:rFonts w:eastAsia="Calibri" w:cstheme="minorHAnsi"/>
          <w:i/>
          <w:sz w:val="24"/>
          <w:szCs w:val="24"/>
        </w:rPr>
        <w:t>výdaje na běžnou údržbu, souvislou údržbu a opravu pozemních komunikací včetně chodníků a cyklostezek</w:t>
      </w:r>
      <w:r w:rsidRPr="005223DD">
        <w:rPr>
          <w:rFonts w:eastAsia="Calibri" w:cstheme="minorHAnsi"/>
          <w:sz w:val="24"/>
          <w:szCs w:val="24"/>
        </w:rPr>
        <w:t>“</w:t>
      </w:r>
      <w:r>
        <w:rPr>
          <w:rFonts w:eastAsia="Calibri" w:cstheme="minorHAnsi"/>
          <w:sz w:val="24"/>
          <w:szCs w:val="24"/>
        </w:rPr>
        <w:t>.</w:t>
      </w:r>
      <w:r w:rsidRPr="005223DD">
        <w:rPr>
          <w:rFonts w:eastAsia="Calibri" w:cstheme="minorHAnsi"/>
          <w:sz w:val="24"/>
          <w:szCs w:val="24"/>
        </w:rPr>
        <w:t xml:space="preserve"> </w:t>
      </w:r>
    </w:p>
    <w:p w:rsidR="009962CB" w:rsidRDefault="009962CB" w:rsidP="009962CB">
      <w:pPr>
        <w:spacing w:after="0" w:line="252" w:lineRule="auto"/>
        <w:jc w:val="both"/>
        <w:rPr>
          <w:rFonts w:eastAsia="Calibri" w:cstheme="minorHAnsi"/>
          <w:sz w:val="24"/>
          <w:szCs w:val="24"/>
        </w:rPr>
      </w:pPr>
    </w:p>
    <w:p w:rsidR="009962CB" w:rsidRPr="00DA5FD4" w:rsidRDefault="009962CB" w:rsidP="009962CB">
      <w:pPr>
        <w:spacing w:after="0" w:line="252" w:lineRule="auto"/>
        <w:jc w:val="both"/>
        <w:rPr>
          <w:rFonts w:ascii="Calibri" w:eastAsia="Times New Roman" w:hAnsi="Calibri" w:cs="Calibri"/>
          <w:color w:val="000000"/>
          <w:sz w:val="24"/>
          <w:szCs w:val="24"/>
        </w:rPr>
      </w:pPr>
      <w:r>
        <w:rPr>
          <w:rFonts w:eastAsia="Calibri" w:cstheme="minorHAnsi"/>
          <w:sz w:val="24"/>
          <w:szCs w:val="24"/>
        </w:rPr>
        <w:t>4.21 NKÚ kontrolou zjistil, že z IROP byly podpořeny dva projekty, u nichž nebylo prokázáno, že se jedná</w:t>
      </w:r>
      <w:r w:rsidRPr="006B29DA">
        <w:rPr>
          <w:rFonts w:eastAsia="Calibri" w:cstheme="minorHAnsi"/>
          <w:sz w:val="24"/>
          <w:szCs w:val="24"/>
        </w:rPr>
        <w:t xml:space="preserve"> </w:t>
      </w:r>
      <w:r>
        <w:rPr>
          <w:rFonts w:eastAsia="Calibri" w:cstheme="minorHAnsi"/>
          <w:sz w:val="24"/>
          <w:szCs w:val="24"/>
        </w:rPr>
        <w:t xml:space="preserve">o rekonstrukce. </w:t>
      </w:r>
      <w:r w:rsidRPr="005223DD">
        <w:rPr>
          <w:rFonts w:eastAsia="Calibri" w:cstheme="minorHAnsi"/>
          <w:sz w:val="24"/>
          <w:szCs w:val="24"/>
        </w:rPr>
        <w:t>Z popisu prací, které</w:t>
      </w:r>
      <w:r w:rsidRPr="008024C7">
        <w:rPr>
          <w:rFonts w:cstheme="minorHAnsi"/>
          <w:sz w:val="24"/>
          <w:szCs w:val="24"/>
        </w:rPr>
        <w:t xml:space="preserve"> měly být provedeny, nevyplývá, že mělo dojít ke změnám technických parametrů, prostorového uspořádání, nivel</w:t>
      </w:r>
      <w:r>
        <w:rPr>
          <w:rFonts w:cstheme="minorHAnsi"/>
          <w:sz w:val="24"/>
          <w:szCs w:val="24"/>
        </w:rPr>
        <w:t>e</w:t>
      </w:r>
      <w:r w:rsidRPr="008024C7">
        <w:rPr>
          <w:rFonts w:cstheme="minorHAnsi"/>
          <w:sz w:val="24"/>
          <w:szCs w:val="24"/>
        </w:rPr>
        <w:t xml:space="preserve">ty, trasy chodníků nebo změnám jejich funkce. </w:t>
      </w:r>
      <w:r>
        <w:rPr>
          <w:rFonts w:eastAsia="Calibri" w:cstheme="minorHAnsi"/>
          <w:sz w:val="24"/>
          <w:szCs w:val="24"/>
        </w:rPr>
        <w:t xml:space="preserve">Stavební práce na těchto projektech podle stanovisek příslušných stavebních úřadů nevyžadovaly stavební povolení ani ohlášení stavby, neboť se jednalo </w:t>
      </w:r>
      <w:r w:rsidR="006B5EF6">
        <w:rPr>
          <w:rFonts w:eastAsia="Calibri" w:cstheme="minorHAnsi"/>
          <w:sz w:val="24"/>
          <w:szCs w:val="24"/>
        </w:rPr>
        <w:br/>
      </w:r>
      <w:r>
        <w:rPr>
          <w:rFonts w:eastAsia="Calibri" w:cstheme="minorHAnsi"/>
          <w:sz w:val="24"/>
          <w:szCs w:val="24"/>
        </w:rPr>
        <w:t xml:space="preserve">o </w:t>
      </w:r>
      <w:r w:rsidRPr="00DA5FD4">
        <w:rPr>
          <w:rFonts w:ascii="Calibri" w:eastAsia="Times New Roman" w:hAnsi="Calibri" w:cs="Calibri"/>
          <w:color w:val="000000"/>
          <w:sz w:val="24"/>
          <w:szCs w:val="24"/>
        </w:rPr>
        <w:t>údržbu a oprav</w:t>
      </w:r>
      <w:r>
        <w:rPr>
          <w:rFonts w:ascii="Calibri" w:eastAsia="Times New Roman" w:hAnsi="Calibri" w:cs="Calibri"/>
          <w:color w:val="000000"/>
          <w:sz w:val="24"/>
          <w:szCs w:val="24"/>
        </w:rPr>
        <w:t>y</w:t>
      </w:r>
      <w:r w:rsidRPr="00DA5FD4">
        <w:rPr>
          <w:rFonts w:ascii="Calibri" w:eastAsia="Times New Roman" w:hAnsi="Calibri" w:cs="Calibri"/>
          <w:color w:val="000000"/>
          <w:sz w:val="24"/>
          <w:szCs w:val="24"/>
        </w:rPr>
        <w:t xml:space="preserve"> komunikací</w:t>
      </w:r>
      <w:r>
        <w:rPr>
          <w:rFonts w:ascii="Calibri" w:eastAsia="Times New Roman" w:hAnsi="Calibri" w:cs="Calibri"/>
          <w:color w:val="000000"/>
          <w:sz w:val="24"/>
          <w:szCs w:val="24"/>
        </w:rPr>
        <w:t xml:space="preserve">. CRR se při posuzování a hodnocení žádostí o podporu těmito skutečnostmi nezabývalo. </w:t>
      </w:r>
      <w:r w:rsidR="006C48E4">
        <w:rPr>
          <w:rFonts w:ascii="Calibri" w:eastAsia="Times New Roman" w:hAnsi="Calibri" w:cs="Calibri"/>
          <w:color w:val="000000"/>
          <w:sz w:val="24"/>
          <w:szCs w:val="24"/>
        </w:rPr>
        <w:t>Jeden z projektů</w:t>
      </w:r>
      <w:r>
        <w:rPr>
          <w:rFonts w:ascii="Calibri" w:eastAsia="Times New Roman" w:hAnsi="Calibri" w:cs="Calibri"/>
          <w:color w:val="000000"/>
          <w:sz w:val="24"/>
          <w:szCs w:val="24"/>
        </w:rPr>
        <w:t>, u n</w:t>
      </w:r>
      <w:r w:rsidR="006C48E4">
        <w:rPr>
          <w:rFonts w:ascii="Calibri" w:eastAsia="Times New Roman" w:hAnsi="Calibri" w:cs="Calibri"/>
          <w:color w:val="000000"/>
          <w:sz w:val="24"/>
          <w:szCs w:val="24"/>
        </w:rPr>
        <w:t>ich</w:t>
      </w:r>
      <w:r>
        <w:rPr>
          <w:rFonts w:ascii="Calibri" w:eastAsia="Times New Roman" w:hAnsi="Calibri" w:cs="Calibri"/>
          <w:color w:val="000000"/>
          <w:sz w:val="24"/>
          <w:szCs w:val="24"/>
        </w:rPr>
        <w:t xml:space="preserve">ž nebylo prokázáno, že se jedná </w:t>
      </w:r>
      <w:r w:rsidR="006B5EF6">
        <w:rPr>
          <w:rFonts w:ascii="Calibri" w:eastAsia="Times New Roman" w:hAnsi="Calibri" w:cs="Calibri"/>
          <w:color w:val="000000"/>
          <w:sz w:val="24"/>
          <w:szCs w:val="24"/>
        </w:rPr>
        <w:br/>
      </w:r>
      <w:r>
        <w:rPr>
          <w:rFonts w:ascii="Calibri" w:eastAsia="Times New Roman" w:hAnsi="Calibri" w:cs="Calibri"/>
          <w:color w:val="000000"/>
          <w:sz w:val="24"/>
          <w:szCs w:val="24"/>
        </w:rPr>
        <w:t>o rekonstrukci, je uveden v příkladu č. 7.</w:t>
      </w:r>
    </w:p>
    <w:p w:rsidR="009962CB" w:rsidRPr="009D4ACD" w:rsidRDefault="009962CB" w:rsidP="009962CB">
      <w:pPr>
        <w:spacing w:after="0" w:line="252" w:lineRule="auto"/>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 xml:space="preserve">Příklad č. 7: Neprůkaznost použití podpory na rekonstrukce </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E3DFD">
        <w:rPr>
          <w:rFonts w:eastAsia="Calibri" w:cstheme="minorHAnsi"/>
          <w:i/>
        </w:rPr>
        <w:t>Předmětem projektu č. 1</w:t>
      </w:r>
      <w:r w:rsidR="00046384">
        <w:rPr>
          <w:rFonts w:eastAsia="Calibri" w:cstheme="minorHAnsi"/>
          <w:i/>
        </w:rPr>
        <w:t>2</w:t>
      </w:r>
      <w:r w:rsidRPr="004E3DFD">
        <w:rPr>
          <w:rFonts w:eastAsia="Calibri" w:cstheme="minorHAnsi"/>
          <w:i/>
        </w:rPr>
        <w:t xml:space="preserve"> byla „rekonstrukce“ </w:t>
      </w:r>
      <w:r w:rsidRPr="004E3DFD">
        <w:rPr>
          <w:rFonts w:cstheme="minorHAnsi"/>
          <w:i/>
        </w:rPr>
        <w:t xml:space="preserve">chodníků ve třech ulicích a v části náměstí. </w:t>
      </w:r>
      <w:r w:rsidRPr="004E3DFD">
        <w:rPr>
          <w:rFonts w:eastAsia="Calibri" w:cstheme="minorHAnsi"/>
          <w:i/>
        </w:rPr>
        <w:t xml:space="preserve">Celkové výdaje projektu dle žádosti o podporu činily 8,83 mil. Kč (v závěrečném vyhodnocení akce nebyly celkové výdaje uvedeny). Způsobilé výdaje dle závěrečného vyhodnocení akce činily </w:t>
      </w:r>
      <w:r w:rsidR="00B76919">
        <w:rPr>
          <w:rFonts w:eastAsia="Calibri" w:cstheme="minorHAnsi"/>
          <w:i/>
        </w:rPr>
        <w:t>7</w:t>
      </w:r>
      <w:r w:rsidRPr="004E3DFD">
        <w:rPr>
          <w:rFonts w:eastAsia="Calibri" w:cstheme="minorHAnsi"/>
          <w:i/>
        </w:rPr>
        <w:t>,</w:t>
      </w:r>
      <w:r w:rsidR="00B76919">
        <w:rPr>
          <w:rFonts w:eastAsia="Calibri" w:cstheme="minorHAnsi"/>
          <w:i/>
        </w:rPr>
        <w:t>30</w:t>
      </w:r>
      <w:r w:rsidR="00B76919" w:rsidRPr="004E3DFD">
        <w:rPr>
          <w:rFonts w:eastAsia="Calibri" w:cstheme="minorHAnsi"/>
          <w:i/>
        </w:rPr>
        <w:t xml:space="preserve"> </w:t>
      </w:r>
      <w:r w:rsidRPr="004E3DFD">
        <w:rPr>
          <w:rFonts w:eastAsia="Calibri" w:cstheme="minorHAnsi"/>
          <w:i/>
        </w:rPr>
        <w:t>mil. Kč. Na projekt byla poskytnuta podpora z IROP ve výši 6,</w:t>
      </w:r>
      <w:r w:rsidR="00CA04D9">
        <w:rPr>
          <w:rFonts w:eastAsia="Calibri" w:cstheme="minorHAnsi"/>
          <w:i/>
        </w:rPr>
        <w:t>57</w:t>
      </w:r>
      <w:r w:rsidR="00CA04D9" w:rsidRPr="004E3DFD">
        <w:rPr>
          <w:rFonts w:eastAsia="Calibri" w:cstheme="minorHAnsi"/>
          <w:i/>
        </w:rPr>
        <w:t xml:space="preserve"> </w:t>
      </w:r>
      <w:r w:rsidRPr="004E3DFD">
        <w:rPr>
          <w:rFonts w:eastAsia="Calibri" w:cstheme="minorHAnsi"/>
          <w:i/>
        </w:rPr>
        <w:t>mil. Kč (90 % způsobilých výdajů).</w:t>
      </w:r>
    </w:p>
    <w:p w:rsidR="009962CB" w:rsidRPr="005223DD"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cstheme="minorHAnsi"/>
          <w:i/>
          <w:sz w:val="12"/>
          <w:szCs w:val="12"/>
        </w:rPr>
      </w:pP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cstheme="minorHAnsi"/>
          <w:i/>
        </w:rPr>
      </w:pPr>
      <w:r w:rsidRPr="004E3DFD">
        <w:rPr>
          <w:rFonts w:cstheme="minorHAnsi"/>
          <w:i/>
        </w:rPr>
        <w:t xml:space="preserve">Žadatel v žádosti o podporu uvedl, </w:t>
      </w:r>
      <w:r w:rsidRPr="004E3DFD">
        <w:rPr>
          <w:i/>
        </w:rPr>
        <w:t xml:space="preserve">že důvodem jeho rozhodnutí realizovat projekt byl tlak veřejnosti na zlepšení a modernizaci chodníků v centru města. Dále uvedl, že chodníky ve zvolených lokalitách mají rozbitý povrch a neodpovídají požadavkům na užívání osobami se sníženou schopností pohybu nebo orientace. </w:t>
      </w:r>
      <w:r w:rsidRPr="004E3DFD">
        <w:rPr>
          <w:rFonts w:cstheme="minorHAnsi"/>
          <w:i/>
        </w:rPr>
        <w:t>Závažnost nedostatků původních chodníků ale nebyla v žádosti o podporu doložena a nebyly v ní a</w:t>
      </w:r>
      <w:r w:rsidR="00072F77">
        <w:rPr>
          <w:rFonts w:cstheme="minorHAnsi"/>
          <w:i/>
        </w:rPr>
        <w:t>ni v</w:t>
      </w:r>
      <w:r w:rsidRPr="004E3DFD">
        <w:rPr>
          <w:rFonts w:cstheme="minorHAnsi"/>
          <w:i/>
        </w:rPr>
        <w:t xml:space="preserve"> jej</w:t>
      </w:r>
      <w:r w:rsidR="00072F77">
        <w:rPr>
          <w:rFonts w:cstheme="minorHAnsi"/>
          <w:i/>
        </w:rPr>
        <w:t>í</w:t>
      </w:r>
      <w:r w:rsidRPr="004E3DFD">
        <w:rPr>
          <w:rFonts w:cstheme="minorHAnsi"/>
          <w:i/>
        </w:rPr>
        <w:t xml:space="preserve">ch přílohách uvedeny žádné konkrétní závady chodníku. Podle stanoviska </w:t>
      </w:r>
      <w:r w:rsidRPr="004E3DFD">
        <w:rPr>
          <w:i/>
        </w:rPr>
        <w:t xml:space="preserve">orgánu státní památkové péče byla ve špatném technickém stavu jen část chodníků. </w:t>
      </w:r>
      <w:r w:rsidRPr="004E3DFD">
        <w:rPr>
          <w:rFonts w:cstheme="minorHAnsi"/>
          <w:i/>
        </w:rPr>
        <w:t>Pro obnovu jejich povrchu měla být použita stávající dlažba a obrubníky a měla přitom být zachována výšková úroveň chodníků.</w:t>
      </w:r>
    </w:p>
    <w:p w:rsidR="009962CB" w:rsidRPr="005223DD"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cstheme="minorHAnsi"/>
          <w:i/>
          <w:sz w:val="12"/>
          <w:szCs w:val="12"/>
        </w:rPr>
      </w:pPr>
    </w:p>
    <w:p w:rsidR="009962CB" w:rsidRPr="00AF178F"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cstheme="minorHAnsi"/>
          <w:i/>
          <w:iCs/>
        </w:rPr>
      </w:pPr>
      <w:r w:rsidRPr="004E3DFD">
        <w:rPr>
          <w:rFonts w:cstheme="minorHAnsi"/>
          <w:i/>
        </w:rPr>
        <w:t xml:space="preserve">Z popisu prací, které měly být </w:t>
      </w:r>
      <w:r w:rsidRPr="00AF178F">
        <w:rPr>
          <w:rFonts w:cstheme="minorHAnsi"/>
          <w:i/>
        </w:rPr>
        <w:t>provedeny, nevyplývá, že mělo dojít ke změnám technických parametrů, prostorového uspořádání, nivelety, trasy chodníků nebo změnám jejich funkce. Pro stavbu nebylo vydáno stavební povolení a příslušný stavební úřad ve svém stanovisku uvedl</w:t>
      </w:r>
      <w:r w:rsidR="00182736">
        <w:rPr>
          <w:rFonts w:cstheme="minorHAnsi"/>
          <w:i/>
        </w:rPr>
        <w:t>,</w:t>
      </w:r>
      <w:r w:rsidRPr="00AF178F">
        <w:rPr>
          <w:rFonts w:cstheme="minorHAnsi"/>
          <w:i/>
        </w:rPr>
        <w:t xml:space="preserve"> že </w:t>
      </w:r>
      <w:r w:rsidRPr="00AF178F">
        <w:rPr>
          <w:rFonts w:eastAsia="Times New Roman" w:cstheme="minorHAnsi"/>
          <w:i/>
          <w:color w:val="000000"/>
        </w:rPr>
        <w:t xml:space="preserve">se jedná o stavební úpravy nevyžadující dle příslušných právních předpisů ani ohlášení stavby, neboť se jedná o údržbu </w:t>
      </w:r>
      <w:r w:rsidR="006B5EF6">
        <w:rPr>
          <w:rFonts w:eastAsia="Times New Roman" w:cstheme="minorHAnsi"/>
          <w:i/>
          <w:color w:val="000000"/>
        </w:rPr>
        <w:br/>
      </w:r>
      <w:r w:rsidRPr="00AF178F">
        <w:rPr>
          <w:rFonts w:eastAsia="Times New Roman" w:cstheme="minorHAnsi"/>
          <w:i/>
          <w:color w:val="000000"/>
        </w:rPr>
        <w:t xml:space="preserve">a opravu komunikací. </w:t>
      </w:r>
    </w:p>
    <w:p w:rsidR="009962CB" w:rsidRPr="00AF178F" w:rsidRDefault="009962CB" w:rsidP="009962CB">
      <w:pPr>
        <w:pBdr>
          <w:top w:val="single" w:sz="4" w:space="1" w:color="auto"/>
          <w:left w:val="single" w:sz="4" w:space="4" w:color="auto"/>
          <w:bottom w:val="single" w:sz="4" w:space="1" w:color="auto"/>
          <w:right w:val="single" w:sz="4" w:space="4" w:color="auto"/>
        </w:pBdr>
        <w:spacing w:after="0" w:line="252" w:lineRule="auto"/>
        <w:jc w:val="both"/>
        <w:rPr>
          <w:rFonts w:cstheme="minorHAnsi"/>
          <w:i/>
          <w:sz w:val="12"/>
          <w:szCs w:val="12"/>
        </w:rPr>
      </w:pPr>
    </w:p>
    <w:p w:rsidR="009962CB" w:rsidRPr="00AF178F"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r w:rsidRPr="00AF178F">
        <w:rPr>
          <w:rFonts w:asciiTheme="minorHAnsi" w:hAnsiTheme="minorHAnsi" w:cstheme="minorHAnsi"/>
          <w:i/>
          <w:sz w:val="22"/>
          <w:szCs w:val="22"/>
        </w:rPr>
        <w:t xml:space="preserve">NKÚ navíc kontrolou zjistil, že příjemce podpory při realizaci projektu nevyřešil rizika, na která upozorňoval provedený audit bezpečnosti, a </w:t>
      </w:r>
      <w:r w:rsidRPr="00AF178F">
        <w:rPr>
          <w:rFonts w:asciiTheme="minorHAnsi" w:hAnsiTheme="minorHAnsi" w:cstheme="minorHAnsi"/>
          <w:bCs/>
          <w:i/>
          <w:sz w:val="22"/>
          <w:szCs w:val="22"/>
        </w:rPr>
        <w:t xml:space="preserve">že některé nedostatky komplikující užívání chodníků zejména osobám se sníženou schopností pohybu nebo orientace zůstaly neodstraněny i po realizaci projektu (řešení místa pro přecházení a přechodu pro chodce neodpovídající předpisům, </w:t>
      </w:r>
      <w:r w:rsidRPr="00AF178F">
        <w:rPr>
          <w:rFonts w:asciiTheme="minorHAnsi" w:hAnsiTheme="minorHAnsi" w:cstheme="minorHAnsi"/>
          <w:i/>
          <w:sz w:val="22"/>
          <w:szCs w:val="22"/>
        </w:rPr>
        <w:t>překážky v blízkosti vodicích linií atd.)</w:t>
      </w:r>
      <w:r w:rsidRPr="00AF178F">
        <w:rPr>
          <w:rFonts w:asciiTheme="minorHAnsi" w:hAnsiTheme="minorHAnsi" w:cstheme="minorHAnsi"/>
          <w:bCs/>
          <w:i/>
          <w:sz w:val="22"/>
          <w:szCs w:val="22"/>
        </w:rPr>
        <w:t>.</w:t>
      </w:r>
      <w:r w:rsidRPr="00AF178F">
        <w:rPr>
          <w:rFonts w:asciiTheme="minorHAnsi" w:hAnsiTheme="minorHAnsi" w:cstheme="minorHAnsi"/>
          <w:bCs/>
          <w:i/>
        </w:rPr>
        <w:t xml:space="preserve"> </w:t>
      </w:r>
      <w:r w:rsidRPr="00AF178F">
        <w:rPr>
          <w:rFonts w:asciiTheme="minorHAnsi" w:eastAsiaTheme="minorHAnsi" w:hAnsiTheme="minorHAnsi" w:cstheme="minorHAnsi"/>
          <w:bCs/>
          <w:i/>
          <w:color w:val="auto"/>
          <w:sz w:val="22"/>
          <w:szCs w:val="22"/>
          <w:lang w:eastAsia="en-US"/>
        </w:rPr>
        <w:t xml:space="preserve">Proto NKÚ vyhodnotil vynaložení prostředků na tento projekt jako </w:t>
      </w:r>
      <w:r>
        <w:rPr>
          <w:rFonts w:asciiTheme="minorHAnsi" w:eastAsiaTheme="minorHAnsi" w:hAnsiTheme="minorHAnsi" w:cstheme="minorHAnsi"/>
          <w:bCs/>
          <w:i/>
          <w:color w:val="auto"/>
          <w:sz w:val="22"/>
          <w:szCs w:val="22"/>
          <w:lang w:eastAsia="en-US"/>
        </w:rPr>
        <w:t>ne</w:t>
      </w:r>
      <w:r w:rsidRPr="00AF178F">
        <w:rPr>
          <w:rFonts w:asciiTheme="minorHAnsi" w:eastAsiaTheme="minorHAnsi" w:hAnsiTheme="minorHAnsi" w:cstheme="minorHAnsi"/>
          <w:bCs/>
          <w:i/>
          <w:color w:val="auto"/>
          <w:sz w:val="22"/>
          <w:szCs w:val="22"/>
          <w:lang w:eastAsia="en-US"/>
        </w:rPr>
        <w:t>účelné</w:t>
      </w:r>
      <w:r>
        <w:rPr>
          <w:rFonts w:asciiTheme="minorHAnsi" w:eastAsiaTheme="minorHAnsi" w:hAnsiTheme="minorHAnsi" w:cstheme="minorHAnsi"/>
          <w:bCs/>
          <w:i/>
          <w:color w:val="auto"/>
          <w:sz w:val="22"/>
          <w:szCs w:val="22"/>
          <w:lang w:eastAsia="en-US"/>
        </w:rPr>
        <w:t>.</w:t>
      </w:r>
    </w:p>
    <w:p w:rsidR="009962CB" w:rsidRPr="00C101CB" w:rsidRDefault="009962CB" w:rsidP="000B29CF">
      <w:pPr>
        <w:spacing w:before="240"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lastRenderedPageBreak/>
        <w:t>Podpora nebyla směrována jenom tam, kde byla nezbytná</w:t>
      </w:r>
      <w:r>
        <w:rPr>
          <w:rFonts w:eastAsia="Calibri" w:cstheme="minorHAnsi"/>
          <w:b/>
          <w:i/>
          <w:color w:val="4472C4" w:themeColor="accent5"/>
          <w:sz w:val="24"/>
          <w:szCs w:val="24"/>
        </w:rPr>
        <w:t>.</w:t>
      </w:r>
    </w:p>
    <w:p w:rsidR="009962CB" w:rsidRPr="009B09A3" w:rsidRDefault="009962CB" w:rsidP="009962CB">
      <w:pPr>
        <w:spacing w:after="0" w:line="252" w:lineRule="auto"/>
        <w:jc w:val="both"/>
        <w:rPr>
          <w:b/>
          <w:sz w:val="24"/>
          <w:szCs w:val="24"/>
        </w:rPr>
      </w:pPr>
    </w:p>
    <w:p w:rsidR="009962CB" w:rsidRDefault="009962CB" w:rsidP="009962CB">
      <w:pPr>
        <w:spacing w:after="0" w:line="252" w:lineRule="auto"/>
        <w:jc w:val="both"/>
        <w:rPr>
          <w:rFonts w:eastAsia="Calibri" w:cstheme="minorHAnsi"/>
          <w:bCs/>
          <w:sz w:val="24"/>
          <w:szCs w:val="24"/>
        </w:rPr>
      </w:pPr>
      <w:r>
        <w:rPr>
          <w:rFonts w:eastAsia="Calibri" w:cstheme="minorHAnsi"/>
          <w:sz w:val="24"/>
          <w:szCs w:val="24"/>
        </w:rPr>
        <w:t xml:space="preserve">4.22 Jedním </w:t>
      </w:r>
      <w:r w:rsidRPr="00AE3483">
        <w:rPr>
          <w:rFonts w:eastAsia="Calibri" w:cstheme="minorHAnsi"/>
          <w:bCs/>
          <w:sz w:val="24"/>
          <w:szCs w:val="24"/>
        </w:rPr>
        <w:t>z</w:t>
      </w:r>
      <w:r>
        <w:rPr>
          <w:rFonts w:eastAsia="Calibri" w:cstheme="minorHAnsi"/>
          <w:bCs/>
          <w:sz w:val="24"/>
          <w:szCs w:val="24"/>
        </w:rPr>
        <w:t>e základních</w:t>
      </w:r>
      <w:r w:rsidRPr="00AE3483">
        <w:rPr>
          <w:rFonts w:eastAsia="Calibri" w:cstheme="minorHAnsi"/>
          <w:bCs/>
          <w:sz w:val="24"/>
          <w:szCs w:val="24"/>
        </w:rPr>
        <w:t xml:space="preserve"> principů </w:t>
      </w:r>
      <w:r w:rsidR="00E370B1">
        <w:rPr>
          <w:rFonts w:eastAsia="Calibri" w:cstheme="minorHAnsi"/>
          <w:bCs/>
          <w:sz w:val="24"/>
          <w:szCs w:val="24"/>
        </w:rPr>
        <w:t xml:space="preserve">účelové </w:t>
      </w:r>
      <w:r w:rsidRPr="00AE3483">
        <w:rPr>
          <w:rFonts w:eastAsia="Calibri" w:cstheme="minorHAnsi"/>
          <w:bCs/>
          <w:sz w:val="24"/>
          <w:szCs w:val="24"/>
        </w:rPr>
        <w:t>dotační politiky</w:t>
      </w:r>
      <w:r>
        <w:rPr>
          <w:rFonts w:eastAsia="Calibri" w:cstheme="minorHAnsi"/>
          <w:bCs/>
          <w:sz w:val="24"/>
          <w:szCs w:val="24"/>
        </w:rPr>
        <w:t xml:space="preserve"> by mělo být poskytování podpory </w:t>
      </w:r>
      <w:r w:rsidRPr="00AE3483">
        <w:rPr>
          <w:rFonts w:eastAsia="Calibri" w:cstheme="minorHAnsi"/>
          <w:bCs/>
          <w:sz w:val="24"/>
          <w:szCs w:val="24"/>
        </w:rPr>
        <w:t xml:space="preserve">pouze </w:t>
      </w:r>
      <w:r>
        <w:rPr>
          <w:rFonts w:eastAsia="Calibri" w:cstheme="minorHAnsi"/>
          <w:bCs/>
          <w:sz w:val="24"/>
          <w:szCs w:val="24"/>
        </w:rPr>
        <w:t>tehdy</w:t>
      </w:r>
      <w:r w:rsidRPr="00AE3483">
        <w:rPr>
          <w:rFonts w:eastAsia="Calibri" w:cstheme="minorHAnsi"/>
          <w:bCs/>
          <w:sz w:val="24"/>
          <w:szCs w:val="24"/>
        </w:rPr>
        <w:t>, kdy</w:t>
      </w:r>
      <w:r>
        <w:rPr>
          <w:rFonts w:eastAsia="Calibri" w:cstheme="minorHAnsi"/>
          <w:bCs/>
          <w:sz w:val="24"/>
          <w:szCs w:val="24"/>
        </w:rPr>
        <w:t>ž</w:t>
      </w:r>
      <w:r w:rsidRPr="00AE3483">
        <w:rPr>
          <w:rFonts w:eastAsia="Calibri" w:cstheme="minorHAnsi"/>
          <w:bCs/>
          <w:sz w:val="24"/>
          <w:szCs w:val="24"/>
        </w:rPr>
        <w:t xml:space="preserve"> příjemci tuto podporu pro realizaci projektů nezbytně potřebují</w:t>
      </w:r>
      <w:r>
        <w:rPr>
          <w:rFonts w:eastAsia="Calibri" w:cstheme="minorHAnsi"/>
          <w:bCs/>
          <w:sz w:val="24"/>
          <w:szCs w:val="24"/>
        </w:rPr>
        <w:t xml:space="preserve">. V opačném případě hrozí nebezpečí tzv. efektu mrtvé váhy, kdy je </w:t>
      </w:r>
      <w:r w:rsidRPr="00AE3483">
        <w:rPr>
          <w:rFonts w:eastAsia="Calibri" w:cstheme="minorHAnsi"/>
          <w:bCs/>
          <w:sz w:val="24"/>
          <w:szCs w:val="24"/>
        </w:rPr>
        <w:t xml:space="preserve">poskytnutí </w:t>
      </w:r>
      <w:r>
        <w:rPr>
          <w:rFonts w:eastAsia="Calibri" w:cstheme="minorHAnsi"/>
          <w:bCs/>
          <w:sz w:val="24"/>
          <w:szCs w:val="24"/>
        </w:rPr>
        <w:t>přímé finanční</w:t>
      </w:r>
      <w:r w:rsidRPr="00AE3483">
        <w:rPr>
          <w:rFonts w:eastAsia="Calibri" w:cstheme="minorHAnsi"/>
          <w:bCs/>
          <w:sz w:val="24"/>
          <w:szCs w:val="24"/>
        </w:rPr>
        <w:t xml:space="preserve"> podpory neúčelné, resp. neefektivní</w:t>
      </w:r>
      <w:r>
        <w:rPr>
          <w:rFonts w:eastAsia="Calibri" w:cstheme="minorHAnsi"/>
          <w:bCs/>
          <w:sz w:val="24"/>
          <w:szCs w:val="24"/>
        </w:rPr>
        <w:t>. Pokud</w:t>
      </w:r>
      <w:r w:rsidRPr="00AE3483">
        <w:rPr>
          <w:rFonts w:eastAsia="Calibri" w:cstheme="minorHAnsi"/>
          <w:bCs/>
          <w:sz w:val="24"/>
          <w:szCs w:val="24"/>
        </w:rPr>
        <w:t xml:space="preserve"> by příjemce investici zcela, popř. z podstatné části realizoval i bez </w:t>
      </w:r>
      <w:r>
        <w:rPr>
          <w:rFonts w:eastAsia="Calibri" w:cstheme="minorHAnsi"/>
          <w:bCs/>
          <w:sz w:val="24"/>
          <w:szCs w:val="24"/>
        </w:rPr>
        <w:t xml:space="preserve">této </w:t>
      </w:r>
      <w:r w:rsidRPr="00AE3483">
        <w:rPr>
          <w:rFonts w:eastAsia="Calibri" w:cstheme="minorHAnsi"/>
          <w:bCs/>
          <w:sz w:val="24"/>
          <w:szCs w:val="24"/>
        </w:rPr>
        <w:t xml:space="preserve">podpory, </w:t>
      </w:r>
      <w:r w:rsidR="00C431DE">
        <w:rPr>
          <w:rFonts w:eastAsia="Calibri" w:cstheme="minorHAnsi"/>
          <w:bCs/>
          <w:sz w:val="24"/>
          <w:szCs w:val="24"/>
        </w:rPr>
        <w:t xml:space="preserve">pak </w:t>
      </w:r>
      <w:r w:rsidR="00C431DE" w:rsidRPr="00AE3483">
        <w:rPr>
          <w:rFonts w:eastAsia="Calibri" w:cstheme="minorHAnsi"/>
          <w:bCs/>
          <w:sz w:val="24"/>
          <w:szCs w:val="24"/>
        </w:rPr>
        <w:t xml:space="preserve">podpora </w:t>
      </w:r>
      <w:r w:rsidRPr="00AE3483">
        <w:rPr>
          <w:rFonts w:eastAsia="Calibri" w:cstheme="minorHAnsi"/>
          <w:bCs/>
          <w:sz w:val="24"/>
          <w:szCs w:val="24"/>
        </w:rPr>
        <w:t>pro dosažení žádoucího účinku (tj. provedení investice)</w:t>
      </w:r>
      <w:r>
        <w:rPr>
          <w:rFonts w:eastAsia="Calibri" w:cstheme="minorHAnsi"/>
          <w:bCs/>
          <w:sz w:val="24"/>
          <w:szCs w:val="24"/>
        </w:rPr>
        <w:t xml:space="preserve"> </w:t>
      </w:r>
      <w:r w:rsidRPr="00AE3483">
        <w:rPr>
          <w:rFonts w:eastAsia="Calibri" w:cstheme="minorHAnsi"/>
          <w:bCs/>
          <w:sz w:val="24"/>
          <w:szCs w:val="24"/>
        </w:rPr>
        <w:t xml:space="preserve">není </w:t>
      </w:r>
      <w:r>
        <w:rPr>
          <w:rFonts w:eastAsia="Calibri" w:cstheme="minorHAnsi"/>
          <w:bCs/>
          <w:sz w:val="24"/>
          <w:szCs w:val="24"/>
        </w:rPr>
        <w:t xml:space="preserve">nezbytná (viz příklad č. 8). Měla by tedy být poskytnuta spíše tam, kde by potřebnou investici bez podpory nebylo možno provést a naplnit tím žádoucí princip </w:t>
      </w:r>
      <w:proofErr w:type="spellStart"/>
      <w:r>
        <w:rPr>
          <w:rFonts w:eastAsia="Calibri" w:cstheme="minorHAnsi"/>
          <w:bCs/>
          <w:sz w:val="24"/>
          <w:szCs w:val="24"/>
        </w:rPr>
        <w:t>adicionality</w:t>
      </w:r>
      <w:proofErr w:type="spellEnd"/>
      <w:r>
        <w:rPr>
          <w:rFonts w:eastAsia="Calibri" w:cstheme="minorHAnsi"/>
          <w:bCs/>
          <w:sz w:val="24"/>
          <w:szCs w:val="24"/>
        </w:rPr>
        <w:t xml:space="preserve"> státem poskytované podpory k prostředkům, které na výstavbu či rekonstrukce komunikací pro pěší vynakládají obce jako jejich vlastníci.</w:t>
      </w:r>
    </w:p>
    <w:p w:rsidR="009962CB" w:rsidRDefault="009962CB" w:rsidP="009962CB">
      <w:pPr>
        <w:spacing w:after="0" w:line="252" w:lineRule="auto"/>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Příklad č. 8: Efekt mrtvé váhy</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E3DFD">
        <w:rPr>
          <w:rFonts w:eastAsia="Calibri" w:cstheme="minorHAnsi"/>
          <w:i/>
        </w:rPr>
        <w:t xml:space="preserve">Předmětem projektu č. </w:t>
      </w:r>
      <w:r w:rsidR="00046384">
        <w:rPr>
          <w:rFonts w:eastAsia="Calibri" w:cstheme="minorHAnsi"/>
          <w:i/>
        </w:rPr>
        <w:t>19</w:t>
      </w:r>
      <w:r w:rsidRPr="004E3DFD">
        <w:rPr>
          <w:rFonts w:eastAsia="Calibri" w:cstheme="minorHAnsi"/>
          <w:i/>
        </w:rPr>
        <w:t xml:space="preserve"> byla výstavba nového chodníku o délce 120 m propojujícího již existující chodníky ve statutárním městě. Celkové výdaje projektu </w:t>
      </w:r>
      <w:r w:rsidR="00CA04D9" w:rsidRPr="004E3DFD">
        <w:rPr>
          <w:rFonts w:eastAsia="Calibri" w:cstheme="minorHAnsi"/>
          <w:i/>
        </w:rPr>
        <w:t xml:space="preserve">dle žádosti o podporu </w:t>
      </w:r>
      <w:r w:rsidRPr="004E3DFD">
        <w:rPr>
          <w:rFonts w:eastAsia="Calibri" w:cstheme="minorHAnsi"/>
          <w:i/>
        </w:rPr>
        <w:t xml:space="preserve">činily </w:t>
      </w:r>
      <w:r w:rsidR="00CA04D9">
        <w:rPr>
          <w:rFonts w:eastAsia="Calibri" w:cstheme="minorHAnsi"/>
          <w:i/>
        </w:rPr>
        <w:t>1</w:t>
      </w:r>
      <w:r w:rsidR="00F427F3">
        <w:rPr>
          <w:rFonts w:eastAsia="Calibri" w:cstheme="minorHAnsi"/>
          <w:i/>
        </w:rPr>
        <w:t>,</w:t>
      </w:r>
      <w:r w:rsidR="00CA04D9">
        <w:rPr>
          <w:rFonts w:eastAsia="Calibri" w:cstheme="minorHAnsi"/>
          <w:i/>
        </w:rPr>
        <w:t>98</w:t>
      </w:r>
      <w:r w:rsidR="00CA04D9" w:rsidRPr="004E3DFD">
        <w:rPr>
          <w:rFonts w:eastAsia="Calibri" w:cstheme="minorHAnsi"/>
          <w:i/>
        </w:rPr>
        <w:t xml:space="preserve"> </w:t>
      </w:r>
      <w:r w:rsidRPr="004E3DFD">
        <w:rPr>
          <w:rFonts w:eastAsia="Calibri" w:cstheme="minorHAnsi"/>
          <w:i/>
        </w:rPr>
        <w:t>mil. Kč</w:t>
      </w:r>
      <w:r w:rsidR="00CA04D9">
        <w:rPr>
          <w:rFonts w:eastAsia="Calibri" w:cstheme="minorHAnsi"/>
          <w:i/>
        </w:rPr>
        <w:t xml:space="preserve"> </w:t>
      </w:r>
      <w:r w:rsidR="006B5EF6">
        <w:rPr>
          <w:rFonts w:eastAsia="Calibri" w:cstheme="minorHAnsi"/>
          <w:i/>
        </w:rPr>
        <w:br/>
      </w:r>
      <w:r w:rsidR="00CA04D9" w:rsidRPr="004E3DFD">
        <w:rPr>
          <w:rFonts w:eastAsia="Calibri" w:cstheme="minorHAnsi"/>
          <w:i/>
        </w:rPr>
        <w:t xml:space="preserve">(v závěrečném vyhodnocení akce nebyly celkové výdaje uvedeny). Způsobilé výdaje dle závěrečného vyhodnocení akce činily </w:t>
      </w:r>
      <w:r w:rsidRPr="004E3DFD">
        <w:rPr>
          <w:rFonts w:eastAsia="Calibri" w:cstheme="minorHAnsi"/>
          <w:i/>
        </w:rPr>
        <w:t>1,8</w:t>
      </w:r>
      <w:r w:rsidR="00F427F3">
        <w:rPr>
          <w:rFonts w:eastAsia="Calibri" w:cstheme="minorHAnsi"/>
          <w:i/>
        </w:rPr>
        <w:t>0</w:t>
      </w:r>
      <w:r w:rsidRPr="004E3DFD">
        <w:rPr>
          <w:rFonts w:eastAsia="Calibri" w:cstheme="minorHAnsi"/>
          <w:i/>
        </w:rPr>
        <w:t xml:space="preserve"> mil. Kč. Na projekt byla poskytnuta podpora z IROP ve výši cca 1,</w:t>
      </w:r>
      <w:r w:rsidR="00CA04D9" w:rsidRPr="004E3DFD">
        <w:rPr>
          <w:rFonts w:eastAsia="Calibri" w:cstheme="minorHAnsi"/>
          <w:i/>
        </w:rPr>
        <w:t>6</w:t>
      </w:r>
      <w:r w:rsidR="00CA04D9">
        <w:rPr>
          <w:rFonts w:eastAsia="Calibri" w:cstheme="minorHAnsi"/>
          <w:i/>
        </w:rPr>
        <w:t>2</w:t>
      </w:r>
      <w:r w:rsidR="00CA04D9" w:rsidRPr="004E3DFD">
        <w:rPr>
          <w:rFonts w:eastAsia="Calibri" w:cstheme="minorHAnsi"/>
          <w:i/>
        </w:rPr>
        <w:t xml:space="preserve"> </w:t>
      </w:r>
      <w:r w:rsidRPr="004E3DFD">
        <w:rPr>
          <w:rFonts w:eastAsia="Calibri" w:cstheme="minorHAnsi"/>
          <w:i/>
        </w:rPr>
        <w:t>mil. Kč</w:t>
      </w:r>
      <w:r w:rsidR="00AA653E">
        <w:rPr>
          <w:rFonts w:eastAsia="Calibri" w:cstheme="minorHAnsi"/>
          <w:i/>
        </w:rPr>
        <w:t xml:space="preserve"> </w:t>
      </w:r>
      <w:r w:rsidR="00AA653E" w:rsidRPr="004E3DFD">
        <w:rPr>
          <w:rFonts w:eastAsia="Calibri" w:cstheme="minorHAnsi"/>
          <w:i/>
        </w:rPr>
        <w:t>(90 % způsobilých výdajů)</w:t>
      </w:r>
      <w:r w:rsidRPr="004E3DFD">
        <w:rPr>
          <w:rFonts w:eastAsia="Calibri" w:cstheme="minorHAnsi"/>
          <w:i/>
        </w:rPr>
        <w:t>.</w:t>
      </w:r>
    </w:p>
    <w:p w:rsidR="009962CB" w:rsidRPr="00AF178F"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sz w:val="12"/>
          <w:szCs w:val="12"/>
        </w:rPr>
      </w:pPr>
    </w:p>
    <w:p w:rsidR="008F3DFA" w:rsidRDefault="009962CB" w:rsidP="008F3DFA">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r w:rsidRPr="004E3DFD">
        <w:rPr>
          <w:rFonts w:eastAsia="Calibri" w:cstheme="minorHAnsi"/>
          <w:i/>
        </w:rPr>
        <w:t>Žádost o podporu byla zaregistrována do systému MS2014+</w:t>
      </w:r>
      <w:r w:rsidRPr="004E3DFD">
        <w:rPr>
          <w:rStyle w:val="Znakapoznpodarou"/>
          <w:rFonts w:eastAsia="Calibri" w:cstheme="minorHAnsi"/>
          <w:i/>
        </w:rPr>
        <w:footnoteReference w:id="32"/>
      </w:r>
      <w:r w:rsidRPr="004E3DFD">
        <w:rPr>
          <w:rFonts w:eastAsia="Calibri" w:cstheme="minorHAnsi"/>
          <w:i/>
        </w:rPr>
        <w:t xml:space="preserve"> v srpnu 2020. Stavební realizace projektu byla ukončena předáním díla v říjnu 2020. Kolaudace proběhla v prosinci 2020. Žádost o podporu byla doplněna o všechny potřebné náležitosti vzešlé z kontroly přijatelnosti, formálních náležitostí </w:t>
      </w:r>
      <w:r w:rsidR="006B5EF6">
        <w:rPr>
          <w:rFonts w:eastAsia="Calibri" w:cstheme="minorHAnsi"/>
          <w:i/>
        </w:rPr>
        <w:br/>
      </w:r>
      <w:r w:rsidRPr="004E3DFD">
        <w:rPr>
          <w:rFonts w:eastAsia="Calibri" w:cstheme="minorHAnsi"/>
          <w:i/>
        </w:rPr>
        <w:t xml:space="preserve">a závěrečného ověření způsobilosti a podmínky způsobilosti k financování byly splněny až v únoru 2021. </w:t>
      </w:r>
      <w:r w:rsidRPr="004E3DFD">
        <w:rPr>
          <w:rFonts w:cstheme="minorHAnsi"/>
          <w:i/>
        </w:rPr>
        <w:t>Rozhodnutí o poskytnutí dotace MMR vydalo až v březnu 2021, tedy čtyři měsíce po předání dokončeného díla, resp. tři měsíce po vydání kolaudačního rozhodnutí. Ve studii proveditelnosti, která byla součástí žádost</w:t>
      </w:r>
      <w:r w:rsidR="00072F77">
        <w:rPr>
          <w:rFonts w:cstheme="minorHAnsi"/>
          <w:i/>
        </w:rPr>
        <w:t>i</w:t>
      </w:r>
      <w:r w:rsidRPr="004E3DFD">
        <w:rPr>
          <w:rFonts w:cstheme="minorHAnsi"/>
          <w:i/>
        </w:rPr>
        <w:t xml:space="preserve"> o podporu, žadatel </w:t>
      </w:r>
      <w:r>
        <w:rPr>
          <w:rFonts w:cstheme="minorHAnsi"/>
          <w:i/>
        </w:rPr>
        <w:t xml:space="preserve">navíc </w:t>
      </w:r>
      <w:r w:rsidRPr="004E3DFD">
        <w:rPr>
          <w:rFonts w:cstheme="minorHAnsi"/>
          <w:i/>
        </w:rPr>
        <w:t>uvedl, že projekt bude realizovat i bez získání dotace.</w:t>
      </w:r>
      <w:r w:rsidR="008F3DFA">
        <w:rPr>
          <w:rFonts w:cstheme="minorHAnsi"/>
          <w:i/>
        </w:rPr>
        <w:t xml:space="preserve"> </w:t>
      </w:r>
      <w:r w:rsidR="008F3DFA">
        <w:rPr>
          <w:rFonts w:cstheme="minorHAnsi"/>
          <w:bCs/>
          <w:i/>
        </w:rPr>
        <w:t>P</w:t>
      </w:r>
      <w:r w:rsidR="008F3DFA" w:rsidRPr="00046384">
        <w:rPr>
          <w:rFonts w:cstheme="minorHAnsi"/>
          <w:bCs/>
          <w:i/>
        </w:rPr>
        <w:t>odmínky podpory takovýto postup umožňovaly a MMR ani CRR je v uvedeném případě neporušily.</w:t>
      </w:r>
    </w:p>
    <w:p w:rsidR="009962CB" w:rsidRPr="001B7410"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9962CB"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r>
        <w:rPr>
          <w:rFonts w:cstheme="minorHAnsi"/>
          <w:i/>
        </w:rPr>
        <w:t>NKÚ dále kontrolou zjistil, že žadatel v žádosti o podporu uvedl některé nepřesné informace (např. pominul existenci chodníku na druhé straně stejné komunikace) a zveličil přínosy projektu. Zároveň neakceptoval alternativní řešení navržené v auditu bezpečnosti.</w:t>
      </w:r>
    </w:p>
    <w:p w:rsidR="009962CB" w:rsidRPr="001B7410"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sz w:val="12"/>
          <w:szCs w:val="12"/>
        </w:rPr>
      </w:pP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cstheme="minorHAnsi"/>
          <w:i/>
        </w:rPr>
      </w:pPr>
      <w:r w:rsidRPr="004E3DFD">
        <w:rPr>
          <w:rFonts w:cstheme="minorHAnsi"/>
          <w:i/>
        </w:rPr>
        <w:t xml:space="preserve">Z uvedených skutečností je tedy zcela nepochybné, že přímá finanční podpora </w:t>
      </w:r>
      <w:r>
        <w:rPr>
          <w:rFonts w:cstheme="minorHAnsi"/>
          <w:i/>
        </w:rPr>
        <w:t xml:space="preserve">ze strany státu a EU </w:t>
      </w:r>
      <w:r w:rsidRPr="004E3DFD">
        <w:rPr>
          <w:rFonts w:cstheme="minorHAnsi"/>
          <w:i/>
        </w:rPr>
        <w:t>nebyla pro výstavbu daného chodníku nezbytná. Navíc význam poskytnutí podpory 1,6</w:t>
      </w:r>
      <w:r w:rsidR="007D0ADE">
        <w:rPr>
          <w:rFonts w:cstheme="minorHAnsi"/>
          <w:i/>
        </w:rPr>
        <w:t>0</w:t>
      </w:r>
      <w:r w:rsidRPr="004E3DFD">
        <w:rPr>
          <w:rFonts w:cstheme="minorHAnsi"/>
          <w:i/>
        </w:rPr>
        <w:t xml:space="preserve"> mil. Kč na výstavbu 120 m chodníku v kontextu velikosti statutárního města a jeho rozpočtu je zcela marginální.</w:t>
      </w:r>
      <w:r>
        <w:rPr>
          <w:rFonts w:cstheme="minorHAnsi"/>
          <w:i/>
        </w:rPr>
        <w:t xml:space="preserve"> Proto NKÚ </w:t>
      </w:r>
      <w:r w:rsidRPr="00AF178F">
        <w:rPr>
          <w:rFonts w:cstheme="minorHAnsi"/>
          <w:bCs/>
          <w:i/>
        </w:rPr>
        <w:t xml:space="preserve">vyhodnotil vynaložení prostředků na tento </w:t>
      </w:r>
      <w:r w:rsidRPr="00046384">
        <w:rPr>
          <w:rFonts w:cstheme="minorHAnsi"/>
          <w:bCs/>
          <w:i/>
        </w:rPr>
        <w:t xml:space="preserve">projekt jako neúčelné. </w:t>
      </w:r>
    </w:p>
    <w:p w:rsidR="009962CB" w:rsidRDefault="009962CB" w:rsidP="009962CB">
      <w:pPr>
        <w:spacing w:after="0" w:line="252" w:lineRule="auto"/>
        <w:contextualSpacing/>
        <w:rPr>
          <w:rFonts w:eastAsia="Calibri" w:cstheme="minorHAnsi"/>
          <w:sz w:val="24"/>
          <w:szCs w:val="24"/>
        </w:rPr>
      </w:pPr>
    </w:p>
    <w:p w:rsidR="009962CB" w:rsidRPr="00C101CB" w:rsidRDefault="009962CB" w:rsidP="009962CB">
      <w:pPr>
        <w:spacing w:after="0" w:line="252" w:lineRule="auto"/>
        <w:contextualSpacing/>
        <w:rPr>
          <w:rFonts w:eastAsia="Calibri" w:cstheme="minorHAnsi"/>
          <w:b/>
          <w:i/>
          <w:color w:val="4472C4" w:themeColor="accent5"/>
          <w:sz w:val="24"/>
          <w:szCs w:val="24"/>
        </w:rPr>
      </w:pPr>
      <w:bookmarkStart w:id="23" w:name="_Hlk177734152"/>
      <w:r w:rsidRPr="00C101CB">
        <w:rPr>
          <w:rFonts w:eastAsia="Calibri" w:cstheme="minorHAnsi"/>
          <w:b/>
          <w:i/>
          <w:color w:val="4472C4" w:themeColor="accent5"/>
          <w:sz w:val="24"/>
          <w:szCs w:val="24"/>
        </w:rPr>
        <w:t>Velké množství nedostatků zůstalo neodstraněno, cíle projektů nebyly naplňovány</w:t>
      </w:r>
      <w:r>
        <w:rPr>
          <w:rFonts w:eastAsia="Calibri" w:cstheme="minorHAnsi"/>
          <w:b/>
          <w:i/>
          <w:color w:val="4472C4" w:themeColor="accent5"/>
          <w:sz w:val="24"/>
          <w:szCs w:val="24"/>
        </w:rPr>
        <w:t>.</w:t>
      </w:r>
    </w:p>
    <w:bookmarkEnd w:id="23"/>
    <w:p w:rsidR="009962CB" w:rsidRDefault="009962CB" w:rsidP="009962CB">
      <w:pPr>
        <w:spacing w:after="0" w:line="252" w:lineRule="auto"/>
        <w:contextualSpacing/>
        <w:jc w:val="both"/>
        <w:rPr>
          <w:rFonts w:eastAsia="Calibri" w:cstheme="minorHAnsi"/>
          <w:sz w:val="24"/>
          <w:szCs w:val="24"/>
        </w:rPr>
      </w:pPr>
      <w:r w:rsidRPr="002F5290">
        <w:rPr>
          <w:rFonts w:eastAsia="Calibri" w:cstheme="minorHAnsi"/>
          <w:sz w:val="24"/>
          <w:szCs w:val="24"/>
        </w:rPr>
        <w:br/>
      </w:r>
      <w:r>
        <w:rPr>
          <w:rFonts w:eastAsia="Calibri" w:cstheme="minorHAnsi"/>
          <w:sz w:val="24"/>
          <w:szCs w:val="24"/>
        </w:rPr>
        <w:t xml:space="preserve">4.23 Výsledkem podpořených projektů měly být bezpečné a bezbariérové komunikace pro pěší. NKÚ ovšem při kontrole projektů zjistil, že řada nedostatků nebyla realizací těchto projektů vyřešena. Při výstavbě nových chodníků i rekonstrukcích těch stávajících zůstávala </w:t>
      </w:r>
      <w:r w:rsidR="006B5EF6">
        <w:rPr>
          <w:rFonts w:eastAsia="Calibri" w:cstheme="minorHAnsi"/>
          <w:sz w:val="24"/>
          <w:szCs w:val="24"/>
        </w:rPr>
        <w:br/>
      </w:r>
      <w:r>
        <w:rPr>
          <w:rFonts w:eastAsia="Calibri" w:cstheme="minorHAnsi"/>
          <w:sz w:val="24"/>
          <w:szCs w:val="24"/>
        </w:rPr>
        <w:t xml:space="preserve">a v některých projektech dokonce byla vytvářena místa ohrožující bezpečnost chodců, zvláště pak osob se sníženou schopností pohybu nebo orientace. </w:t>
      </w:r>
    </w:p>
    <w:p w:rsidR="009962CB" w:rsidRDefault="009962CB" w:rsidP="009962CB">
      <w:pPr>
        <w:spacing w:after="0" w:line="252" w:lineRule="auto"/>
        <w:contextualSpacing/>
        <w:jc w:val="both"/>
        <w:rPr>
          <w:rFonts w:eastAsia="Calibri" w:cstheme="minorHAnsi"/>
          <w:sz w:val="24"/>
          <w:szCs w:val="24"/>
        </w:rPr>
      </w:pPr>
    </w:p>
    <w:p w:rsidR="009962CB" w:rsidRPr="00507FA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lastRenderedPageBreak/>
        <w:t>4.24 Problematická byla především místa pro přecházení</w:t>
      </w:r>
      <w:r w:rsidR="00203EF6" w:rsidRPr="00507FAB">
        <w:rPr>
          <w:rStyle w:val="Znakapoznpodarou"/>
          <w:rFonts w:eastAsia="Times New Roman" w:cstheme="minorHAnsi"/>
          <w:sz w:val="24"/>
          <w:szCs w:val="24"/>
        </w:rPr>
        <w:footnoteReference w:id="33"/>
      </w:r>
      <w:r>
        <w:rPr>
          <w:rFonts w:eastAsia="Calibri" w:cstheme="minorHAnsi"/>
          <w:sz w:val="24"/>
          <w:szCs w:val="24"/>
        </w:rPr>
        <w:t xml:space="preserve"> přes dopravně zatížené komunikace, která </w:t>
      </w:r>
      <w:r w:rsidRPr="00507FAB">
        <w:rPr>
          <w:rFonts w:eastAsia="Calibri" w:cstheme="minorHAnsi"/>
          <w:sz w:val="24"/>
          <w:szCs w:val="24"/>
        </w:rPr>
        <w:t>chodcům nezajišťují možnost jejich bezpečného přecházení</w:t>
      </w:r>
      <w:r w:rsidR="00203EF6">
        <w:rPr>
          <w:rFonts w:eastAsia="Calibri" w:cstheme="minorHAnsi"/>
          <w:sz w:val="24"/>
          <w:szCs w:val="24"/>
        </w:rPr>
        <w:t>.</w:t>
      </w:r>
      <w:r w:rsidRPr="00507FAB">
        <w:rPr>
          <w:rFonts w:eastAsia="Times New Roman" w:cstheme="minorHAnsi"/>
          <w:sz w:val="24"/>
          <w:szCs w:val="24"/>
        </w:rPr>
        <w:t xml:space="preserve"> Na rozdíl od přechodů pro chodce </w:t>
      </w:r>
      <w:r w:rsidR="00203EF6">
        <w:rPr>
          <w:rFonts w:eastAsia="Times New Roman" w:cstheme="minorHAnsi"/>
          <w:sz w:val="24"/>
          <w:szCs w:val="24"/>
        </w:rPr>
        <w:t>totiž</w:t>
      </w:r>
      <w:r w:rsidR="00203EF6" w:rsidRPr="00507FAB">
        <w:rPr>
          <w:rFonts w:eastAsia="Times New Roman" w:cstheme="minorHAnsi"/>
          <w:sz w:val="24"/>
          <w:szCs w:val="24"/>
        </w:rPr>
        <w:t xml:space="preserve"> </w:t>
      </w:r>
      <w:r w:rsidRPr="00507FAB">
        <w:rPr>
          <w:rFonts w:eastAsia="Times New Roman" w:cstheme="minorHAnsi"/>
          <w:sz w:val="24"/>
          <w:szCs w:val="24"/>
        </w:rPr>
        <w:t>může být obtížné je vůbec identifikovat, protože nemusí být vyznačena žádnou dopravní značkou. Jejich účelem není zajistit vyšší bezpečnost přecházení, ale usnadnit jej osobám se sníženou schopností pohybu nebo orientace. Pokud jsou nevhodně umístěna nebo řešena, tento svůj účel neplní a pro tyto osoby mohou naopak vytvářet bezpečnostní riziko.</w:t>
      </w:r>
      <w:r>
        <w:rPr>
          <w:rFonts w:eastAsia="Times New Roman" w:cstheme="minorHAnsi"/>
          <w:sz w:val="24"/>
          <w:szCs w:val="24"/>
        </w:rPr>
        <w:t xml:space="preserve"> Tři nebezpečná místa pro přecházení, jejich</w:t>
      </w:r>
      <w:r w:rsidR="002153BD">
        <w:rPr>
          <w:rFonts w:eastAsia="Times New Roman" w:cstheme="minorHAnsi"/>
          <w:sz w:val="24"/>
          <w:szCs w:val="24"/>
        </w:rPr>
        <w:t>ž</w:t>
      </w:r>
      <w:r>
        <w:rPr>
          <w:rFonts w:eastAsia="Times New Roman" w:cstheme="minorHAnsi"/>
          <w:sz w:val="24"/>
          <w:szCs w:val="24"/>
        </w:rPr>
        <w:t xml:space="preserve"> vybudování bylo součástí tří podpořených projektů</w:t>
      </w:r>
      <w:r w:rsidR="00182736">
        <w:rPr>
          <w:rFonts w:eastAsia="Times New Roman" w:cstheme="minorHAnsi"/>
          <w:sz w:val="24"/>
          <w:szCs w:val="24"/>
        </w:rPr>
        <w:t>,</w:t>
      </w:r>
      <w:r>
        <w:rPr>
          <w:rFonts w:eastAsia="Times New Roman" w:cstheme="minorHAnsi"/>
          <w:sz w:val="24"/>
          <w:szCs w:val="24"/>
        </w:rPr>
        <w:t xml:space="preserve"> jsou uvedena v příkladu č. 9.</w:t>
      </w:r>
    </w:p>
    <w:p w:rsidR="009962CB" w:rsidRPr="00507FAB" w:rsidRDefault="009962CB" w:rsidP="009962CB">
      <w:pPr>
        <w:spacing w:after="0" w:line="252" w:lineRule="auto"/>
        <w:contextualSpacing/>
        <w:jc w:val="both"/>
        <w:rPr>
          <w:rFonts w:eastAsia="Calibri" w:cstheme="minorHAnsi"/>
          <w:sz w:val="24"/>
          <w:szCs w:val="24"/>
        </w:rPr>
      </w:pPr>
    </w:p>
    <w:p w:rsidR="009962CB" w:rsidRPr="00507FAB" w:rsidRDefault="009962CB" w:rsidP="009962CB">
      <w:pPr>
        <w:pStyle w:val="Default"/>
        <w:pBdr>
          <w:top w:val="single" w:sz="4" w:space="1" w:color="auto"/>
          <w:left w:val="single" w:sz="4" w:space="4" w:color="auto"/>
          <w:bottom w:val="single" w:sz="4" w:space="1" w:color="auto"/>
          <w:right w:val="single" w:sz="4" w:space="4" w:color="auto"/>
        </w:pBdr>
        <w:shd w:val="clear" w:color="auto" w:fill="E7E6E6" w:themeFill="background2"/>
        <w:spacing w:line="252" w:lineRule="auto"/>
        <w:contextualSpacing/>
        <w:jc w:val="both"/>
        <w:rPr>
          <w:rFonts w:asciiTheme="minorHAnsi" w:eastAsia="Times New Roman" w:hAnsiTheme="minorHAnsi" w:cstheme="minorHAnsi"/>
          <w:b/>
        </w:rPr>
      </w:pPr>
      <w:r w:rsidRPr="00507FAB">
        <w:rPr>
          <w:rFonts w:asciiTheme="minorHAnsi" w:eastAsia="Times New Roman" w:hAnsiTheme="minorHAnsi" w:cstheme="minorHAnsi"/>
          <w:b/>
        </w:rPr>
        <w:t>Základní informace o řešení míst pro přecházení:</w:t>
      </w:r>
    </w:p>
    <w:p w:rsidR="009962CB" w:rsidRPr="00892B7F" w:rsidRDefault="009962CB" w:rsidP="009962CB">
      <w:pPr>
        <w:pStyle w:val="Default"/>
        <w:pBdr>
          <w:top w:val="single" w:sz="4" w:space="1" w:color="auto"/>
          <w:left w:val="single" w:sz="4" w:space="4" w:color="auto"/>
          <w:bottom w:val="single" w:sz="4" w:space="1" w:color="auto"/>
          <w:right w:val="single" w:sz="4" w:space="4" w:color="auto"/>
        </w:pBdr>
        <w:shd w:val="clear" w:color="auto" w:fill="E7E6E6" w:themeFill="background2"/>
        <w:spacing w:line="252" w:lineRule="auto"/>
        <w:contextualSpacing/>
        <w:jc w:val="both"/>
        <w:rPr>
          <w:rFonts w:asciiTheme="minorHAnsi" w:eastAsia="Times New Roman" w:hAnsiTheme="minorHAnsi" w:cstheme="minorHAnsi"/>
          <w:color w:val="auto"/>
          <w:lang w:eastAsia="en-US"/>
        </w:rPr>
      </w:pPr>
      <w:r w:rsidRPr="00892B7F">
        <w:rPr>
          <w:rFonts w:asciiTheme="minorHAnsi" w:eastAsia="Times New Roman" w:hAnsiTheme="minorHAnsi" w:cstheme="minorHAnsi"/>
        </w:rPr>
        <w:t xml:space="preserve">Místa pro přecházení usnadňují díky bezbariérovým úpravám přecházení chodců přes komunikaci. Nenahrazují ale přechody pro chodce, jen je mají ve vhodných místech doplňovat. </w:t>
      </w:r>
      <w:r w:rsidRPr="00892B7F">
        <w:rPr>
          <w:rFonts w:asciiTheme="minorHAnsi" w:hAnsiTheme="minorHAnsi" w:cstheme="minorHAnsi"/>
        </w:rPr>
        <w:t>Na komunikacích s vyšší intenzitou dopravy (&gt; 5 000 vozidel/24 h v obou směrech) se má poptávka po přecházení soustřeďovat na přechody pro chodce</w:t>
      </w:r>
      <w:r w:rsidRPr="00892B7F">
        <w:rPr>
          <w:rFonts w:asciiTheme="minorHAnsi" w:eastAsia="Times New Roman" w:hAnsiTheme="minorHAnsi" w:cstheme="minorHAnsi"/>
        </w:rPr>
        <w:t>. Místa pro přecházení mají být dostatečně osvětlena a doporučuje se je podle místních</w:t>
      </w:r>
      <w:r w:rsidRPr="00892B7F">
        <w:rPr>
          <w:rFonts w:asciiTheme="minorHAnsi" w:eastAsia="Times New Roman" w:hAnsiTheme="minorHAnsi" w:cstheme="minorHAnsi"/>
          <w:sz w:val="28"/>
        </w:rPr>
        <w:t xml:space="preserve"> </w:t>
      </w:r>
      <w:r w:rsidRPr="00892B7F">
        <w:rPr>
          <w:rFonts w:asciiTheme="minorHAnsi" w:eastAsia="Times New Roman" w:hAnsiTheme="minorHAnsi" w:cstheme="minorHAnsi"/>
        </w:rPr>
        <w:t>podmínek vybavit obdobně jako přechody pro chodce alespoň jedním podpůrným technickým prvkem, jako jsou vysazené chodníkové plochy, dělicí ochranné ostrůvky, zúžení jízdního pásu, zvýšené plochy.</w:t>
      </w:r>
      <w:r w:rsidRPr="00892B7F">
        <w:rPr>
          <w:rStyle w:val="Znakapoznpodarou"/>
          <w:rFonts w:asciiTheme="minorHAnsi" w:eastAsia="Times New Roman" w:hAnsiTheme="minorHAnsi" w:cstheme="minorHAnsi"/>
        </w:rPr>
        <w:footnoteReference w:id="34"/>
      </w:r>
      <w:r w:rsidRPr="00892B7F">
        <w:rPr>
          <w:rFonts w:asciiTheme="minorHAnsi" w:eastAsia="Times New Roman" w:hAnsiTheme="minorHAnsi" w:cstheme="minorHAnsi"/>
          <w:color w:val="auto"/>
          <w:lang w:eastAsia="en-US"/>
        </w:rPr>
        <w:t xml:space="preserve"> </w:t>
      </w:r>
    </w:p>
    <w:p w:rsidR="009962CB" w:rsidRDefault="009962CB" w:rsidP="009962CB">
      <w:pPr>
        <w:spacing w:after="0" w:line="252" w:lineRule="auto"/>
        <w:contextualSpacing/>
        <w:jc w:val="both"/>
        <w:rPr>
          <w:rFonts w:eastAsia="Calibri" w:cstheme="minorHAnsi"/>
          <w:sz w:val="24"/>
          <w:szCs w:val="24"/>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t>Příklad č. 9: Nebezpečná místa pro přecházení</w:t>
      </w: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r w:rsidRPr="004E3DFD">
        <w:rPr>
          <w:rFonts w:asciiTheme="minorHAnsi" w:hAnsiTheme="minorHAnsi" w:cstheme="minorHAnsi"/>
          <w:i/>
          <w:sz w:val="22"/>
          <w:szCs w:val="22"/>
          <w:u w:val="single"/>
        </w:rPr>
        <w:t>Projekt č. 1:</w:t>
      </w:r>
      <w:r w:rsidRPr="004E3DFD">
        <w:rPr>
          <w:rFonts w:asciiTheme="minorHAnsi" w:hAnsiTheme="minorHAnsi" w:cstheme="minorHAnsi"/>
          <w:i/>
          <w:sz w:val="22"/>
          <w:szCs w:val="22"/>
        </w:rPr>
        <w:t xml:space="preserve"> Místo pro přecházení přes silnici III. třídy procházející obcí</w:t>
      </w:r>
      <w:r w:rsidR="00C431DE">
        <w:rPr>
          <w:rFonts w:asciiTheme="minorHAnsi" w:hAnsiTheme="minorHAnsi" w:cstheme="minorHAnsi"/>
          <w:i/>
          <w:sz w:val="22"/>
          <w:szCs w:val="22"/>
        </w:rPr>
        <w:t xml:space="preserve"> se n</w:t>
      </w:r>
      <w:r w:rsidRPr="004E3DFD">
        <w:rPr>
          <w:rFonts w:asciiTheme="minorHAnsi" w:hAnsiTheme="minorHAnsi" w:cstheme="minorHAnsi"/>
          <w:i/>
          <w:sz w:val="22"/>
          <w:szCs w:val="22"/>
        </w:rPr>
        <w:t>achází před domem pro seniory, kde lze očekávat zvýšený pohyb osob se sníženou schopností pohybu nebo orientace. Kvůli parkovišti a na něm zaparkovaným automobilům nejsou splněny požadavky předpisů na rozhledové poměry. Místo nebylo realizováno v souladu se schválenou projektovou dokumentací. Není označeno dopravním značením upozorňujícím řidiče na zvýšený pohyb chodců ve vozovce. SFDI bude na základě upozornění NKÚ situaci řešit s příjemcem podpory.</w:t>
      </w: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p>
    <w:p w:rsidR="009962CB"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rPr>
      </w:pPr>
      <w:r w:rsidRPr="008D6669">
        <w:rPr>
          <w:rFonts w:asciiTheme="minorHAnsi" w:hAnsiTheme="minorHAnsi" w:cstheme="minorHAnsi"/>
          <w:noProof/>
          <w:color w:val="auto"/>
        </w:rPr>
        <w:drawing>
          <wp:inline distT="0" distB="0" distL="0" distR="0" wp14:anchorId="0F091C0C" wp14:editId="6B85BFEA">
            <wp:extent cx="2700000" cy="2025000"/>
            <wp:effectExtent l="19050" t="19050" r="24765" b="13970"/>
            <wp:docPr id="25" name="Obrázek 25" descr="C:\Users\LOCAL_~1\Temp\vmware-BUKAC-3100718385\VMwareDnD\horizon_11368-13de2998\IMG_20240521_11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L_~1\Temp\vmware-BUKAC-3100718385\VMwareDnD\horizon_11368-13de2998\IMG_20240521_11480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w="6350">
                      <a:solidFill>
                        <a:schemeClr val="tx1"/>
                      </a:solidFill>
                    </a:ln>
                  </pic:spPr>
                </pic:pic>
              </a:graphicData>
            </a:graphic>
          </wp:inline>
        </w:drawing>
      </w:r>
      <w:r>
        <w:rPr>
          <w:rFonts w:asciiTheme="minorHAnsi" w:hAnsiTheme="minorHAnsi" w:cstheme="minorHAnsi"/>
        </w:rPr>
        <w:t xml:space="preserve"> </w:t>
      </w:r>
      <w:r w:rsidR="00CA6D0B">
        <w:rPr>
          <w:rFonts w:asciiTheme="minorHAnsi" w:hAnsiTheme="minorHAnsi" w:cstheme="minorHAnsi"/>
        </w:rPr>
        <w:tab/>
      </w:r>
      <w:r w:rsidRPr="00733FAA">
        <w:rPr>
          <w:rFonts w:asciiTheme="minorHAnsi" w:hAnsiTheme="minorHAnsi" w:cstheme="minorHAnsi"/>
          <w:noProof/>
          <w:color w:val="auto"/>
        </w:rPr>
        <w:drawing>
          <wp:inline distT="0" distB="0" distL="0" distR="0" wp14:anchorId="05205FC2" wp14:editId="460650BF">
            <wp:extent cx="2700000" cy="2025646"/>
            <wp:effectExtent l="19050" t="19050" r="24765" b="13335"/>
            <wp:docPr id="23" name="Obrázek 23" descr="C:\Users\LOCAL_~1\Temp\vmware-BUKAC-3134403391\VMwareDnD\horizon_11360-806bca68\IMG_20240521_1151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CAL_~1\Temp\vmware-BUKAC-3134403391\VMwareDnD\horizon_11360-806bca68\IMG_20240521_115123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00" cy="2025646"/>
                    </a:xfrm>
                    <a:prstGeom prst="rect">
                      <a:avLst/>
                    </a:prstGeom>
                    <a:noFill/>
                    <a:ln w="6350">
                      <a:solidFill>
                        <a:schemeClr val="tx1"/>
                      </a:solidFill>
                    </a:ln>
                  </pic:spPr>
                </pic:pic>
              </a:graphicData>
            </a:graphic>
          </wp:inline>
        </w:drawing>
      </w:r>
    </w:p>
    <w:p w:rsidR="009962CB" w:rsidRPr="000B29CF"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Calibri" w:hAnsi="Calibri" w:cs="Calibri"/>
          <w:iCs/>
          <w:sz w:val="22"/>
          <w:szCs w:val="22"/>
        </w:rPr>
      </w:pPr>
      <w:r w:rsidRPr="000B29CF">
        <w:rPr>
          <w:rFonts w:ascii="Calibri" w:hAnsi="Calibri" w:cs="Calibri"/>
          <w:b/>
          <w:bCs/>
          <w:iCs/>
          <w:sz w:val="22"/>
          <w:szCs w:val="22"/>
        </w:rPr>
        <w:t>Zdroj:</w:t>
      </w:r>
      <w:r w:rsidRPr="000B29CF">
        <w:rPr>
          <w:rFonts w:ascii="Calibri" w:hAnsi="Calibri" w:cs="Calibri"/>
          <w:iCs/>
          <w:sz w:val="22"/>
          <w:szCs w:val="22"/>
        </w:rPr>
        <w:t xml:space="preserve"> 2</w:t>
      </w:r>
      <w:r w:rsidR="008E4818" w:rsidRPr="000B29CF">
        <w:rPr>
          <w:rFonts w:ascii="Calibri" w:hAnsi="Calibri" w:cs="Calibri"/>
          <w:iCs/>
          <w:sz w:val="22"/>
          <w:szCs w:val="22"/>
        </w:rPr>
        <w:t>×</w:t>
      </w:r>
      <w:r w:rsidRPr="000B29CF">
        <w:rPr>
          <w:rFonts w:ascii="Calibri" w:hAnsi="Calibri" w:cs="Calibri"/>
          <w:iCs/>
          <w:sz w:val="22"/>
          <w:szCs w:val="22"/>
        </w:rPr>
        <w:t xml:space="preserve"> </w:t>
      </w:r>
      <w:r w:rsidR="00AA7239" w:rsidRPr="000B29CF">
        <w:rPr>
          <w:rFonts w:ascii="Calibri" w:hAnsi="Calibri" w:cs="Calibri"/>
          <w:iCs/>
          <w:sz w:val="22"/>
          <w:szCs w:val="22"/>
        </w:rPr>
        <w:t>kontrola</w:t>
      </w:r>
      <w:r w:rsidRPr="000B29CF">
        <w:rPr>
          <w:rFonts w:ascii="Calibri" w:hAnsi="Calibri" w:cs="Calibri"/>
          <w:iCs/>
          <w:sz w:val="22"/>
          <w:szCs w:val="22"/>
        </w:rPr>
        <w:t xml:space="preserve"> NKÚ</w:t>
      </w:r>
      <w:r w:rsidR="00AA7239" w:rsidRPr="000B29CF">
        <w:rPr>
          <w:rFonts w:ascii="Calibri" w:hAnsi="Calibri" w:cs="Calibri"/>
          <w:iCs/>
          <w:sz w:val="22"/>
          <w:szCs w:val="22"/>
        </w:rPr>
        <w:t xml:space="preserve"> na místě</w:t>
      </w:r>
      <w:r w:rsidR="00072F77" w:rsidRPr="000B29CF">
        <w:rPr>
          <w:rFonts w:ascii="Calibri" w:hAnsi="Calibri" w:cs="Calibri"/>
          <w:iCs/>
          <w:sz w:val="22"/>
          <w:szCs w:val="22"/>
        </w:rPr>
        <w:t>.</w:t>
      </w:r>
      <w:r w:rsidR="00072F77">
        <w:rPr>
          <w:rFonts w:ascii="Calibri" w:hAnsi="Calibri" w:cs="Calibri"/>
          <w:iCs/>
          <w:sz w:val="22"/>
          <w:szCs w:val="22"/>
        </w:rPr>
        <w:t xml:space="preserve"> </w:t>
      </w:r>
    </w:p>
    <w:p w:rsidR="009962CB"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rPr>
      </w:pP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r w:rsidRPr="004E3DFD">
        <w:rPr>
          <w:rFonts w:asciiTheme="minorHAnsi" w:hAnsiTheme="minorHAnsi" w:cstheme="minorHAnsi"/>
          <w:i/>
          <w:sz w:val="22"/>
          <w:szCs w:val="22"/>
          <w:u w:val="single"/>
        </w:rPr>
        <w:t>Projekt č. 4:</w:t>
      </w:r>
      <w:r w:rsidRPr="004E3DFD">
        <w:rPr>
          <w:rFonts w:asciiTheme="minorHAnsi" w:hAnsiTheme="minorHAnsi" w:cstheme="minorHAnsi"/>
          <w:i/>
          <w:sz w:val="22"/>
          <w:szCs w:val="22"/>
        </w:rPr>
        <w:t xml:space="preserve"> Místo pro přecházení přes dopravně zatíženou silnici I. třídy procházející obcí s intenzitou provozu 11 006 vozidel/24 hodin navazuje na vybudovaný chodník</w:t>
      </w:r>
      <w:r w:rsidR="00EC1667">
        <w:rPr>
          <w:rFonts w:asciiTheme="minorHAnsi" w:hAnsiTheme="minorHAnsi" w:cstheme="minorHAnsi"/>
          <w:i/>
          <w:sz w:val="22"/>
          <w:szCs w:val="22"/>
        </w:rPr>
        <w:t>.</w:t>
      </w:r>
      <w:r w:rsidRPr="004E3DFD">
        <w:rPr>
          <w:rFonts w:asciiTheme="minorHAnsi" w:hAnsiTheme="minorHAnsi" w:cstheme="minorHAnsi"/>
          <w:i/>
          <w:sz w:val="22"/>
          <w:szCs w:val="22"/>
        </w:rPr>
        <w:t xml:space="preserve"> </w:t>
      </w:r>
      <w:r w:rsidR="00EC1667">
        <w:rPr>
          <w:rFonts w:asciiTheme="minorHAnsi" w:hAnsiTheme="minorHAnsi" w:cstheme="minorHAnsi"/>
          <w:i/>
          <w:sz w:val="22"/>
          <w:szCs w:val="22"/>
        </w:rPr>
        <w:t>P</w:t>
      </w:r>
      <w:r w:rsidRPr="004E3DFD">
        <w:rPr>
          <w:rFonts w:asciiTheme="minorHAnsi" w:hAnsiTheme="minorHAnsi" w:cstheme="minorHAnsi"/>
          <w:i/>
          <w:sz w:val="22"/>
          <w:szCs w:val="22"/>
        </w:rPr>
        <w:t xml:space="preserve">odle cílů projektu </w:t>
      </w:r>
      <w:r w:rsidR="00072F77">
        <w:rPr>
          <w:rFonts w:asciiTheme="minorHAnsi" w:hAnsiTheme="minorHAnsi" w:cstheme="minorHAnsi"/>
          <w:i/>
          <w:sz w:val="22"/>
          <w:szCs w:val="22"/>
        </w:rPr>
        <w:t xml:space="preserve">uvedených </w:t>
      </w:r>
      <w:r w:rsidRPr="004E3DFD">
        <w:rPr>
          <w:rFonts w:asciiTheme="minorHAnsi" w:hAnsiTheme="minorHAnsi" w:cstheme="minorHAnsi"/>
          <w:i/>
          <w:sz w:val="22"/>
          <w:szCs w:val="22"/>
        </w:rPr>
        <w:t xml:space="preserve">v žádosti o </w:t>
      </w:r>
      <w:r w:rsidR="00EC1667" w:rsidRPr="004E3DFD">
        <w:rPr>
          <w:rFonts w:asciiTheme="minorHAnsi" w:hAnsiTheme="minorHAnsi" w:cstheme="minorHAnsi"/>
          <w:i/>
          <w:sz w:val="22"/>
          <w:szCs w:val="22"/>
        </w:rPr>
        <w:t>podpor</w:t>
      </w:r>
      <w:r w:rsidR="00EC1667">
        <w:rPr>
          <w:rFonts w:asciiTheme="minorHAnsi" w:hAnsiTheme="minorHAnsi" w:cstheme="minorHAnsi"/>
          <w:i/>
          <w:sz w:val="22"/>
          <w:szCs w:val="22"/>
        </w:rPr>
        <w:t>u</w:t>
      </w:r>
      <w:r w:rsidR="00EC1667" w:rsidRPr="004E3DFD">
        <w:rPr>
          <w:rFonts w:asciiTheme="minorHAnsi" w:hAnsiTheme="minorHAnsi" w:cstheme="minorHAnsi"/>
          <w:i/>
          <w:sz w:val="22"/>
          <w:szCs w:val="22"/>
        </w:rPr>
        <w:t xml:space="preserve"> </w:t>
      </w:r>
      <w:r w:rsidRPr="004E3DFD">
        <w:rPr>
          <w:rFonts w:asciiTheme="minorHAnsi" w:hAnsiTheme="minorHAnsi" w:cstheme="minorHAnsi"/>
          <w:i/>
          <w:sz w:val="22"/>
          <w:szCs w:val="22"/>
        </w:rPr>
        <w:t>mělo zajistit bezpečnější přístup k obchodu s potravinami, autobusové zastávce a</w:t>
      </w:r>
      <w:r w:rsidR="00072F77">
        <w:rPr>
          <w:rFonts w:asciiTheme="minorHAnsi" w:hAnsiTheme="minorHAnsi" w:cstheme="minorHAnsi"/>
          <w:i/>
          <w:sz w:val="22"/>
          <w:szCs w:val="22"/>
        </w:rPr>
        <w:t> </w:t>
      </w:r>
      <w:r w:rsidRPr="004E3DFD">
        <w:rPr>
          <w:rFonts w:asciiTheme="minorHAnsi" w:hAnsiTheme="minorHAnsi" w:cstheme="minorHAnsi"/>
          <w:i/>
          <w:sz w:val="22"/>
          <w:szCs w:val="22"/>
        </w:rPr>
        <w:t xml:space="preserve">dětskému hřišti, které se nacházejí na druhé straně komunikace. Místo není vybaveno žádnými prvky </w:t>
      </w:r>
      <w:r w:rsidRPr="004E3DFD">
        <w:rPr>
          <w:rFonts w:asciiTheme="minorHAnsi" w:hAnsiTheme="minorHAnsi" w:cstheme="minorHAnsi"/>
          <w:i/>
          <w:sz w:val="22"/>
          <w:szCs w:val="22"/>
        </w:rPr>
        <w:lastRenderedPageBreak/>
        <w:t>zvyšujícími bezpečnost přecházení a není označeno žádným dopravním značením, které by upozornilo řidiče na zvýšený pohyb chodců ve vozovce. Nejedná se o bezpečné řešení přecházen</w:t>
      </w:r>
      <w:r w:rsidR="002153BD">
        <w:rPr>
          <w:rFonts w:asciiTheme="minorHAnsi" w:hAnsiTheme="minorHAnsi" w:cstheme="minorHAnsi"/>
          <w:i/>
          <w:sz w:val="22"/>
          <w:szCs w:val="22"/>
        </w:rPr>
        <w:t>í</w:t>
      </w:r>
      <w:r w:rsidRPr="004E3DFD">
        <w:rPr>
          <w:rFonts w:asciiTheme="minorHAnsi" w:hAnsiTheme="minorHAnsi" w:cstheme="minorHAnsi"/>
          <w:i/>
          <w:sz w:val="22"/>
          <w:szCs w:val="22"/>
        </w:rPr>
        <w:t xml:space="preserve"> silnice s intenzivním provozem.</w:t>
      </w:r>
    </w:p>
    <w:p w:rsidR="009962CB"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rPr>
      </w:pPr>
    </w:p>
    <w:p w:rsidR="009962CB"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rPr>
      </w:pPr>
      <w:r w:rsidRPr="00466E9A">
        <w:rPr>
          <w:rFonts w:cstheme="minorHAnsi"/>
          <w:b/>
          <w:noProof/>
        </w:rPr>
        <w:drawing>
          <wp:inline distT="0" distB="0" distL="0" distR="0" wp14:anchorId="7B547CDC" wp14:editId="7346FD14">
            <wp:extent cx="2699385" cy="2023177"/>
            <wp:effectExtent l="19050" t="19050" r="24765" b="15240"/>
            <wp:docPr id="13" name="Obrázek 13" descr="C:\Users\LOCAL_~1\Temp\vmware-BUKAC-3134403507\VMwareDnD\horizon_11112-8dd1d2c8\IMG_20240605_06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CAL_~1\Temp\vmware-BUKAC-3134403507\VMwareDnD\horizon_11112-8dd1d2c8\IMG_20240605_06351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068" t="2844" b="23252"/>
                    <a:stretch/>
                  </pic:blipFill>
                  <pic:spPr bwMode="auto">
                    <a:xfrm>
                      <a:off x="0" y="0"/>
                      <a:ext cx="2700000" cy="2023638"/>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466E9A">
        <w:rPr>
          <w:rFonts w:cstheme="minorHAnsi"/>
          <w:b/>
          <w:noProof/>
        </w:rPr>
        <w:t xml:space="preserve"> </w:t>
      </w:r>
      <w:r w:rsidR="00CA6D0B">
        <w:rPr>
          <w:rFonts w:cstheme="minorHAnsi"/>
          <w:b/>
          <w:noProof/>
        </w:rPr>
        <w:tab/>
      </w:r>
      <w:r w:rsidRPr="00466E9A">
        <w:rPr>
          <w:rFonts w:cstheme="minorHAnsi"/>
          <w:b/>
          <w:noProof/>
        </w:rPr>
        <w:drawing>
          <wp:inline distT="0" distB="0" distL="0" distR="0" wp14:anchorId="0567DD88" wp14:editId="7CAA6838">
            <wp:extent cx="2700000" cy="2026316"/>
            <wp:effectExtent l="19050" t="19050" r="24765" b="12065"/>
            <wp:docPr id="19" name="Obrázek 19" descr="C:\Users\LOCAL_~1\Temp\vmware-BUKAC-3101308160\VMwareDnD\horizon_10820-c3100edd\Foto po realizac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CAL_~1\Temp\vmware-BUKAC-3101308160\VMwareDnD\horizon_10820-c3100edd\Foto po realizaci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000" cy="2026316"/>
                    </a:xfrm>
                    <a:prstGeom prst="rect">
                      <a:avLst/>
                    </a:prstGeom>
                    <a:noFill/>
                    <a:ln w="6350">
                      <a:solidFill>
                        <a:schemeClr val="tx1"/>
                      </a:solidFill>
                    </a:ln>
                  </pic:spPr>
                </pic:pic>
              </a:graphicData>
            </a:graphic>
          </wp:inline>
        </w:drawing>
      </w:r>
    </w:p>
    <w:p w:rsidR="009962CB" w:rsidRPr="000B29CF"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Calibri" w:hAnsi="Calibri" w:cs="Calibri"/>
          <w:iCs/>
          <w:sz w:val="22"/>
          <w:szCs w:val="22"/>
        </w:rPr>
      </w:pPr>
      <w:r w:rsidRPr="000B29CF">
        <w:rPr>
          <w:rFonts w:ascii="Calibri" w:hAnsi="Calibri" w:cs="Calibri"/>
          <w:b/>
          <w:bCs/>
          <w:iCs/>
          <w:sz w:val="22"/>
          <w:szCs w:val="22"/>
        </w:rPr>
        <w:t>Zdroj:</w:t>
      </w:r>
      <w:r w:rsidRPr="000B29CF">
        <w:rPr>
          <w:rFonts w:ascii="Calibri" w:hAnsi="Calibri" w:cs="Calibri"/>
          <w:iCs/>
          <w:sz w:val="22"/>
          <w:szCs w:val="22"/>
        </w:rPr>
        <w:t xml:space="preserve"> 2</w:t>
      </w:r>
      <w:r w:rsidR="008E4818" w:rsidRPr="000B29CF">
        <w:rPr>
          <w:rFonts w:ascii="Calibri" w:hAnsi="Calibri" w:cs="Calibri"/>
          <w:iCs/>
          <w:sz w:val="22"/>
          <w:szCs w:val="22"/>
        </w:rPr>
        <w:t>×</w:t>
      </w:r>
      <w:r w:rsidRPr="000B29CF">
        <w:rPr>
          <w:rFonts w:ascii="Calibri" w:hAnsi="Calibri" w:cs="Calibri"/>
          <w:iCs/>
          <w:sz w:val="22"/>
          <w:szCs w:val="22"/>
        </w:rPr>
        <w:t xml:space="preserve"> </w:t>
      </w:r>
      <w:r w:rsidR="00AA7239" w:rsidRPr="000B29CF">
        <w:rPr>
          <w:rFonts w:ascii="Calibri" w:hAnsi="Calibri" w:cs="Calibri"/>
          <w:iCs/>
          <w:sz w:val="22"/>
          <w:szCs w:val="22"/>
        </w:rPr>
        <w:t xml:space="preserve">kontrola </w:t>
      </w:r>
      <w:r w:rsidRPr="000B29CF">
        <w:rPr>
          <w:rFonts w:ascii="Calibri" w:hAnsi="Calibri" w:cs="Calibri"/>
          <w:iCs/>
          <w:sz w:val="22"/>
          <w:szCs w:val="22"/>
        </w:rPr>
        <w:t>NKÚ</w:t>
      </w:r>
      <w:r w:rsidR="00CA6D0B" w:rsidRPr="000B29CF">
        <w:rPr>
          <w:rFonts w:ascii="Calibri" w:hAnsi="Calibri" w:cs="Calibri"/>
          <w:iCs/>
          <w:sz w:val="22"/>
          <w:szCs w:val="22"/>
        </w:rPr>
        <w:t xml:space="preserve"> </w:t>
      </w:r>
      <w:r w:rsidR="0092477F" w:rsidRPr="000B29CF">
        <w:rPr>
          <w:rFonts w:ascii="Calibri" w:hAnsi="Calibri" w:cs="Calibri"/>
          <w:iCs/>
          <w:sz w:val="22"/>
          <w:szCs w:val="22"/>
        </w:rPr>
        <w:t>na místě</w:t>
      </w:r>
      <w:r w:rsidR="00CA6D0B" w:rsidRPr="000B29CF">
        <w:rPr>
          <w:rFonts w:ascii="Calibri" w:hAnsi="Calibri" w:cs="Calibri"/>
          <w:iCs/>
          <w:sz w:val="22"/>
          <w:szCs w:val="22"/>
        </w:rPr>
        <w:t>.</w:t>
      </w: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Calibri" w:hAnsi="Calibri" w:cs="Calibri"/>
          <w:i/>
          <w:sz w:val="22"/>
          <w:szCs w:val="22"/>
        </w:rPr>
      </w:pPr>
    </w:p>
    <w:p w:rsidR="009962CB"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r w:rsidRPr="004E3DFD">
        <w:rPr>
          <w:rFonts w:ascii="Calibri" w:hAnsi="Calibri" w:cs="Calibri"/>
          <w:i/>
          <w:sz w:val="22"/>
          <w:szCs w:val="22"/>
          <w:u w:val="single"/>
        </w:rPr>
        <w:t>Projekt č. 1</w:t>
      </w:r>
      <w:r w:rsidR="00046384">
        <w:rPr>
          <w:rFonts w:ascii="Calibri" w:hAnsi="Calibri" w:cs="Calibri"/>
          <w:i/>
          <w:sz w:val="22"/>
          <w:szCs w:val="22"/>
          <w:u w:val="single"/>
        </w:rPr>
        <w:t>7</w:t>
      </w:r>
      <w:r w:rsidRPr="004E3DFD">
        <w:rPr>
          <w:rFonts w:ascii="Calibri" w:hAnsi="Calibri" w:cs="Calibri"/>
          <w:i/>
          <w:sz w:val="22"/>
          <w:szCs w:val="22"/>
          <w:u w:val="single"/>
        </w:rPr>
        <w:t>:</w:t>
      </w:r>
      <w:r w:rsidRPr="004E3DFD">
        <w:rPr>
          <w:rFonts w:ascii="Calibri" w:hAnsi="Calibri" w:cs="Calibri"/>
          <w:i/>
          <w:sz w:val="22"/>
          <w:szCs w:val="22"/>
        </w:rPr>
        <w:t xml:space="preserve"> Místo pro přecházení přes dopravně zatíženou silnici II. třídy </w:t>
      </w:r>
      <w:r w:rsidRPr="004E3DFD">
        <w:rPr>
          <w:rFonts w:asciiTheme="minorHAnsi" w:hAnsiTheme="minorHAnsi" w:cstheme="minorHAnsi"/>
          <w:i/>
          <w:sz w:val="22"/>
          <w:szCs w:val="22"/>
        </w:rPr>
        <w:t xml:space="preserve">procházející městem s intenzitou provozu 6 361 vozidel/24 hodin. Místo představuje spojnici mezi vybudovaným chodníkem a rekonstruovanou stezkou pro pěší zkracující cestu k vlakovému nádraží. V místě nejsou zajištěny rozhledové poměry a je nesprávně označeno (jen na jedné straně!) signálním pásem jako místo pro přecházení bezpečné pro osoby se sníženou schopností orientace. </w:t>
      </w:r>
    </w:p>
    <w:p w:rsidR="00046384" w:rsidRPr="004E3DFD" w:rsidRDefault="00046384"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p>
    <w:p w:rsidR="009962CB" w:rsidRPr="000B6351"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rPr>
      </w:pPr>
      <w:r w:rsidRPr="009340E7">
        <w:rPr>
          <w:rFonts w:asciiTheme="minorHAnsi" w:hAnsiTheme="minorHAnsi" w:cstheme="minorHAnsi"/>
          <w:noProof/>
        </w:rPr>
        <w:drawing>
          <wp:inline distT="0" distB="0" distL="0" distR="0" wp14:anchorId="306D26ED" wp14:editId="667B323B">
            <wp:extent cx="2700000" cy="2025220"/>
            <wp:effectExtent l="19050" t="19050" r="24765" b="13335"/>
            <wp:docPr id="6" name="Obrázek 6" descr="C:\Users\LOCAL_~1\Temp\vmware-BUKAC-3092264082\VMwareDnD\horizon_11348-9b74f31c\IMG_20240604_1145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CAL_~1\Temp\vmware-BUKAC-3092264082\VMwareDnD\horizon_11348-9b74f31c\IMG_20240604_114530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000" cy="2025220"/>
                    </a:xfrm>
                    <a:prstGeom prst="rect">
                      <a:avLst/>
                    </a:prstGeom>
                    <a:noFill/>
                    <a:ln w="6350">
                      <a:solidFill>
                        <a:schemeClr val="tx1"/>
                      </a:solidFill>
                    </a:ln>
                  </pic:spPr>
                </pic:pic>
              </a:graphicData>
            </a:graphic>
          </wp:inline>
        </w:drawing>
      </w:r>
    </w:p>
    <w:p w:rsidR="009962CB" w:rsidRPr="000B29CF"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Cs/>
          <w:sz w:val="22"/>
          <w:szCs w:val="22"/>
        </w:rPr>
      </w:pPr>
      <w:r w:rsidRPr="000B29CF">
        <w:rPr>
          <w:rFonts w:ascii="Calibri" w:hAnsi="Calibri" w:cs="Calibri"/>
          <w:b/>
          <w:bCs/>
          <w:iCs/>
          <w:sz w:val="22"/>
          <w:szCs w:val="22"/>
        </w:rPr>
        <w:t>Zdroj:</w:t>
      </w:r>
      <w:r w:rsidRPr="000B29CF">
        <w:rPr>
          <w:rFonts w:ascii="Calibri" w:hAnsi="Calibri" w:cs="Calibri"/>
          <w:iCs/>
          <w:sz w:val="22"/>
          <w:szCs w:val="22"/>
        </w:rPr>
        <w:t xml:space="preserve"> </w:t>
      </w:r>
      <w:r w:rsidR="00072F77">
        <w:rPr>
          <w:rFonts w:ascii="Calibri" w:hAnsi="Calibri" w:cs="Calibri"/>
          <w:iCs/>
          <w:sz w:val="22"/>
          <w:szCs w:val="22"/>
        </w:rPr>
        <w:t>k</w:t>
      </w:r>
      <w:r w:rsidR="0092477F" w:rsidRPr="000B29CF">
        <w:rPr>
          <w:rFonts w:ascii="Calibri" w:hAnsi="Calibri" w:cs="Calibri"/>
          <w:iCs/>
          <w:sz w:val="22"/>
          <w:szCs w:val="22"/>
        </w:rPr>
        <w:t>ontrola</w:t>
      </w:r>
      <w:r w:rsidRPr="000B29CF">
        <w:rPr>
          <w:rFonts w:ascii="Calibri" w:hAnsi="Calibri" w:cs="Calibri"/>
          <w:iCs/>
          <w:sz w:val="22"/>
          <w:szCs w:val="22"/>
        </w:rPr>
        <w:t xml:space="preserve"> NKÚ</w:t>
      </w:r>
      <w:r w:rsidR="0092477F" w:rsidRPr="000B29CF">
        <w:rPr>
          <w:rFonts w:ascii="Calibri" w:hAnsi="Calibri" w:cs="Calibri"/>
          <w:iCs/>
          <w:sz w:val="22"/>
          <w:szCs w:val="22"/>
        </w:rPr>
        <w:t xml:space="preserve"> na místě</w:t>
      </w:r>
      <w:r w:rsidR="00072F77">
        <w:rPr>
          <w:rFonts w:ascii="Calibri" w:hAnsi="Calibri" w:cs="Calibri"/>
          <w:iCs/>
          <w:sz w:val="22"/>
          <w:szCs w:val="22"/>
        </w:rPr>
        <w:t>.</w:t>
      </w:r>
    </w:p>
    <w:p w:rsidR="009962CB" w:rsidRDefault="009962CB" w:rsidP="009962CB">
      <w:pPr>
        <w:pStyle w:val="Default"/>
        <w:spacing w:line="252" w:lineRule="auto"/>
        <w:contextualSpacing/>
        <w:jc w:val="both"/>
        <w:rPr>
          <w:rFonts w:asciiTheme="minorHAnsi" w:hAnsiTheme="minorHAnsi" w:cstheme="minorHAnsi"/>
        </w:rPr>
      </w:pPr>
    </w:p>
    <w:p w:rsidR="009962CB" w:rsidRDefault="009962CB" w:rsidP="009962CB">
      <w:pPr>
        <w:pStyle w:val="Default"/>
        <w:spacing w:line="252" w:lineRule="auto"/>
        <w:contextualSpacing/>
        <w:jc w:val="both"/>
        <w:rPr>
          <w:rFonts w:asciiTheme="minorHAnsi" w:hAnsiTheme="minorHAnsi" w:cstheme="minorHAnsi"/>
        </w:rPr>
      </w:pPr>
      <w:r>
        <w:rPr>
          <w:rFonts w:asciiTheme="minorHAnsi" w:hAnsiTheme="minorHAnsi" w:cstheme="minorHAnsi"/>
        </w:rPr>
        <w:t xml:space="preserve">4.25 Žadatelé v žádostech o dotaci mezi cíli projektů uváděli zajištění bezpečného </w:t>
      </w:r>
      <w:r w:rsidR="00046384">
        <w:rPr>
          <w:rFonts w:asciiTheme="minorHAnsi" w:hAnsiTheme="minorHAnsi" w:cstheme="minorHAnsi"/>
        </w:rPr>
        <w:br/>
      </w:r>
      <w:r>
        <w:rPr>
          <w:rFonts w:asciiTheme="minorHAnsi" w:hAnsiTheme="minorHAnsi" w:cstheme="minorHAnsi"/>
        </w:rPr>
        <w:t>a bezbariérového přístupu k zastávkám veřejné dopravy, úřadům, obchodům a dalším objektům občanské vybavenosti. NKÚ kontrolou zjistil, že SFDI i MMR při posuzování žádostí a výběru projektů posuzovaly jen řešené úseky a zajištěním přístupu k objektům mimo tyto úseky se nez</w:t>
      </w:r>
      <w:r w:rsidR="002153BD">
        <w:rPr>
          <w:rFonts w:asciiTheme="minorHAnsi" w:hAnsiTheme="minorHAnsi" w:cstheme="minorHAnsi"/>
        </w:rPr>
        <w:t>a</w:t>
      </w:r>
      <w:r>
        <w:rPr>
          <w:rFonts w:asciiTheme="minorHAnsi" w:hAnsiTheme="minorHAnsi" w:cstheme="minorHAnsi"/>
        </w:rPr>
        <w:t>bývaly. Vybudované či rekonstruované úseky chodníků tak často</w:t>
      </w:r>
      <w:r w:rsidR="002153BD">
        <w:rPr>
          <w:rFonts w:asciiTheme="minorHAnsi" w:hAnsiTheme="minorHAnsi" w:cstheme="minorHAnsi"/>
        </w:rPr>
        <w:br/>
      </w:r>
      <w:r>
        <w:rPr>
          <w:rFonts w:asciiTheme="minorHAnsi" w:hAnsiTheme="minorHAnsi" w:cstheme="minorHAnsi"/>
        </w:rPr>
        <w:t>nepředstavovaly ucelené trasy a chodcům umožnily se k cílovým objektům jen přiblížit, nikoliv jich bezpečně dosáhnout. Některé úseky chodníků byly zakončeny bez navazujícího bezbariérového řešení. Podpořený projekt, který zajistil bezpečnost a bezbariérovost komunikace pro pěší jen v krátkém izolovaném úseku, je uveden v příkladu č. 10.</w:t>
      </w:r>
    </w:p>
    <w:p w:rsidR="009962CB" w:rsidRDefault="009962CB" w:rsidP="009962CB">
      <w:pPr>
        <w:pStyle w:val="Default"/>
        <w:spacing w:line="252" w:lineRule="auto"/>
        <w:contextualSpacing/>
        <w:jc w:val="both"/>
        <w:rPr>
          <w:rFonts w:asciiTheme="minorHAnsi" w:hAnsiTheme="minorHAnsi" w:cstheme="minorHAnsi"/>
        </w:rPr>
      </w:pPr>
    </w:p>
    <w:p w:rsidR="00116942" w:rsidRDefault="00116942" w:rsidP="009962CB">
      <w:pPr>
        <w:pStyle w:val="Default"/>
        <w:spacing w:line="252" w:lineRule="auto"/>
        <w:contextualSpacing/>
        <w:jc w:val="both"/>
        <w:rPr>
          <w:rFonts w:asciiTheme="minorHAnsi" w:hAnsiTheme="minorHAnsi" w:cstheme="minorHAnsi"/>
        </w:rPr>
      </w:pPr>
    </w:p>
    <w:p w:rsidR="009962CB" w:rsidRPr="00F427F3" w:rsidRDefault="009962CB" w:rsidP="009962CB">
      <w:pPr>
        <w:spacing w:after="0" w:line="252" w:lineRule="auto"/>
        <w:contextualSpacing/>
        <w:jc w:val="both"/>
        <w:rPr>
          <w:rFonts w:eastAsia="Calibri" w:cstheme="minorHAnsi"/>
          <w:b/>
          <w:i/>
          <w:color w:val="2EB3A1"/>
        </w:rPr>
      </w:pPr>
      <w:r w:rsidRPr="00F427F3">
        <w:rPr>
          <w:rFonts w:eastAsia="Calibri" w:cstheme="minorHAnsi"/>
          <w:b/>
          <w:i/>
          <w:color w:val="2EB3A1"/>
        </w:rPr>
        <w:lastRenderedPageBreak/>
        <w:t>Příklad č. 10: Nezajištění ucelené bezpečné a bezbariérové trasy pro pěší</w:t>
      </w:r>
    </w:p>
    <w:p w:rsidR="009962CB" w:rsidRPr="004E3DFD" w:rsidRDefault="009962CB" w:rsidP="009962CB">
      <w:pPr>
        <w:pBdr>
          <w:top w:val="single" w:sz="4" w:space="1" w:color="auto"/>
          <w:left w:val="single" w:sz="4" w:space="4" w:color="auto"/>
          <w:bottom w:val="single" w:sz="4" w:space="1" w:color="auto"/>
          <w:right w:val="single" w:sz="4" w:space="4" w:color="auto"/>
        </w:pBdr>
        <w:spacing w:after="0" w:line="252" w:lineRule="auto"/>
        <w:contextualSpacing/>
        <w:jc w:val="both"/>
        <w:rPr>
          <w:rFonts w:eastAsia="Calibri" w:cstheme="minorHAnsi"/>
          <w:i/>
        </w:rPr>
      </w:pPr>
      <w:r w:rsidRPr="004E3DFD">
        <w:rPr>
          <w:rFonts w:cstheme="minorHAnsi"/>
          <w:i/>
        </w:rPr>
        <w:t xml:space="preserve">V rámci projektu č. 7 byl vybudován chodník o délce 147 metrů v nebezpečném, nepřehledném úseku dopravně zatížené silnice v části obce, kde chodník chyběl. </w:t>
      </w:r>
      <w:r w:rsidRPr="004E3DFD">
        <w:rPr>
          <w:rFonts w:eastAsia="Calibri" w:cstheme="minorHAnsi"/>
          <w:i/>
        </w:rPr>
        <w:t xml:space="preserve">Celkové náklady projektu činily </w:t>
      </w:r>
      <w:r>
        <w:rPr>
          <w:rFonts w:eastAsia="Calibri" w:cstheme="minorHAnsi"/>
          <w:i/>
        </w:rPr>
        <w:t>2</w:t>
      </w:r>
      <w:r w:rsidRPr="004E3DFD">
        <w:rPr>
          <w:rFonts w:eastAsia="Calibri" w:cstheme="minorHAnsi"/>
          <w:i/>
        </w:rPr>
        <w:t>,</w:t>
      </w:r>
      <w:r>
        <w:rPr>
          <w:rFonts w:eastAsia="Calibri" w:cstheme="minorHAnsi"/>
          <w:i/>
        </w:rPr>
        <w:t>14</w:t>
      </w:r>
      <w:r w:rsidRPr="004E3DFD">
        <w:rPr>
          <w:rFonts w:eastAsia="Calibri" w:cstheme="minorHAnsi"/>
          <w:i/>
        </w:rPr>
        <w:t xml:space="preserve"> mil. Kč, z toho uznatelné náklady </w:t>
      </w:r>
      <w:r>
        <w:rPr>
          <w:rFonts w:eastAsia="Calibri" w:cstheme="minorHAnsi"/>
          <w:i/>
        </w:rPr>
        <w:t>1</w:t>
      </w:r>
      <w:r w:rsidRPr="004E3DFD">
        <w:rPr>
          <w:rFonts w:eastAsia="Calibri" w:cstheme="minorHAnsi"/>
          <w:i/>
        </w:rPr>
        <w:t>,</w:t>
      </w:r>
      <w:r>
        <w:rPr>
          <w:rFonts w:eastAsia="Calibri" w:cstheme="minorHAnsi"/>
          <w:i/>
        </w:rPr>
        <w:t>61</w:t>
      </w:r>
      <w:r w:rsidRPr="004E3DFD">
        <w:rPr>
          <w:rFonts w:eastAsia="Calibri" w:cstheme="minorHAnsi"/>
          <w:i/>
        </w:rPr>
        <w:t xml:space="preserve"> mil. Kč. Na projekt byla </w:t>
      </w:r>
      <w:r w:rsidR="00072F77" w:rsidRPr="004E3DFD">
        <w:rPr>
          <w:rFonts w:eastAsia="Calibri" w:cstheme="minorHAnsi"/>
          <w:i/>
        </w:rPr>
        <w:t>z</w:t>
      </w:r>
      <w:r w:rsidR="00AB1265">
        <w:rPr>
          <w:rFonts w:eastAsia="Calibri" w:cstheme="minorHAnsi"/>
          <w:i/>
        </w:rPr>
        <w:t xml:space="preserve"> </w:t>
      </w:r>
      <w:r w:rsidR="00072F77" w:rsidRPr="004E3DFD">
        <w:rPr>
          <w:rFonts w:eastAsia="Calibri" w:cstheme="minorHAnsi"/>
          <w:i/>
        </w:rPr>
        <w:t xml:space="preserve">rozpočtu SFDI </w:t>
      </w:r>
      <w:r w:rsidRPr="004E3DFD">
        <w:rPr>
          <w:rFonts w:eastAsia="Calibri" w:cstheme="minorHAnsi"/>
          <w:i/>
        </w:rPr>
        <w:t>poskytnuta podpora ve výši cca</w:t>
      </w:r>
      <w:r w:rsidR="00AB1265">
        <w:rPr>
          <w:rFonts w:eastAsia="Calibri" w:cstheme="minorHAnsi"/>
          <w:i/>
        </w:rPr>
        <w:t> </w:t>
      </w:r>
      <w:r>
        <w:rPr>
          <w:rFonts w:eastAsia="Calibri" w:cstheme="minorHAnsi"/>
          <w:i/>
        </w:rPr>
        <w:t>1</w:t>
      </w:r>
      <w:r w:rsidRPr="004E3DFD">
        <w:rPr>
          <w:rFonts w:eastAsia="Calibri" w:cstheme="minorHAnsi"/>
          <w:i/>
        </w:rPr>
        <w:t>,</w:t>
      </w:r>
      <w:r>
        <w:rPr>
          <w:rFonts w:eastAsia="Calibri" w:cstheme="minorHAnsi"/>
          <w:i/>
        </w:rPr>
        <w:t>35</w:t>
      </w:r>
      <w:r w:rsidRPr="004E3DFD">
        <w:rPr>
          <w:rFonts w:eastAsia="Calibri" w:cstheme="minorHAnsi"/>
          <w:i/>
        </w:rPr>
        <w:t xml:space="preserve"> mil. Kč (cca 84 % uznatelných nákladů).</w:t>
      </w:r>
    </w:p>
    <w:p w:rsidR="009962CB" w:rsidRPr="00046384"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12"/>
          <w:szCs w:val="12"/>
        </w:rPr>
      </w:pP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r w:rsidRPr="004E3DFD">
        <w:rPr>
          <w:rFonts w:asciiTheme="minorHAnsi" w:hAnsiTheme="minorHAnsi" w:cstheme="minorHAnsi"/>
          <w:i/>
          <w:sz w:val="22"/>
          <w:szCs w:val="22"/>
        </w:rPr>
        <w:t>V</w:t>
      </w:r>
      <w:r w:rsidR="005E7E7C">
        <w:rPr>
          <w:rFonts w:asciiTheme="minorHAnsi" w:hAnsiTheme="minorHAnsi" w:cstheme="minorHAnsi"/>
          <w:i/>
          <w:sz w:val="22"/>
          <w:szCs w:val="22"/>
        </w:rPr>
        <w:t xml:space="preserve"> </w:t>
      </w:r>
      <w:r>
        <w:rPr>
          <w:rFonts w:asciiTheme="minorHAnsi" w:hAnsiTheme="minorHAnsi" w:cstheme="minorHAnsi"/>
          <w:i/>
          <w:sz w:val="22"/>
          <w:szCs w:val="22"/>
        </w:rPr>
        <w:t>řešeném</w:t>
      </w:r>
      <w:r w:rsidRPr="004E3DFD">
        <w:rPr>
          <w:rFonts w:asciiTheme="minorHAnsi" w:hAnsiTheme="minorHAnsi" w:cstheme="minorHAnsi"/>
          <w:i/>
          <w:sz w:val="22"/>
          <w:szCs w:val="22"/>
        </w:rPr>
        <w:t xml:space="preserve"> úseku projekt přinesl významné zvýšení bezpečnosti a mobility chodců v</w:t>
      </w:r>
      <w:r w:rsidR="005E7E7C">
        <w:rPr>
          <w:rFonts w:asciiTheme="minorHAnsi" w:hAnsiTheme="minorHAnsi" w:cstheme="minorHAnsi"/>
          <w:i/>
          <w:sz w:val="22"/>
          <w:szCs w:val="22"/>
        </w:rPr>
        <w:t xml:space="preserve"> </w:t>
      </w:r>
      <w:r w:rsidRPr="004E3DFD">
        <w:rPr>
          <w:rFonts w:asciiTheme="minorHAnsi" w:hAnsiTheme="minorHAnsi" w:cstheme="minorHAnsi"/>
          <w:i/>
          <w:sz w:val="22"/>
          <w:szCs w:val="22"/>
        </w:rPr>
        <w:t xml:space="preserve">porovnání s původním stavem. Na vybudovaný chodník </w:t>
      </w:r>
      <w:r>
        <w:rPr>
          <w:rFonts w:asciiTheme="minorHAnsi" w:hAnsiTheme="minorHAnsi" w:cstheme="minorHAnsi"/>
          <w:i/>
          <w:sz w:val="22"/>
          <w:szCs w:val="22"/>
        </w:rPr>
        <w:t xml:space="preserve">ovšem </w:t>
      </w:r>
      <w:r w:rsidRPr="004E3DFD">
        <w:rPr>
          <w:rFonts w:asciiTheme="minorHAnsi" w:hAnsiTheme="minorHAnsi" w:cstheme="minorHAnsi"/>
          <w:i/>
          <w:sz w:val="22"/>
          <w:szCs w:val="22"/>
        </w:rPr>
        <w:t xml:space="preserve">navazuje úzká lávka pro pěší (šíře </w:t>
      </w:r>
      <w:r>
        <w:rPr>
          <w:rFonts w:asciiTheme="minorHAnsi" w:hAnsiTheme="minorHAnsi" w:cstheme="minorHAnsi"/>
          <w:i/>
          <w:sz w:val="22"/>
          <w:szCs w:val="22"/>
        </w:rPr>
        <w:t xml:space="preserve">jen </w:t>
      </w:r>
      <w:r w:rsidRPr="004E3DFD">
        <w:rPr>
          <w:rFonts w:asciiTheme="minorHAnsi" w:hAnsiTheme="minorHAnsi" w:cstheme="minorHAnsi"/>
          <w:i/>
          <w:sz w:val="22"/>
          <w:szCs w:val="22"/>
        </w:rPr>
        <w:t xml:space="preserve">90 cm), která je součástí památkově chráněného mostu přes řeku, a na ni pak nebezpečný cca 20metrový úsek silnice, kde jsou chodci nuceni používat při cestě k autobusové zastávce krajnice vozovky. Vybudovaný chodník představuje především tranzitní úsek k této autobusové zastávce a jeho samostatné využití by bylo jen velmi omezené (v úseku nejsou žádné stavby občanské vybavenosti, jsou na něm jen dva objekty bydlení, chybí bezpečné napojení lokalit na druhé straně silnice). Směrem do centra obce je vybudovaný chodník zakončen místem pro přecházení, které není bezpečné pro osoby se sníženou schopností orientace. Navazující stávající chodník do centra obce není vybaven vodicí linií. </w:t>
      </w:r>
      <w:r>
        <w:rPr>
          <w:rFonts w:asciiTheme="minorHAnsi" w:hAnsiTheme="minorHAnsi" w:cstheme="minorHAnsi"/>
          <w:i/>
          <w:sz w:val="22"/>
          <w:szCs w:val="22"/>
        </w:rPr>
        <w:t xml:space="preserve">Z těchto důvodů NKÚ </w:t>
      </w:r>
      <w:r w:rsidRPr="00C71992">
        <w:rPr>
          <w:rFonts w:asciiTheme="minorHAnsi" w:hAnsiTheme="minorHAnsi" w:cstheme="minorHAnsi"/>
          <w:i/>
          <w:sz w:val="22"/>
          <w:szCs w:val="22"/>
        </w:rPr>
        <w:t>vyhodnotil vynaložení prostředků na tento projekt jako</w:t>
      </w:r>
      <w:r>
        <w:rPr>
          <w:rFonts w:asciiTheme="minorHAnsi" w:hAnsiTheme="minorHAnsi" w:cstheme="minorHAnsi"/>
          <w:i/>
          <w:sz w:val="22"/>
          <w:szCs w:val="22"/>
        </w:rPr>
        <w:t xml:space="preserve"> účelné jen omezeně.</w:t>
      </w: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
          <w:sz w:val="22"/>
          <w:szCs w:val="22"/>
        </w:rPr>
      </w:pPr>
    </w:p>
    <w:p w:rsidR="009962CB" w:rsidRPr="004E3DFD"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b/>
          <w:i/>
          <w:sz w:val="22"/>
          <w:szCs w:val="22"/>
        </w:rPr>
      </w:pPr>
      <w:r w:rsidRPr="004E3DFD">
        <w:rPr>
          <w:rFonts w:asciiTheme="minorHAnsi" w:hAnsiTheme="minorHAnsi" w:cstheme="minorHAnsi"/>
          <w:b/>
          <w:i/>
          <w:sz w:val="22"/>
          <w:szCs w:val="22"/>
        </w:rPr>
        <w:t>Vybudovaný chodník</w:t>
      </w:r>
      <w:r w:rsidRPr="004E3DFD">
        <w:rPr>
          <w:rFonts w:asciiTheme="minorHAnsi" w:hAnsiTheme="minorHAnsi" w:cstheme="minorHAnsi"/>
          <w:b/>
          <w:i/>
          <w:sz w:val="22"/>
          <w:szCs w:val="22"/>
        </w:rPr>
        <w:tab/>
        <w:t>Nebezpečný úsek bez chodníku</w:t>
      </w:r>
    </w:p>
    <w:p w:rsidR="009962CB"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rPr>
      </w:pPr>
      <w:r w:rsidRPr="00463FBF">
        <w:rPr>
          <w:rFonts w:cstheme="minorHAnsi"/>
          <w:b/>
          <w:noProof/>
        </w:rPr>
        <w:drawing>
          <wp:inline distT="0" distB="0" distL="0" distR="0" wp14:anchorId="1F42DD00" wp14:editId="6324FB20">
            <wp:extent cx="2700000" cy="2025253"/>
            <wp:effectExtent l="19050" t="19050" r="24765" b="13335"/>
            <wp:docPr id="20" name="Obrázek 20" descr="C:\Users\LOCAL_~1\Temp\vmware-BUKAC-2866414532\VMwareDnD\horizon_11580-1aca3669\Kunetice fot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CAL_~1\Temp\vmware-BUKAC-2866414532\VMwareDnD\horizon_11580-1aca3669\Kunetice foto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000" cy="2025253"/>
                    </a:xfrm>
                    <a:prstGeom prst="rect">
                      <a:avLst/>
                    </a:prstGeom>
                    <a:noFill/>
                    <a:ln w="6350">
                      <a:solidFill>
                        <a:schemeClr val="tx1"/>
                      </a:solidFill>
                    </a:ln>
                  </pic:spPr>
                </pic:pic>
              </a:graphicData>
            </a:graphic>
          </wp:inline>
        </w:drawing>
      </w:r>
      <w:r>
        <w:rPr>
          <w:rFonts w:asciiTheme="minorHAnsi" w:hAnsiTheme="minorHAnsi" w:cstheme="minorHAnsi"/>
        </w:rPr>
        <w:t xml:space="preserve"> </w:t>
      </w:r>
      <w:r w:rsidR="00CA6D0B">
        <w:rPr>
          <w:rFonts w:asciiTheme="minorHAnsi" w:hAnsiTheme="minorHAnsi" w:cstheme="minorHAnsi"/>
        </w:rPr>
        <w:tab/>
      </w:r>
      <w:r w:rsidRPr="00463FBF">
        <w:rPr>
          <w:rFonts w:cstheme="minorHAnsi"/>
          <w:noProof/>
        </w:rPr>
        <w:drawing>
          <wp:inline distT="0" distB="0" distL="0" distR="0" wp14:anchorId="1CC2E853" wp14:editId="7C5768A1">
            <wp:extent cx="2700000" cy="2025878"/>
            <wp:effectExtent l="19050" t="19050" r="24765" b="12700"/>
            <wp:docPr id="21" name="Obrázek 21" descr="C:\Users\LOCAL_~1\Temp\vmware-BUKAC-3134403507\VMwareDnD\horizon_11112-0a755334\Kunetice f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CAL_~1\Temp\vmware-BUKAC-3134403507\VMwareDnD\horizon_11112-0a755334\Kunetice foto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0000" cy="2025878"/>
                    </a:xfrm>
                    <a:prstGeom prst="rect">
                      <a:avLst/>
                    </a:prstGeom>
                    <a:noFill/>
                    <a:ln w="6350">
                      <a:solidFill>
                        <a:schemeClr val="tx1"/>
                      </a:solidFill>
                    </a:ln>
                  </pic:spPr>
                </pic:pic>
              </a:graphicData>
            </a:graphic>
          </wp:inline>
        </w:drawing>
      </w:r>
    </w:p>
    <w:p w:rsidR="009962CB" w:rsidRPr="000B29CF"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Calibri" w:hAnsi="Calibri" w:cs="Calibri"/>
          <w:iCs/>
          <w:sz w:val="22"/>
          <w:szCs w:val="22"/>
        </w:rPr>
      </w:pPr>
      <w:r w:rsidRPr="000B29CF">
        <w:rPr>
          <w:rFonts w:ascii="Calibri" w:hAnsi="Calibri" w:cs="Calibri"/>
          <w:b/>
          <w:bCs/>
          <w:iCs/>
          <w:sz w:val="22"/>
          <w:szCs w:val="22"/>
        </w:rPr>
        <w:t>Zdroj:</w:t>
      </w:r>
      <w:r w:rsidRPr="000B29CF">
        <w:rPr>
          <w:rFonts w:ascii="Calibri" w:hAnsi="Calibri" w:cs="Calibri"/>
          <w:iCs/>
          <w:sz w:val="22"/>
          <w:szCs w:val="22"/>
        </w:rPr>
        <w:t xml:space="preserve"> 2</w:t>
      </w:r>
      <w:r w:rsidR="008E4818" w:rsidRPr="000B29CF">
        <w:rPr>
          <w:rFonts w:ascii="Calibri" w:hAnsi="Calibri" w:cs="Calibri"/>
          <w:iCs/>
          <w:sz w:val="22"/>
          <w:szCs w:val="22"/>
        </w:rPr>
        <w:t>×</w:t>
      </w:r>
      <w:r w:rsidRPr="000B29CF">
        <w:rPr>
          <w:rFonts w:ascii="Calibri" w:hAnsi="Calibri" w:cs="Calibri"/>
          <w:iCs/>
          <w:sz w:val="22"/>
          <w:szCs w:val="22"/>
        </w:rPr>
        <w:t xml:space="preserve"> </w:t>
      </w:r>
      <w:r w:rsidR="0092477F" w:rsidRPr="000B29CF">
        <w:rPr>
          <w:rFonts w:ascii="Calibri" w:hAnsi="Calibri" w:cs="Calibri"/>
          <w:iCs/>
          <w:sz w:val="22"/>
          <w:szCs w:val="22"/>
        </w:rPr>
        <w:t xml:space="preserve">kontrola </w:t>
      </w:r>
      <w:r w:rsidRPr="000B29CF">
        <w:rPr>
          <w:rFonts w:ascii="Calibri" w:hAnsi="Calibri" w:cs="Calibri"/>
          <w:iCs/>
          <w:sz w:val="22"/>
          <w:szCs w:val="22"/>
        </w:rPr>
        <w:t>NKÚ</w:t>
      </w:r>
      <w:r w:rsidR="00CA6D0B" w:rsidRPr="000B29CF">
        <w:rPr>
          <w:rFonts w:ascii="Calibri" w:hAnsi="Calibri" w:cs="Calibri"/>
          <w:iCs/>
          <w:sz w:val="22"/>
          <w:szCs w:val="22"/>
        </w:rPr>
        <w:t xml:space="preserve"> </w:t>
      </w:r>
      <w:r w:rsidR="0092477F" w:rsidRPr="000B29CF">
        <w:rPr>
          <w:rFonts w:ascii="Calibri" w:hAnsi="Calibri" w:cs="Calibri"/>
          <w:iCs/>
          <w:sz w:val="22"/>
          <w:szCs w:val="22"/>
        </w:rPr>
        <w:t>na místě</w:t>
      </w:r>
      <w:r w:rsidR="00CA6D0B" w:rsidRPr="000B29CF">
        <w:rPr>
          <w:rFonts w:ascii="Calibri" w:hAnsi="Calibri" w:cs="Calibri"/>
          <w:iCs/>
          <w:sz w:val="22"/>
          <w:szCs w:val="22"/>
        </w:rPr>
        <w:t>.</w:t>
      </w:r>
    </w:p>
    <w:p w:rsidR="009962CB" w:rsidRDefault="009962CB" w:rsidP="009962CB">
      <w:pPr>
        <w:pStyle w:val="Default"/>
        <w:spacing w:line="252" w:lineRule="auto"/>
        <w:contextualSpacing/>
        <w:jc w:val="both"/>
        <w:rPr>
          <w:rFonts w:ascii="Calibri" w:hAnsi="Calibri" w:cs="Calibri"/>
          <w:u w:val="single"/>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Zanedbaná péče o nové či rekonstruované chodníky snižuje účelnost poskytnuté podpory</w:t>
      </w:r>
      <w:r>
        <w:rPr>
          <w:rFonts w:eastAsia="Calibri" w:cstheme="minorHAnsi"/>
          <w:b/>
          <w:i/>
          <w:color w:val="4472C4" w:themeColor="accent5"/>
          <w:sz w:val="24"/>
          <w:szCs w:val="24"/>
        </w:rPr>
        <w:t>.</w:t>
      </w:r>
    </w:p>
    <w:p w:rsidR="009962CB" w:rsidRPr="009E4C32" w:rsidRDefault="009962CB" w:rsidP="009962CB">
      <w:pPr>
        <w:pStyle w:val="Default"/>
        <w:spacing w:line="252" w:lineRule="auto"/>
        <w:contextualSpacing/>
        <w:jc w:val="both"/>
        <w:rPr>
          <w:rFonts w:asciiTheme="minorHAnsi" w:hAnsiTheme="minorHAnsi" w:cstheme="minorHAnsi"/>
          <w:b/>
        </w:rPr>
      </w:pPr>
    </w:p>
    <w:p w:rsidR="009962CB" w:rsidRDefault="009962CB" w:rsidP="009962CB">
      <w:pPr>
        <w:pStyle w:val="Default"/>
        <w:spacing w:line="252" w:lineRule="auto"/>
        <w:contextualSpacing/>
        <w:jc w:val="both"/>
        <w:rPr>
          <w:rFonts w:asciiTheme="minorHAnsi" w:hAnsiTheme="minorHAnsi" w:cstheme="minorHAnsi"/>
        </w:rPr>
      </w:pPr>
      <w:r>
        <w:rPr>
          <w:rFonts w:asciiTheme="minorHAnsi" w:hAnsiTheme="minorHAnsi" w:cstheme="minorHAnsi"/>
        </w:rPr>
        <w:t xml:space="preserve">4.26 Cílem podpory byla mj. bezbariérovost vybudovaných nebo rekonstruovaných komunikací pro pěší. Pro osoby se sníženou schopností pohybu nebo orientace, a zvláště pro osoby zrakově postižené, má klíčový význam zajištění bezpečné trasy bez velkých nerovností a překážek v trase chůze a s použitelnými vodicími liniemi. NKÚ při </w:t>
      </w:r>
      <w:r w:rsidR="008F3DFA">
        <w:rPr>
          <w:rFonts w:asciiTheme="minorHAnsi" w:hAnsiTheme="minorHAnsi" w:cstheme="minorHAnsi"/>
        </w:rPr>
        <w:t>kontrolách na místě</w:t>
      </w:r>
      <w:r>
        <w:rPr>
          <w:rFonts w:asciiTheme="minorHAnsi" w:hAnsiTheme="minorHAnsi" w:cstheme="minorHAnsi"/>
        </w:rPr>
        <w:t xml:space="preserve"> ovšem zjistil, že úroveň péče o chodníky, které byly vybudovány nebo rekonstruovány s podporou státu</w:t>
      </w:r>
      <w:r w:rsidR="008F3DFA">
        <w:rPr>
          <w:rFonts w:asciiTheme="minorHAnsi" w:hAnsiTheme="minorHAnsi" w:cstheme="minorHAnsi"/>
        </w:rPr>
        <w:t xml:space="preserve"> </w:t>
      </w:r>
      <w:r>
        <w:rPr>
          <w:rFonts w:asciiTheme="minorHAnsi" w:hAnsiTheme="minorHAnsi" w:cstheme="minorHAnsi"/>
        </w:rPr>
        <w:t>a EU, je v některých případech zcela nedostatečná. Chodníky zjevně nebyly řádně udržovány, zarůstaly vegetací, parkovala na nich vozidla, byly na nich umístěny reklamní poutače nebo i zahrádky restaurací. Několik případů nedostatečné péče o chodníky a jejich poškozování a blokování zaparkovanými vozidly ilustrují fotografie v příkladu č. 11.</w:t>
      </w:r>
      <w:r w:rsidR="008F3DFA">
        <w:rPr>
          <w:rFonts w:asciiTheme="minorHAnsi" w:hAnsiTheme="minorHAnsi" w:cstheme="minorHAnsi"/>
        </w:rPr>
        <w:t xml:space="preserve"> </w:t>
      </w:r>
    </w:p>
    <w:p w:rsidR="00116942" w:rsidRDefault="00116942" w:rsidP="009962CB">
      <w:pPr>
        <w:pStyle w:val="Default"/>
        <w:spacing w:line="252" w:lineRule="auto"/>
        <w:contextualSpacing/>
        <w:jc w:val="both"/>
        <w:rPr>
          <w:rFonts w:asciiTheme="minorHAnsi" w:hAnsiTheme="minorHAnsi" w:cstheme="minorHAnsi"/>
        </w:rPr>
      </w:pPr>
    </w:p>
    <w:p w:rsidR="00116942" w:rsidRDefault="00116942" w:rsidP="009962CB">
      <w:pPr>
        <w:pStyle w:val="Default"/>
        <w:spacing w:line="252" w:lineRule="auto"/>
        <w:contextualSpacing/>
        <w:jc w:val="both"/>
        <w:rPr>
          <w:rFonts w:asciiTheme="minorHAnsi" w:hAnsiTheme="minorHAnsi" w:cstheme="minorHAnsi"/>
        </w:rPr>
      </w:pPr>
    </w:p>
    <w:p w:rsidR="00116942" w:rsidRDefault="00116942" w:rsidP="009962CB">
      <w:pPr>
        <w:pStyle w:val="Default"/>
        <w:spacing w:line="252" w:lineRule="auto"/>
        <w:contextualSpacing/>
        <w:jc w:val="both"/>
        <w:rPr>
          <w:rFonts w:asciiTheme="minorHAnsi" w:hAnsiTheme="minorHAnsi" w:cstheme="minorHAnsi"/>
        </w:rPr>
      </w:pPr>
    </w:p>
    <w:p w:rsidR="00146614" w:rsidRPr="000B29CF" w:rsidRDefault="00146614" w:rsidP="009962CB">
      <w:pPr>
        <w:spacing w:after="0" w:line="252" w:lineRule="auto"/>
        <w:contextualSpacing/>
        <w:jc w:val="both"/>
        <w:rPr>
          <w:rFonts w:eastAsia="Calibri" w:cstheme="minorHAnsi"/>
          <w:bCs/>
          <w:iCs/>
        </w:rPr>
      </w:pPr>
    </w:p>
    <w:p w:rsidR="009962CB" w:rsidRPr="00435049" w:rsidRDefault="009962CB" w:rsidP="000B29CF">
      <w:pPr>
        <w:keepNext/>
        <w:spacing w:after="0" w:line="252" w:lineRule="auto"/>
        <w:contextualSpacing/>
        <w:jc w:val="both"/>
        <w:rPr>
          <w:rFonts w:eastAsia="Calibri" w:cstheme="minorHAnsi"/>
          <w:b/>
          <w:i/>
          <w:color w:val="00B050"/>
        </w:rPr>
      </w:pPr>
      <w:r w:rsidRPr="00F427F3">
        <w:rPr>
          <w:rFonts w:eastAsia="Calibri" w:cstheme="minorHAnsi"/>
          <w:b/>
          <w:i/>
          <w:color w:val="2EB3A1"/>
        </w:rPr>
        <w:lastRenderedPageBreak/>
        <w:t>Příklad č. 11: Nedostatečná péče o vybudované nebo rekonstruované chodníky</w:t>
      </w:r>
    </w:p>
    <w:p w:rsidR="009962CB" w:rsidRPr="004E3DFD"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b/>
          <w:i/>
          <w:sz w:val="22"/>
          <w:szCs w:val="22"/>
        </w:rPr>
      </w:pPr>
      <w:r w:rsidRPr="004E3DFD">
        <w:rPr>
          <w:rFonts w:asciiTheme="minorHAnsi" w:hAnsiTheme="minorHAnsi" w:cstheme="minorHAnsi"/>
          <w:b/>
          <w:i/>
          <w:sz w:val="22"/>
          <w:szCs w:val="22"/>
        </w:rPr>
        <w:t xml:space="preserve">Zanedbaná údržba chodníku </w:t>
      </w:r>
      <w:r w:rsidRPr="004E3DFD">
        <w:rPr>
          <w:rFonts w:asciiTheme="minorHAnsi" w:hAnsiTheme="minorHAnsi" w:cstheme="minorHAnsi"/>
          <w:b/>
          <w:i/>
          <w:sz w:val="22"/>
          <w:szCs w:val="22"/>
        </w:rPr>
        <w:tab/>
        <w:t>Chodník zablokovaný schodištěm</w:t>
      </w:r>
    </w:p>
    <w:p w:rsidR="009962CB" w:rsidRPr="004E3DFD"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b/>
          <w:i/>
          <w:sz w:val="22"/>
          <w:szCs w:val="22"/>
        </w:rPr>
      </w:pPr>
      <w:r w:rsidRPr="004E3DFD">
        <w:rPr>
          <w:rFonts w:asciiTheme="minorHAnsi" w:hAnsiTheme="minorHAnsi" w:cstheme="minorHAnsi"/>
          <w:b/>
          <w:i/>
          <w:sz w:val="22"/>
          <w:szCs w:val="22"/>
        </w:rPr>
        <w:t>s prorůstající zelení</w:t>
      </w:r>
      <w:r>
        <w:rPr>
          <w:rFonts w:asciiTheme="minorHAnsi" w:hAnsiTheme="minorHAnsi" w:cstheme="minorHAnsi"/>
          <w:b/>
          <w:i/>
          <w:sz w:val="22"/>
          <w:szCs w:val="22"/>
        </w:rPr>
        <w:t xml:space="preserve"> (projekt č. 1</w:t>
      </w:r>
      <w:r w:rsidR="00AE3EDA">
        <w:rPr>
          <w:rFonts w:asciiTheme="minorHAnsi" w:hAnsiTheme="minorHAnsi" w:cstheme="minorHAnsi"/>
          <w:b/>
          <w:i/>
          <w:sz w:val="22"/>
          <w:szCs w:val="22"/>
        </w:rPr>
        <w:t>7</w:t>
      </w:r>
      <w:r>
        <w:rPr>
          <w:rFonts w:asciiTheme="minorHAnsi" w:hAnsiTheme="minorHAnsi" w:cstheme="minorHAnsi"/>
          <w:b/>
          <w:i/>
          <w:sz w:val="22"/>
          <w:szCs w:val="22"/>
        </w:rPr>
        <w:t>)</w:t>
      </w:r>
      <w:r w:rsidRPr="004E3DFD">
        <w:rPr>
          <w:rFonts w:asciiTheme="minorHAnsi" w:hAnsiTheme="minorHAnsi" w:cstheme="minorHAnsi"/>
          <w:b/>
          <w:i/>
          <w:sz w:val="22"/>
          <w:szCs w:val="22"/>
        </w:rPr>
        <w:tab/>
        <w:t>a parkujícími vozidly</w:t>
      </w:r>
      <w:r>
        <w:rPr>
          <w:rFonts w:asciiTheme="minorHAnsi" w:hAnsiTheme="minorHAnsi" w:cstheme="minorHAnsi"/>
          <w:b/>
          <w:i/>
          <w:sz w:val="22"/>
          <w:szCs w:val="22"/>
        </w:rPr>
        <w:t xml:space="preserve"> (projekt č. 1</w:t>
      </w:r>
      <w:r w:rsidR="00AE3EDA">
        <w:rPr>
          <w:rFonts w:asciiTheme="minorHAnsi" w:hAnsiTheme="minorHAnsi" w:cstheme="minorHAnsi"/>
          <w:b/>
          <w:i/>
          <w:sz w:val="22"/>
          <w:szCs w:val="22"/>
        </w:rPr>
        <w:t>7</w:t>
      </w:r>
      <w:r>
        <w:rPr>
          <w:rFonts w:asciiTheme="minorHAnsi" w:hAnsiTheme="minorHAnsi" w:cstheme="minorHAnsi"/>
          <w:b/>
          <w:i/>
          <w:sz w:val="22"/>
          <w:szCs w:val="22"/>
        </w:rPr>
        <w:t>)</w:t>
      </w:r>
    </w:p>
    <w:p w:rsidR="009962CB"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rPr>
      </w:pPr>
      <w:r w:rsidRPr="002C0E99">
        <w:rPr>
          <w:rFonts w:asciiTheme="minorHAnsi" w:hAnsiTheme="minorHAnsi" w:cstheme="minorHAnsi"/>
          <w:noProof/>
        </w:rPr>
        <w:drawing>
          <wp:inline distT="0" distB="0" distL="0" distR="0" wp14:anchorId="4055D655" wp14:editId="380C5FCF">
            <wp:extent cx="2700000" cy="2007894"/>
            <wp:effectExtent l="19050" t="19050" r="24765" b="1143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0000" cy="2007894"/>
                    </a:xfrm>
                    <a:prstGeom prst="rect">
                      <a:avLst/>
                    </a:prstGeom>
                    <a:noFill/>
                    <a:ln w="6350">
                      <a:solidFill>
                        <a:schemeClr val="tx1"/>
                      </a:solidFill>
                    </a:ln>
                  </pic:spPr>
                </pic:pic>
              </a:graphicData>
            </a:graphic>
          </wp:inline>
        </w:drawing>
      </w:r>
      <w:r>
        <w:rPr>
          <w:rFonts w:asciiTheme="minorHAnsi" w:hAnsiTheme="minorHAnsi" w:cstheme="minorHAnsi"/>
        </w:rPr>
        <w:t xml:space="preserve"> </w:t>
      </w:r>
      <w:r w:rsidR="00CA6D0B">
        <w:rPr>
          <w:rFonts w:asciiTheme="minorHAnsi" w:hAnsiTheme="minorHAnsi" w:cstheme="minorHAnsi"/>
        </w:rPr>
        <w:tab/>
      </w:r>
      <w:r w:rsidRPr="002C0E99">
        <w:rPr>
          <w:rFonts w:asciiTheme="minorHAnsi" w:hAnsiTheme="minorHAnsi" w:cstheme="minorHAnsi"/>
          <w:noProof/>
        </w:rPr>
        <w:drawing>
          <wp:inline distT="0" distB="0" distL="0" distR="0" wp14:anchorId="4DC45560" wp14:editId="000C212A">
            <wp:extent cx="2700000" cy="2020750"/>
            <wp:effectExtent l="19050" t="19050" r="24765" b="1778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lum contrast="20000"/>
                      <a:extLst>
                        <a:ext uri="{28A0092B-C50C-407E-A947-70E740481C1C}">
                          <a14:useLocalDpi xmlns:a14="http://schemas.microsoft.com/office/drawing/2010/main" val="0"/>
                        </a:ext>
                      </a:extLst>
                    </a:blip>
                    <a:srcRect/>
                    <a:stretch>
                      <a:fillRect/>
                    </a:stretch>
                  </pic:blipFill>
                  <pic:spPr bwMode="auto">
                    <a:xfrm>
                      <a:off x="0" y="0"/>
                      <a:ext cx="2700000" cy="2020750"/>
                    </a:xfrm>
                    <a:prstGeom prst="rect">
                      <a:avLst/>
                    </a:prstGeom>
                    <a:noFill/>
                    <a:ln w="6350">
                      <a:solidFill>
                        <a:schemeClr val="tx1"/>
                      </a:solidFill>
                    </a:ln>
                  </pic:spPr>
                </pic:pic>
              </a:graphicData>
            </a:graphic>
          </wp:inline>
        </w:drawing>
      </w: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b/>
          <w:i/>
          <w:sz w:val="22"/>
          <w:szCs w:val="22"/>
        </w:rPr>
      </w:pPr>
    </w:p>
    <w:p w:rsidR="009962CB"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b/>
          <w:i/>
          <w:sz w:val="22"/>
          <w:szCs w:val="22"/>
        </w:rPr>
      </w:pPr>
      <w:r w:rsidRPr="004E3DFD">
        <w:rPr>
          <w:rFonts w:asciiTheme="minorHAnsi" w:hAnsiTheme="minorHAnsi" w:cstheme="minorHAnsi"/>
          <w:b/>
          <w:i/>
          <w:sz w:val="22"/>
          <w:szCs w:val="22"/>
        </w:rPr>
        <w:t xml:space="preserve">Vozidla parkující v místě pro přecházení </w:t>
      </w:r>
      <w:r>
        <w:rPr>
          <w:rFonts w:asciiTheme="minorHAnsi" w:hAnsiTheme="minorHAnsi" w:cstheme="minorHAnsi"/>
          <w:b/>
          <w:i/>
          <w:sz w:val="22"/>
          <w:szCs w:val="22"/>
        </w:rPr>
        <w:tab/>
      </w:r>
      <w:r w:rsidRPr="004E3DFD">
        <w:rPr>
          <w:rFonts w:asciiTheme="minorHAnsi" w:hAnsiTheme="minorHAnsi" w:cstheme="minorHAnsi"/>
          <w:b/>
          <w:i/>
          <w:sz w:val="22"/>
          <w:szCs w:val="22"/>
        </w:rPr>
        <w:t>Zeleň blokující vodicí linii</w:t>
      </w:r>
      <w:r>
        <w:rPr>
          <w:rFonts w:asciiTheme="minorHAnsi" w:hAnsiTheme="minorHAnsi" w:cstheme="minorHAnsi"/>
          <w:b/>
          <w:i/>
          <w:sz w:val="22"/>
          <w:szCs w:val="22"/>
        </w:rPr>
        <w:t xml:space="preserve"> (projekt č. 1)</w:t>
      </w:r>
    </w:p>
    <w:p w:rsidR="009962CB" w:rsidRPr="004E3DFD"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b/>
          <w:i/>
          <w:sz w:val="22"/>
          <w:szCs w:val="22"/>
        </w:rPr>
      </w:pPr>
      <w:r>
        <w:rPr>
          <w:rFonts w:asciiTheme="minorHAnsi" w:hAnsiTheme="minorHAnsi" w:cstheme="minorHAnsi"/>
          <w:b/>
          <w:i/>
          <w:sz w:val="22"/>
          <w:szCs w:val="22"/>
        </w:rPr>
        <w:t>(projekt č. 1)</w:t>
      </w:r>
    </w:p>
    <w:p w:rsidR="009962CB" w:rsidRDefault="009962CB" w:rsidP="00CA6D0B">
      <w:pPr>
        <w:pStyle w:val="Default"/>
        <w:pBdr>
          <w:top w:val="single" w:sz="4" w:space="1" w:color="auto"/>
          <w:left w:val="single" w:sz="4" w:space="4" w:color="auto"/>
          <w:bottom w:val="single" w:sz="4" w:space="1" w:color="auto"/>
          <w:right w:val="single" w:sz="4" w:space="4" w:color="auto"/>
        </w:pBdr>
        <w:tabs>
          <w:tab w:val="left" w:pos="4678"/>
        </w:tabs>
        <w:spacing w:line="252" w:lineRule="auto"/>
        <w:contextualSpacing/>
        <w:jc w:val="both"/>
        <w:rPr>
          <w:rFonts w:asciiTheme="minorHAnsi" w:hAnsiTheme="minorHAnsi" w:cstheme="minorHAnsi"/>
        </w:rPr>
      </w:pPr>
      <w:r w:rsidRPr="00182351">
        <w:rPr>
          <w:rFonts w:asciiTheme="minorHAnsi" w:hAnsiTheme="minorHAnsi" w:cstheme="minorHAnsi"/>
          <w:noProof/>
        </w:rPr>
        <w:drawing>
          <wp:inline distT="0" distB="0" distL="0" distR="0" wp14:anchorId="6C610133" wp14:editId="60780387">
            <wp:extent cx="2700000" cy="2016603"/>
            <wp:effectExtent l="19050" t="19050" r="24765" b="222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000" cy="2016603"/>
                    </a:xfrm>
                    <a:prstGeom prst="rect">
                      <a:avLst/>
                    </a:prstGeom>
                    <a:noFill/>
                    <a:ln w="6350">
                      <a:solidFill>
                        <a:schemeClr val="tx1"/>
                      </a:solidFill>
                    </a:ln>
                  </pic:spPr>
                </pic:pic>
              </a:graphicData>
            </a:graphic>
          </wp:inline>
        </w:drawing>
      </w:r>
      <w:r>
        <w:rPr>
          <w:rFonts w:asciiTheme="minorHAnsi" w:hAnsiTheme="minorHAnsi" w:cstheme="minorHAnsi"/>
        </w:rPr>
        <w:t xml:space="preserve"> </w:t>
      </w:r>
      <w:r w:rsidR="00CA6D0B">
        <w:rPr>
          <w:rFonts w:asciiTheme="minorHAnsi" w:hAnsiTheme="minorHAnsi" w:cstheme="minorHAnsi"/>
        </w:rPr>
        <w:tab/>
      </w:r>
      <w:r w:rsidRPr="002C0E99">
        <w:rPr>
          <w:rFonts w:asciiTheme="minorHAnsi" w:hAnsiTheme="minorHAnsi" w:cstheme="minorHAnsi"/>
          <w:noProof/>
        </w:rPr>
        <w:drawing>
          <wp:inline distT="0" distB="0" distL="0" distR="0" wp14:anchorId="772C3F36" wp14:editId="7781ED67">
            <wp:extent cx="2700000" cy="2016603"/>
            <wp:effectExtent l="19050" t="19050" r="24765" b="2222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0000" cy="2016603"/>
                    </a:xfrm>
                    <a:prstGeom prst="rect">
                      <a:avLst/>
                    </a:prstGeom>
                    <a:noFill/>
                    <a:ln w="6350">
                      <a:solidFill>
                        <a:schemeClr val="tx1"/>
                      </a:solidFill>
                    </a:ln>
                  </pic:spPr>
                </pic:pic>
              </a:graphicData>
            </a:graphic>
          </wp:inline>
        </w:drawing>
      </w:r>
    </w:p>
    <w:p w:rsidR="009962CB" w:rsidRPr="000B29CF" w:rsidRDefault="009962CB" w:rsidP="009962CB">
      <w:pPr>
        <w:pStyle w:val="Default"/>
        <w:pBdr>
          <w:top w:val="single" w:sz="4" w:space="1" w:color="auto"/>
          <w:left w:val="single" w:sz="4" w:space="4" w:color="auto"/>
          <w:bottom w:val="single" w:sz="4" w:space="1" w:color="auto"/>
          <w:right w:val="single" w:sz="4" w:space="4" w:color="auto"/>
        </w:pBdr>
        <w:spacing w:line="252" w:lineRule="auto"/>
        <w:contextualSpacing/>
        <w:jc w:val="both"/>
        <w:rPr>
          <w:rFonts w:asciiTheme="minorHAnsi" w:hAnsiTheme="minorHAnsi" w:cstheme="minorHAnsi"/>
          <w:iCs/>
          <w:sz w:val="22"/>
          <w:szCs w:val="22"/>
        </w:rPr>
      </w:pPr>
      <w:r w:rsidRPr="000B29CF">
        <w:rPr>
          <w:rFonts w:asciiTheme="minorHAnsi" w:hAnsiTheme="minorHAnsi" w:cstheme="minorHAnsi"/>
          <w:b/>
          <w:bCs/>
          <w:iCs/>
          <w:sz w:val="22"/>
          <w:szCs w:val="22"/>
        </w:rPr>
        <w:t>Zdroj:</w:t>
      </w:r>
      <w:r w:rsidRPr="000B29CF">
        <w:rPr>
          <w:rFonts w:asciiTheme="minorHAnsi" w:hAnsiTheme="minorHAnsi" w:cstheme="minorHAnsi"/>
          <w:iCs/>
          <w:sz w:val="22"/>
          <w:szCs w:val="22"/>
        </w:rPr>
        <w:t xml:space="preserve"> 4</w:t>
      </w:r>
      <w:r w:rsidR="00A25EC5">
        <w:rPr>
          <w:rFonts w:asciiTheme="minorHAnsi" w:hAnsiTheme="minorHAnsi" w:cstheme="minorHAnsi"/>
          <w:iCs/>
          <w:sz w:val="22"/>
          <w:szCs w:val="22"/>
        </w:rPr>
        <w:t>×</w:t>
      </w:r>
      <w:r w:rsidRPr="000B29CF">
        <w:rPr>
          <w:rFonts w:asciiTheme="minorHAnsi" w:hAnsiTheme="minorHAnsi" w:cstheme="minorHAnsi"/>
          <w:iCs/>
          <w:sz w:val="22"/>
          <w:szCs w:val="22"/>
        </w:rPr>
        <w:t xml:space="preserve"> </w:t>
      </w:r>
      <w:r w:rsidR="0092477F" w:rsidRPr="000B29CF">
        <w:rPr>
          <w:rFonts w:asciiTheme="minorHAnsi" w:hAnsiTheme="minorHAnsi" w:cstheme="minorHAnsi"/>
          <w:iCs/>
          <w:sz w:val="22"/>
          <w:szCs w:val="22"/>
        </w:rPr>
        <w:t>kontrola</w:t>
      </w:r>
      <w:r w:rsidRPr="000B29CF">
        <w:rPr>
          <w:rFonts w:asciiTheme="minorHAnsi" w:hAnsiTheme="minorHAnsi" w:cstheme="minorHAnsi"/>
          <w:iCs/>
          <w:sz w:val="22"/>
          <w:szCs w:val="22"/>
        </w:rPr>
        <w:t xml:space="preserve"> NKÚ </w:t>
      </w:r>
      <w:r w:rsidR="0092477F" w:rsidRPr="000B29CF">
        <w:rPr>
          <w:rFonts w:asciiTheme="minorHAnsi" w:hAnsiTheme="minorHAnsi" w:cstheme="minorHAnsi"/>
          <w:iCs/>
          <w:sz w:val="22"/>
          <w:szCs w:val="22"/>
        </w:rPr>
        <w:t>na místě</w:t>
      </w:r>
      <w:r w:rsidR="00CA6D0B" w:rsidRPr="000B29CF">
        <w:rPr>
          <w:rFonts w:asciiTheme="minorHAnsi" w:hAnsiTheme="minorHAnsi" w:cstheme="minorHAnsi"/>
          <w:iCs/>
          <w:sz w:val="22"/>
          <w:szCs w:val="22"/>
        </w:rPr>
        <w:t>.</w:t>
      </w:r>
    </w:p>
    <w:p w:rsidR="009962CB" w:rsidRDefault="009962CB" w:rsidP="009962CB">
      <w:pPr>
        <w:pStyle w:val="Default"/>
        <w:spacing w:line="252" w:lineRule="auto"/>
        <w:contextualSpacing/>
        <w:jc w:val="both"/>
        <w:rPr>
          <w:rFonts w:asciiTheme="minorHAnsi" w:hAnsiTheme="minorHAnsi" w:cstheme="minorHAnsi"/>
        </w:rPr>
      </w:pPr>
    </w:p>
    <w:p w:rsidR="009962CB" w:rsidRPr="00C101CB" w:rsidRDefault="009962CB" w:rsidP="009962CB">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 xml:space="preserve">Účelnost poskytování a použití </w:t>
      </w:r>
      <w:r>
        <w:rPr>
          <w:rFonts w:eastAsia="Calibri" w:cstheme="minorHAnsi"/>
          <w:b/>
          <w:i/>
          <w:color w:val="4472C4" w:themeColor="accent5"/>
          <w:sz w:val="24"/>
          <w:szCs w:val="24"/>
        </w:rPr>
        <w:t xml:space="preserve">peněžních prostředků </w:t>
      </w:r>
      <w:r w:rsidRPr="00C101CB">
        <w:rPr>
          <w:rFonts w:eastAsia="Calibri" w:cstheme="minorHAnsi"/>
          <w:b/>
          <w:i/>
          <w:color w:val="4472C4" w:themeColor="accent5"/>
          <w:sz w:val="24"/>
          <w:szCs w:val="24"/>
        </w:rPr>
        <w:t>podpory není zajištěna</w:t>
      </w:r>
      <w:r>
        <w:rPr>
          <w:rFonts w:eastAsia="Calibri" w:cstheme="minorHAnsi"/>
          <w:b/>
          <w:i/>
          <w:color w:val="4472C4" w:themeColor="accent5"/>
          <w:sz w:val="24"/>
          <w:szCs w:val="24"/>
        </w:rPr>
        <w:t>.</w:t>
      </w:r>
    </w:p>
    <w:p w:rsidR="009962CB" w:rsidRDefault="009962CB" w:rsidP="009962CB">
      <w:pPr>
        <w:spacing w:after="0" w:line="252" w:lineRule="auto"/>
        <w:contextualSpacing/>
        <w:jc w:val="both"/>
        <w:rPr>
          <w:rFonts w:eastAsia="Calibri" w:cstheme="minorHAnsi"/>
          <w:sz w:val="24"/>
          <w:szCs w:val="24"/>
        </w:rPr>
      </w:pPr>
    </w:p>
    <w:p w:rsidR="009962CB" w:rsidRDefault="009962CB" w:rsidP="009962CB">
      <w:pPr>
        <w:spacing w:after="0" w:line="252" w:lineRule="auto"/>
        <w:contextualSpacing/>
        <w:jc w:val="both"/>
        <w:rPr>
          <w:rFonts w:eastAsia="Arial Unicode MS" w:cstheme="minorHAnsi"/>
          <w:bCs/>
          <w:sz w:val="24"/>
          <w:szCs w:val="24"/>
          <w:lang w:eastAsia="cs-CZ"/>
        </w:rPr>
      </w:pPr>
      <w:r>
        <w:rPr>
          <w:rFonts w:eastAsia="Calibri" w:cstheme="minorHAnsi"/>
          <w:sz w:val="24"/>
          <w:szCs w:val="24"/>
        </w:rPr>
        <w:t xml:space="preserve">4.27 NKÚ ani u jednoho ze vzorku 11 projektů financovaných z rozpočtu SFDI a 12 projektů financovaných z IROP nevyhodnotil poskytnutí a použití podpory jako zcela účelné. V případě šesti projektů zjistil v účelnosti poskytnutí a použití podpory mírné nedostatky. Celkem 17 z 23 kontrolovaných projektů vyhodnotil jako neúčelných nebo účelných jen omezeně. Důvodem bylo množství a závažnost nedostatků, kterými tyto projekty trpěly. </w:t>
      </w:r>
      <w:r w:rsidRPr="003F1F77">
        <w:rPr>
          <w:rFonts w:eastAsia="Arial Unicode MS" w:cstheme="minorHAnsi"/>
          <w:bCs/>
          <w:sz w:val="24"/>
          <w:szCs w:val="24"/>
          <w:lang w:eastAsia="cs-CZ"/>
        </w:rPr>
        <w:t>Výstupy z</w:t>
      </w:r>
      <w:r w:rsidR="00AB1265">
        <w:rPr>
          <w:rFonts w:eastAsia="Arial Unicode MS" w:cstheme="minorHAnsi"/>
          <w:bCs/>
          <w:sz w:val="24"/>
          <w:szCs w:val="24"/>
          <w:lang w:eastAsia="cs-CZ"/>
        </w:rPr>
        <w:t xml:space="preserve"> </w:t>
      </w:r>
      <w:r w:rsidRPr="003F1F77">
        <w:rPr>
          <w:rFonts w:eastAsia="Arial Unicode MS" w:cstheme="minorHAnsi"/>
          <w:bCs/>
          <w:sz w:val="24"/>
          <w:szCs w:val="24"/>
          <w:lang w:eastAsia="cs-CZ"/>
        </w:rPr>
        <w:t xml:space="preserve">kontroly jednotlivých projektů obsahující popisy projektů a zjištěných nedostatků včetně příslušné fotodokumentace jsou </w:t>
      </w:r>
      <w:r w:rsidR="00C042B0">
        <w:rPr>
          <w:sz w:val="24"/>
          <w:szCs w:val="24"/>
        </w:rPr>
        <w:t xml:space="preserve">přílohou č. 3 </w:t>
      </w:r>
      <w:r w:rsidR="00A25EC5">
        <w:rPr>
          <w:sz w:val="24"/>
          <w:szCs w:val="24"/>
        </w:rPr>
        <w:t xml:space="preserve">tohoto </w:t>
      </w:r>
      <w:r w:rsidR="00C042B0">
        <w:rPr>
          <w:sz w:val="24"/>
          <w:szCs w:val="24"/>
        </w:rPr>
        <w:t xml:space="preserve">kontrolního závěru, jsou dostupné </w:t>
      </w:r>
      <w:hyperlink r:id="rId48" w:history="1">
        <w:r w:rsidR="00C5748A" w:rsidRPr="00C5748A">
          <w:rPr>
            <w:rStyle w:val="Hypertextovodkaz"/>
            <w:sz w:val="24"/>
            <w:szCs w:val="24"/>
          </w:rPr>
          <w:t>zde</w:t>
        </w:r>
      </w:hyperlink>
      <w:r w:rsidR="00C5748A">
        <w:rPr>
          <w:rFonts w:eastAsia="Arial Unicode MS" w:cstheme="minorHAnsi"/>
          <w:bCs/>
          <w:sz w:val="24"/>
          <w:szCs w:val="24"/>
          <w:lang w:eastAsia="cs-CZ"/>
        </w:rPr>
        <w:t xml:space="preserve"> </w:t>
      </w:r>
      <w:r w:rsidRPr="00623610">
        <w:rPr>
          <w:rFonts w:eastAsia="Arial Unicode MS" w:cstheme="minorHAnsi"/>
          <w:bCs/>
          <w:sz w:val="24"/>
          <w:szCs w:val="24"/>
          <w:lang w:eastAsia="cs-CZ"/>
        </w:rPr>
        <w:t>a jsou také popsány v předchozích příkladech.</w:t>
      </w:r>
    </w:p>
    <w:p w:rsidR="00146614" w:rsidRDefault="00146614" w:rsidP="007D0ADE">
      <w:pPr>
        <w:spacing w:after="0" w:line="252" w:lineRule="auto"/>
        <w:contextualSpacing/>
        <w:jc w:val="both"/>
        <w:rPr>
          <w:rFonts w:eastAsia="Calibri" w:cstheme="minorHAnsi"/>
          <w:sz w:val="24"/>
          <w:szCs w:val="24"/>
        </w:rPr>
      </w:pPr>
    </w:p>
    <w:p w:rsidR="00116942" w:rsidRDefault="00116942" w:rsidP="007D0ADE">
      <w:pPr>
        <w:spacing w:after="0" w:line="252" w:lineRule="auto"/>
        <w:contextualSpacing/>
        <w:jc w:val="both"/>
        <w:rPr>
          <w:rFonts w:eastAsia="Calibri" w:cstheme="minorHAnsi"/>
          <w:sz w:val="24"/>
          <w:szCs w:val="24"/>
        </w:rPr>
      </w:pPr>
    </w:p>
    <w:p w:rsidR="00116942" w:rsidRDefault="00116942" w:rsidP="007D0ADE">
      <w:pPr>
        <w:spacing w:after="0" w:line="252" w:lineRule="auto"/>
        <w:contextualSpacing/>
        <w:jc w:val="both"/>
        <w:rPr>
          <w:rFonts w:eastAsia="Calibri" w:cstheme="minorHAnsi"/>
          <w:sz w:val="24"/>
          <w:szCs w:val="24"/>
        </w:rPr>
      </w:pPr>
    </w:p>
    <w:p w:rsidR="00116942" w:rsidRDefault="00116942" w:rsidP="007D0ADE">
      <w:pPr>
        <w:spacing w:after="0" w:line="252" w:lineRule="auto"/>
        <w:contextualSpacing/>
        <w:jc w:val="both"/>
        <w:rPr>
          <w:rFonts w:eastAsia="Calibri" w:cstheme="minorHAnsi"/>
          <w:sz w:val="24"/>
          <w:szCs w:val="24"/>
        </w:rPr>
      </w:pPr>
    </w:p>
    <w:p w:rsidR="00116942" w:rsidRDefault="00116942" w:rsidP="007D0ADE">
      <w:pPr>
        <w:spacing w:after="0" w:line="252" w:lineRule="auto"/>
        <w:contextualSpacing/>
        <w:jc w:val="both"/>
        <w:rPr>
          <w:rFonts w:eastAsia="Calibri" w:cstheme="minorHAnsi"/>
          <w:sz w:val="24"/>
          <w:szCs w:val="24"/>
        </w:rPr>
      </w:pPr>
    </w:p>
    <w:p w:rsidR="00116942" w:rsidRDefault="00116942" w:rsidP="007D0ADE">
      <w:pPr>
        <w:spacing w:after="0" w:line="252" w:lineRule="auto"/>
        <w:contextualSpacing/>
        <w:jc w:val="both"/>
        <w:rPr>
          <w:rFonts w:eastAsia="Calibri" w:cstheme="minorHAnsi"/>
          <w:sz w:val="24"/>
          <w:szCs w:val="24"/>
        </w:rPr>
      </w:pPr>
    </w:p>
    <w:p w:rsidR="00146614" w:rsidRPr="00EF3C87" w:rsidRDefault="00146614" w:rsidP="007D0ADE">
      <w:pPr>
        <w:spacing w:after="0" w:line="252" w:lineRule="auto"/>
        <w:contextualSpacing/>
        <w:jc w:val="both"/>
        <w:rPr>
          <w:rFonts w:eastAsia="Calibri" w:cstheme="minorHAnsi"/>
          <w:b/>
          <w:sz w:val="24"/>
          <w:szCs w:val="24"/>
        </w:rPr>
      </w:pPr>
      <w:r w:rsidRPr="00EF3C87">
        <w:rPr>
          <w:rFonts w:eastAsia="Calibri" w:cstheme="minorHAnsi"/>
          <w:b/>
          <w:sz w:val="24"/>
          <w:szCs w:val="24"/>
        </w:rPr>
        <w:lastRenderedPageBreak/>
        <w:t xml:space="preserve">Grafy č. 1 a </w:t>
      </w:r>
      <w:r w:rsidR="00FD610F" w:rsidRPr="00EF3C87">
        <w:rPr>
          <w:rFonts w:eastAsia="Calibri" w:cstheme="minorHAnsi"/>
          <w:b/>
          <w:sz w:val="24"/>
          <w:szCs w:val="24"/>
        </w:rPr>
        <w:t xml:space="preserve">č. </w:t>
      </w:r>
      <w:r w:rsidRPr="00EF3C87">
        <w:rPr>
          <w:rFonts w:eastAsia="Calibri" w:cstheme="minorHAnsi"/>
          <w:b/>
          <w:sz w:val="24"/>
          <w:szCs w:val="24"/>
        </w:rPr>
        <w:t xml:space="preserve">2 – vyhodnocení účelnosti </w:t>
      </w:r>
      <w:r w:rsidR="00FD610F">
        <w:rPr>
          <w:rFonts w:eastAsia="Calibri" w:cstheme="minorHAnsi"/>
          <w:b/>
          <w:sz w:val="24"/>
          <w:szCs w:val="24"/>
        </w:rPr>
        <w:t>kontrolovaných projektů</w:t>
      </w:r>
    </w:p>
    <w:p w:rsidR="007D0ADE" w:rsidRDefault="007D0ADE" w:rsidP="007D0ADE">
      <w:pPr>
        <w:spacing w:after="0" w:line="252" w:lineRule="auto"/>
        <w:contextualSpacing/>
        <w:rPr>
          <w:rFonts w:eastAsia="Calibri" w:cstheme="minorHAnsi"/>
          <w:sz w:val="24"/>
          <w:szCs w:val="24"/>
        </w:rPr>
      </w:pPr>
      <w:r>
        <w:rPr>
          <w:noProof/>
        </w:rPr>
        <w:drawing>
          <wp:inline distT="0" distB="0" distL="0" distR="0" wp14:anchorId="4E7D931C" wp14:editId="7636B0CA">
            <wp:extent cx="2811780" cy="2865755"/>
            <wp:effectExtent l="0" t="0" r="7620" b="0"/>
            <wp:docPr id="18" name="Graf 18">
              <a:extLst xmlns:a="http://schemas.openxmlformats.org/drawingml/2006/main">
                <a:ext uri="{FF2B5EF4-FFF2-40B4-BE49-F238E27FC236}">
                  <a16:creationId xmlns:a16="http://schemas.microsoft.com/office/drawing/2014/main" id="{5C624FEB-C258-4BDD-8712-628A53D379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rPr>
        <w:drawing>
          <wp:inline distT="0" distB="0" distL="0" distR="0" wp14:anchorId="7C67FD46" wp14:editId="0F04CE3F">
            <wp:extent cx="2811780" cy="2891790"/>
            <wp:effectExtent l="0" t="0" r="7620" b="3810"/>
            <wp:docPr id="8" name="Graf 8">
              <a:extLst xmlns:a="http://schemas.openxmlformats.org/drawingml/2006/main">
                <a:ext uri="{FF2B5EF4-FFF2-40B4-BE49-F238E27FC236}">
                  <a16:creationId xmlns:a16="http://schemas.microsoft.com/office/drawing/2014/main" id="{A44831E8-1E64-460C-8E0A-2507627544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D0ADE" w:rsidRPr="00116942" w:rsidRDefault="00146614" w:rsidP="007D0ADE">
      <w:pPr>
        <w:spacing w:after="0" w:line="252" w:lineRule="auto"/>
        <w:contextualSpacing/>
        <w:rPr>
          <w:rFonts w:eastAsia="Calibri" w:cstheme="minorHAnsi"/>
          <w:sz w:val="20"/>
          <w:szCs w:val="20"/>
        </w:rPr>
      </w:pPr>
      <w:r w:rsidRPr="000B29CF">
        <w:rPr>
          <w:rFonts w:eastAsia="Calibri" w:cstheme="minorHAnsi"/>
          <w:b/>
          <w:bCs/>
          <w:sz w:val="20"/>
          <w:szCs w:val="20"/>
        </w:rPr>
        <w:t>Zdroj:</w:t>
      </w:r>
      <w:r w:rsidRPr="00116942">
        <w:rPr>
          <w:rFonts w:eastAsia="Calibri" w:cstheme="minorHAnsi"/>
          <w:sz w:val="20"/>
          <w:szCs w:val="20"/>
        </w:rPr>
        <w:t xml:space="preserve"> vlastní zpracování NKÚ</w:t>
      </w:r>
      <w:r w:rsidR="00D30256">
        <w:rPr>
          <w:rFonts w:eastAsia="Calibri" w:cstheme="minorHAnsi"/>
          <w:sz w:val="20"/>
          <w:szCs w:val="20"/>
        </w:rPr>
        <w:t>.</w:t>
      </w:r>
    </w:p>
    <w:p w:rsidR="00146614" w:rsidRDefault="00146614" w:rsidP="007D0ADE">
      <w:pPr>
        <w:spacing w:after="0" w:line="252" w:lineRule="auto"/>
        <w:contextualSpacing/>
        <w:rPr>
          <w:rFonts w:eastAsia="Calibri" w:cstheme="minorHAnsi"/>
          <w:b/>
          <w:i/>
          <w:color w:val="4472C4" w:themeColor="accent5"/>
          <w:sz w:val="24"/>
          <w:szCs w:val="24"/>
        </w:rPr>
      </w:pPr>
    </w:p>
    <w:p w:rsidR="00116942" w:rsidRDefault="00116942" w:rsidP="007D0ADE">
      <w:pPr>
        <w:spacing w:after="0" w:line="252" w:lineRule="auto"/>
        <w:contextualSpacing/>
        <w:rPr>
          <w:rFonts w:eastAsia="Calibri" w:cstheme="minorHAnsi"/>
          <w:b/>
          <w:i/>
          <w:color w:val="4472C4" w:themeColor="accent5"/>
          <w:sz w:val="24"/>
          <w:szCs w:val="24"/>
        </w:rPr>
      </w:pPr>
    </w:p>
    <w:p w:rsidR="007D0ADE" w:rsidRPr="00C101CB" w:rsidRDefault="007D0ADE" w:rsidP="007D0ADE">
      <w:pPr>
        <w:spacing w:after="0" w:line="252" w:lineRule="auto"/>
        <w:contextualSpacing/>
        <w:rPr>
          <w:rFonts w:eastAsia="Calibri" w:cstheme="minorHAnsi"/>
          <w:b/>
          <w:i/>
          <w:color w:val="4472C4" w:themeColor="accent5"/>
          <w:sz w:val="24"/>
          <w:szCs w:val="24"/>
        </w:rPr>
      </w:pPr>
      <w:r w:rsidRPr="00C101CB">
        <w:rPr>
          <w:rFonts w:eastAsia="Calibri" w:cstheme="minorHAnsi"/>
          <w:b/>
          <w:i/>
          <w:color w:val="4472C4" w:themeColor="accent5"/>
          <w:sz w:val="24"/>
          <w:szCs w:val="24"/>
        </w:rPr>
        <w:t>Většina kontrolovaných projektů byla hospodárná nebo jen s mírnými nedostatky</w:t>
      </w:r>
      <w:r>
        <w:rPr>
          <w:rFonts w:eastAsia="Calibri" w:cstheme="minorHAnsi"/>
          <w:b/>
          <w:i/>
          <w:color w:val="4472C4" w:themeColor="accent5"/>
          <w:sz w:val="24"/>
          <w:szCs w:val="24"/>
        </w:rPr>
        <w:t>.</w:t>
      </w:r>
    </w:p>
    <w:p w:rsidR="007D0ADE" w:rsidRDefault="007D0ADE" w:rsidP="007D0ADE">
      <w:pPr>
        <w:spacing w:after="0" w:line="252" w:lineRule="auto"/>
        <w:contextualSpacing/>
        <w:rPr>
          <w:rFonts w:eastAsia="Calibri" w:cstheme="minorHAnsi"/>
          <w:sz w:val="24"/>
          <w:szCs w:val="24"/>
        </w:rPr>
      </w:pPr>
    </w:p>
    <w:p w:rsidR="009962C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4.28 Vyhodnocení hospodárnosti poskytnutí a použití podpory bylo komplikováno především různorodostí projektů a dostupností cenových normativů použitelných jen pro posouzení jednotkových cen stavebních materiálů a prací, nikoliv celých komunikací pro pěší. V případě projektů financovaných z rozpočtu SFDI navíc NKÚ neměl k dispozici informace o výběru dodavatelů proveden</w:t>
      </w:r>
      <w:r w:rsidR="00A25EC5">
        <w:rPr>
          <w:rFonts w:eastAsia="Calibri" w:cstheme="minorHAnsi"/>
          <w:sz w:val="24"/>
          <w:szCs w:val="24"/>
        </w:rPr>
        <w:t>ém ze strany</w:t>
      </w:r>
      <w:r>
        <w:rPr>
          <w:rFonts w:eastAsia="Calibri" w:cstheme="minorHAnsi"/>
          <w:sz w:val="24"/>
          <w:szCs w:val="24"/>
        </w:rPr>
        <w:t xml:space="preserve"> příjemc</w:t>
      </w:r>
      <w:r w:rsidR="00A25EC5">
        <w:rPr>
          <w:rFonts w:eastAsia="Calibri" w:cstheme="minorHAnsi"/>
          <w:sz w:val="24"/>
          <w:szCs w:val="24"/>
        </w:rPr>
        <w:t>ů</w:t>
      </w:r>
      <w:r>
        <w:rPr>
          <w:rFonts w:eastAsia="Calibri" w:cstheme="minorHAnsi"/>
          <w:sz w:val="24"/>
          <w:szCs w:val="24"/>
        </w:rPr>
        <w:t xml:space="preserve"> podpory, neboť SFDI těmito informacemi nedisponuje. Pro vyhodnocení hospodárnosti u jednotlivých projektů tedy NKÚ použil především orientační porovnání jednotkových cen vypočtených z</w:t>
      </w:r>
      <w:r w:rsidR="00A25EC5">
        <w:rPr>
          <w:rFonts w:eastAsia="Calibri" w:cstheme="minorHAnsi"/>
          <w:sz w:val="24"/>
          <w:szCs w:val="24"/>
        </w:rPr>
        <w:t xml:space="preserve"> </w:t>
      </w:r>
      <w:r>
        <w:rPr>
          <w:rFonts w:eastAsia="Calibri" w:cstheme="minorHAnsi"/>
          <w:sz w:val="24"/>
          <w:szCs w:val="24"/>
        </w:rPr>
        <w:t xml:space="preserve">údajů o </w:t>
      </w:r>
      <w:r w:rsidR="0092477F">
        <w:rPr>
          <w:rFonts w:eastAsia="Calibri" w:cstheme="minorHAnsi"/>
          <w:sz w:val="24"/>
          <w:szCs w:val="24"/>
        </w:rPr>
        <w:t xml:space="preserve">uznatelných </w:t>
      </w:r>
      <w:r>
        <w:rPr>
          <w:rFonts w:eastAsia="Calibri" w:cstheme="minorHAnsi"/>
          <w:sz w:val="24"/>
          <w:szCs w:val="24"/>
        </w:rPr>
        <w:t xml:space="preserve">nákladech, resp. </w:t>
      </w:r>
      <w:r w:rsidR="0092477F">
        <w:rPr>
          <w:rFonts w:eastAsia="Calibri" w:cstheme="minorHAnsi"/>
          <w:sz w:val="24"/>
          <w:szCs w:val="24"/>
        </w:rPr>
        <w:t xml:space="preserve">způsobilých </w:t>
      </w:r>
      <w:r>
        <w:rPr>
          <w:rFonts w:eastAsia="Calibri" w:cstheme="minorHAnsi"/>
          <w:sz w:val="24"/>
          <w:szCs w:val="24"/>
        </w:rPr>
        <w:t>výdajích projektů a délky projektem řešených komunikací pro pěší. Zároveň u každého projektu posoudil další skutečnosti</w:t>
      </w:r>
      <w:r w:rsidR="00A25EC5">
        <w:rPr>
          <w:rFonts w:eastAsia="Calibri" w:cstheme="minorHAnsi"/>
          <w:sz w:val="24"/>
          <w:szCs w:val="24"/>
        </w:rPr>
        <w:t>,</w:t>
      </w:r>
      <w:r>
        <w:rPr>
          <w:rFonts w:eastAsia="Calibri" w:cstheme="minorHAnsi"/>
          <w:sz w:val="24"/>
          <w:szCs w:val="24"/>
        </w:rPr>
        <w:t xml:space="preserve"> jako například použité materiály a stavebně</w:t>
      </w:r>
      <w:r w:rsidR="00BE096C">
        <w:rPr>
          <w:rFonts w:eastAsia="Calibri" w:cstheme="minorHAnsi"/>
          <w:sz w:val="24"/>
          <w:szCs w:val="24"/>
        </w:rPr>
        <w:t>-</w:t>
      </w:r>
      <w:r>
        <w:rPr>
          <w:rFonts w:eastAsia="Calibri" w:cstheme="minorHAnsi"/>
          <w:sz w:val="24"/>
          <w:szCs w:val="24"/>
        </w:rPr>
        <w:t xml:space="preserve">technická řešení. </w:t>
      </w:r>
    </w:p>
    <w:p w:rsidR="009962CB" w:rsidRDefault="009962CB" w:rsidP="009962CB">
      <w:pPr>
        <w:spacing w:after="0" w:line="252" w:lineRule="auto"/>
        <w:contextualSpacing/>
        <w:jc w:val="both"/>
        <w:rPr>
          <w:rFonts w:eastAsia="Calibri" w:cstheme="minorHAnsi"/>
          <w:sz w:val="24"/>
          <w:szCs w:val="24"/>
        </w:rPr>
      </w:pPr>
    </w:p>
    <w:p w:rsidR="009962CB" w:rsidRDefault="009962CB" w:rsidP="009962CB">
      <w:pPr>
        <w:spacing w:after="0" w:line="252" w:lineRule="auto"/>
        <w:contextualSpacing/>
        <w:jc w:val="both"/>
        <w:rPr>
          <w:rFonts w:eastAsia="Calibri" w:cstheme="minorHAnsi"/>
          <w:sz w:val="24"/>
          <w:szCs w:val="24"/>
        </w:rPr>
      </w:pPr>
      <w:r>
        <w:rPr>
          <w:rFonts w:eastAsia="Calibri" w:cstheme="minorHAnsi"/>
          <w:sz w:val="24"/>
          <w:szCs w:val="24"/>
        </w:rPr>
        <w:t>4.29 NKÚ vyhodnotil poskytnutí a použití podpory jako hospodárné nebo hospodárné s mírnými nedostatky u 13 z</w:t>
      </w:r>
      <w:r w:rsidR="00A25EC5">
        <w:rPr>
          <w:rFonts w:eastAsia="Calibri" w:cstheme="minorHAnsi"/>
          <w:sz w:val="24"/>
          <w:szCs w:val="24"/>
        </w:rPr>
        <w:t xml:space="preserve"> </w:t>
      </w:r>
      <w:r>
        <w:rPr>
          <w:rFonts w:eastAsia="Calibri" w:cstheme="minorHAnsi"/>
          <w:sz w:val="24"/>
          <w:szCs w:val="24"/>
        </w:rPr>
        <w:t xml:space="preserve">23 kontrolovaných projektů. V případě pěti projektů zjistil jen omezenou hospodárnost. Dalších pět projektů NKÚ vyhodnotil jako </w:t>
      </w:r>
      <w:r w:rsidR="000561AD">
        <w:rPr>
          <w:rFonts w:eastAsia="Calibri" w:cstheme="minorHAnsi"/>
          <w:sz w:val="24"/>
          <w:szCs w:val="24"/>
        </w:rPr>
        <w:t xml:space="preserve">projekty </w:t>
      </w:r>
      <w:r>
        <w:rPr>
          <w:rFonts w:eastAsia="Calibri" w:cstheme="minorHAnsi"/>
          <w:sz w:val="24"/>
          <w:szCs w:val="24"/>
        </w:rPr>
        <w:t>nehospodárn</w:t>
      </w:r>
      <w:r w:rsidR="000561AD">
        <w:rPr>
          <w:rFonts w:eastAsia="Calibri" w:cstheme="minorHAnsi"/>
          <w:sz w:val="24"/>
          <w:szCs w:val="24"/>
        </w:rPr>
        <w:t>é</w:t>
      </w:r>
      <w:r>
        <w:rPr>
          <w:rFonts w:eastAsia="Calibri" w:cstheme="minorHAnsi"/>
          <w:sz w:val="24"/>
          <w:szCs w:val="24"/>
        </w:rPr>
        <w:t>, a</w:t>
      </w:r>
      <w:r w:rsidR="000561AD">
        <w:rPr>
          <w:rFonts w:eastAsia="Calibri" w:cstheme="minorHAnsi"/>
          <w:sz w:val="24"/>
          <w:szCs w:val="24"/>
        </w:rPr>
        <w:t> </w:t>
      </w:r>
      <w:r>
        <w:rPr>
          <w:rFonts w:eastAsia="Calibri" w:cstheme="minorHAnsi"/>
          <w:sz w:val="24"/>
          <w:szCs w:val="24"/>
        </w:rPr>
        <w:t>to především z důvodu jejich neúčelnosti.</w:t>
      </w:r>
    </w:p>
    <w:p w:rsidR="00116942" w:rsidRDefault="00116942" w:rsidP="009962CB">
      <w:pPr>
        <w:spacing w:after="0" w:line="252" w:lineRule="auto"/>
        <w:contextualSpacing/>
        <w:rPr>
          <w:rFonts w:eastAsia="Calibri" w:cstheme="minorHAnsi"/>
          <w:b/>
          <w:sz w:val="24"/>
          <w:szCs w:val="24"/>
        </w:rPr>
      </w:pPr>
    </w:p>
    <w:p w:rsidR="00146614" w:rsidRPr="00EF3C87" w:rsidRDefault="00146614" w:rsidP="000B29CF">
      <w:pPr>
        <w:keepNext/>
        <w:spacing w:after="0" w:line="252" w:lineRule="auto"/>
        <w:contextualSpacing/>
        <w:rPr>
          <w:rFonts w:eastAsia="Calibri" w:cstheme="minorHAnsi"/>
          <w:b/>
          <w:sz w:val="24"/>
          <w:szCs w:val="24"/>
        </w:rPr>
      </w:pPr>
      <w:r w:rsidRPr="00EF3C87">
        <w:rPr>
          <w:rFonts w:eastAsia="Calibri" w:cstheme="minorHAnsi"/>
          <w:b/>
          <w:sz w:val="24"/>
          <w:szCs w:val="24"/>
        </w:rPr>
        <w:lastRenderedPageBreak/>
        <w:t xml:space="preserve">Grafy č. 3 a </w:t>
      </w:r>
      <w:r w:rsidR="00FD610F" w:rsidRPr="00EF3C87">
        <w:rPr>
          <w:rFonts w:eastAsia="Calibri" w:cstheme="minorHAnsi"/>
          <w:b/>
          <w:sz w:val="24"/>
          <w:szCs w:val="24"/>
        </w:rPr>
        <w:t xml:space="preserve">č. </w:t>
      </w:r>
      <w:r w:rsidRPr="00EF3C87">
        <w:rPr>
          <w:rFonts w:eastAsia="Calibri" w:cstheme="minorHAnsi"/>
          <w:b/>
          <w:sz w:val="24"/>
          <w:szCs w:val="24"/>
        </w:rPr>
        <w:t xml:space="preserve">4 – vyhodnocení hospodárnosti </w:t>
      </w:r>
      <w:r w:rsidR="00FD610F">
        <w:rPr>
          <w:rFonts w:eastAsia="Calibri" w:cstheme="minorHAnsi"/>
          <w:b/>
          <w:sz w:val="24"/>
          <w:szCs w:val="24"/>
        </w:rPr>
        <w:t>kontrolovaných</w:t>
      </w:r>
      <w:r w:rsidR="00FD610F" w:rsidRPr="00FD610F" w:rsidDel="00FD610F">
        <w:rPr>
          <w:rFonts w:eastAsia="Calibri" w:cstheme="minorHAnsi"/>
          <w:b/>
          <w:sz w:val="24"/>
          <w:szCs w:val="24"/>
        </w:rPr>
        <w:t xml:space="preserve"> </w:t>
      </w:r>
      <w:r w:rsidR="00FD610F">
        <w:rPr>
          <w:rFonts w:eastAsia="Calibri" w:cstheme="minorHAnsi"/>
          <w:b/>
          <w:sz w:val="24"/>
          <w:szCs w:val="24"/>
        </w:rPr>
        <w:t>projektů</w:t>
      </w:r>
    </w:p>
    <w:p w:rsidR="007D0ADE" w:rsidRDefault="007D0ADE" w:rsidP="007D0ADE">
      <w:pPr>
        <w:spacing w:after="0" w:line="252" w:lineRule="auto"/>
        <w:contextualSpacing/>
        <w:rPr>
          <w:rFonts w:eastAsia="Calibri" w:cstheme="minorHAnsi"/>
          <w:b/>
          <w:sz w:val="24"/>
          <w:szCs w:val="24"/>
        </w:rPr>
      </w:pPr>
      <w:r>
        <w:rPr>
          <w:noProof/>
        </w:rPr>
        <w:drawing>
          <wp:inline distT="0" distB="0" distL="0" distR="0" wp14:anchorId="256AE972" wp14:editId="3466734A">
            <wp:extent cx="2832100" cy="3056397"/>
            <wp:effectExtent l="0" t="0" r="6350" b="0"/>
            <wp:docPr id="4" name="Graf 4">
              <a:extLst xmlns:a="http://schemas.openxmlformats.org/drawingml/2006/main">
                <a:ext uri="{FF2B5EF4-FFF2-40B4-BE49-F238E27FC236}">
                  <a16:creationId xmlns:a16="http://schemas.microsoft.com/office/drawing/2014/main" id="{08A63AED-78D0-403A-8CCF-DFDEE85842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rPr>
        <w:drawing>
          <wp:inline distT="0" distB="0" distL="0" distR="0" wp14:anchorId="09B75233" wp14:editId="310DB47A">
            <wp:extent cx="2768778" cy="3062920"/>
            <wp:effectExtent l="0" t="0" r="0" b="4445"/>
            <wp:docPr id="3" name="Graf 3">
              <a:extLst xmlns:a="http://schemas.openxmlformats.org/drawingml/2006/main">
                <a:ext uri="{FF2B5EF4-FFF2-40B4-BE49-F238E27FC236}">
                  <a16:creationId xmlns:a16="http://schemas.microsoft.com/office/drawing/2014/main" id="{53F3ACEC-CA95-4B28-B90B-FC446F49D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D0ADE" w:rsidRPr="00EF3C87" w:rsidRDefault="00146614" w:rsidP="007D0ADE">
      <w:pPr>
        <w:spacing w:after="0" w:line="252" w:lineRule="auto"/>
        <w:contextualSpacing/>
        <w:jc w:val="both"/>
        <w:rPr>
          <w:rFonts w:eastAsia="Calibri" w:cstheme="minorHAnsi"/>
          <w:sz w:val="20"/>
          <w:szCs w:val="20"/>
        </w:rPr>
      </w:pPr>
      <w:r w:rsidRPr="000B29CF">
        <w:rPr>
          <w:rFonts w:eastAsia="Calibri" w:cstheme="minorHAnsi"/>
          <w:b/>
          <w:bCs/>
          <w:sz w:val="20"/>
          <w:szCs w:val="20"/>
        </w:rPr>
        <w:t>Zdroj:</w:t>
      </w:r>
      <w:r w:rsidRPr="00EF3C87">
        <w:rPr>
          <w:rFonts w:eastAsia="Calibri" w:cstheme="minorHAnsi"/>
          <w:sz w:val="20"/>
          <w:szCs w:val="20"/>
        </w:rPr>
        <w:t xml:space="preserve"> vlastní zpracování NKÚ</w:t>
      </w:r>
      <w:r w:rsidR="00D30256">
        <w:rPr>
          <w:rFonts w:eastAsia="Calibri" w:cstheme="minorHAnsi"/>
          <w:sz w:val="20"/>
          <w:szCs w:val="20"/>
        </w:rPr>
        <w:t>.</w:t>
      </w:r>
    </w:p>
    <w:p w:rsidR="00146614" w:rsidRPr="00EF3C87" w:rsidRDefault="00146614" w:rsidP="007D0ADE">
      <w:pPr>
        <w:spacing w:after="0" w:line="252" w:lineRule="auto"/>
        <w:contextualSpacing/>
        <w:jc w:val="both"/>
        <w:rPr>
          <w:rFonts w:eastAsia="Calibri" w:cstheme="minorHAnsi"/>
          <w:b/>
          <w:sz w:val="20"/>
          <w:szCs w:val="20"/>
        </w:rPr>
      </w:pPr>
    </w:p>
    <w:p w:rsidR="009962CB" w:rsidRPr="000B29CF" w:rsidRDefault="009962CB" w:rsidP="009962CB">
      <w:pPr>
        <w:spacing w:after="0" w:line="252" w:lineRule="auto"/>
        <w:contextualSpacing/>
        <w:jc w:val="both"/>
        <w:rPr>
          <w:rFonts w:eastAsia="Calibri" w:cstheme="minorHAnsi"/>
          <w:b/>
          <w:bCs/>
        </w:rPr>
      </w:pPr>
      <w:r w:rsidRPr="000B29CF">
        <w:rPr>
          <w:rFonts w:eastAsia="Calibri" w:cstheme="minorHAnsi"/>
          <w:b/>
          <w:bCs/>
        </w:rPr>
        <w:t>Pozn.:</w:t>
      </w:r>
    </w:p>
    <w:p w:rsidR="009962CB" w:rsidRPr="007C22AC" w:rsidRDefault="009962CB" w:rsidP="009962CB">
      <w:pPr>
        <w:pStyle w:val="Odstavecseseznamem"/>
        <w:numPr>
          <w:ilvl w:val="0"/>
          <w:numId w:val="13"/>
        </w:numPr>
        <w:spacing w:after="0" w:line="252" w:lineRule="auto"/>
        <w:ind w:left="426"/>
        <w:jc w:val="both"/>
        <w:rPr>
          <w:rFonts w:eastAsia="Calibri" w:cstheme="minorHAnsi"/>
        </w:rPr>
      </w:pPr>
      <w:r w:rsidRPr="007C22AC">
        <w:rPr>
          <w:rFonts w:cstheme="minorHAnsi"/>
        </w:rPr>
        <w:t xml:space="preserve">Při vyhodnocení účelnosti a hospodárnosti </w:t>
      </w:r>
      <w:r w:rsidRPr="007C22AC">
        <w:rPr>
          <w:rFonts w:eastAsia="Calibri" w:cstheme="minorHAnsi"/>
        </w:rPr>
        <w:t xml:space="preserve">poskytnutí a použití podpory NKÚ využil </w:t>
      </w:r>
      <w:r w:rsidR="000561AD">
        <w:rPr>
          <w:rFonts w:eastAsia="Calibri" w:cstheme="minorHAnsi"/>
        </w:rPr>
        <w:t>„</w:t>
      </w:r>
      <w:r w:rsidRPr="007C22AC">
        <w:rPr>
          <w:rFonts w:cstheme="minorHAnsi"/>
        </w:rPr>
        <w:t>Pomůcku pro vyhodnocení účelnosti a hospodárnosti použití peněžních prostředků určených na podporu projektů</w:t>
      </w:r>
      <w:r w:rsidR="000561AD">
        <w:rPr>
          <w:rFonts w:cstheme="minorHAnsi"/>
        </w:rPr>
        <w:t>“</w:t>
      </w:r>
      <w:r w:rsidRPr="007C22AC">
        <w:rPr>
          <w:rFonts w:cstheme="minorHAnsi"/>
        </w:rPr>
        <w:t>, v</w:t>
      </w:r>
      <w:r w:rsidR="00FD610F">
        <w:rPr>
          <w:rFonts w:cstheme="minorHAnsi"/>
        </w:rPr>
        <w:t> </w:t>
      </w:r>
      <w:r w:rsidRPr="007C22AC">
        <w:rPr>
          <w:rFonts w:cstheme="minorHAnsi"/>
        </w:rPr>
        <w:t>níž jsou popsána východiska, postupy a kritéria pro tuto část kontroly</w:t>
      </w:r>
      <w:r w:rsidR="000561AD">
        <w:rPr>
          <w:rFonts w:cstheme="minorHAnsi"/>
        </w:rPr>
        <w:t>.</w:t>
      </w:r>
      <w:r w:rsidRPr="007C22AC">
        <w:rPr>
          <w:rFonts w:cstheme="minorHAnsi"/>
        </w:rPr>
        <w:t xml:space="preserve"> </w:t>
      </w:r>
      <w:r w:rsidR="000561AD">
        <w:rPr>
          <w:rFonts w:cstheme="minorHAnsi"/>
        </w:rPr>
        <w:t>Pomůcka</w:t>
      </w:r>
      <w:r w:rsidRPr="007C22AC">
        <w:rPr>
          <w:rFonts w:cstheme="minorHAnsi"/>
        </w:rPr>
        <w:t xml:space="preserve"> </w:t>
      </w:r>
      <w:r w:rsidR="000561AD">
        <w:rPr>
          <w:rFonts w:cstheme="minorHAnsi"/>
        </w:rPr>
        <w:t>tvoří</w:t>
      </w:r>
      <w:r w:rsidRPr="007C22AC">
        <w:rPr>
          <w:rFonts w:cstheme="minorHAnsi"/>
        </w:rPr>
        <w:t xml:space="preserve"> přílo</w:t>
      </w:r>
      <w:r w:rsidR="000561AD">
        <w:rPr>
          <w:rFonts w:cstheme="minorHAnsi"/>
        </w:rPr>
        <w:t>hu</w:t>
      </w:r>
      <w:r w:rsidRPr="007C22AC">
        <w:rPr>
          <w:rFonts w:cstheme="minorHAnsi"/>
        </w:rPr>
        <w:t xml:space="preserve"> č. </w:t>
      </w:r>
      <w:r w:rsidR="00650F28" w:rsidRPr="007C22AC">
        <w:rPr>
          <w:rFonts w:cstheme="minorHAnsi"/>
        </w:rPr>
        <w:t>4</w:t>
      </w:r>
      <w:r w:rsidR="00116942">
        <w:rPr>
          <w:rFonts w:cstheme="minorHAnsi"/>
        </w:rPr>
        <w:t xml:space="preserve"> </w:t>
      </w:r>
      <w:r w:rsidR="000561AD">
        <w:rPr>
          <w:rFonts w:cstheme="minorHAnsi"/>
        </w:rPr>
        <w:t xml:space="preserve">tohoto </w:t>
      </w:r>
      <w:r w:rsidR="00116942">
        <w:rPr>
          <w:rFonts w:cstheme="minorHAnsi"/>
        </w:rPr>
        <w:t>kontrolního závěru</w:t>
      </w:r>
      <w:r w:rsidRPr="007C22AC">
        <w:rPr>
          <w:rFonts w:cstheme="minorHAnsi"/>
        </w:rPr>
        <w:t>.</w:t>
      </w:r>
    </w:p>
    <w:p w:rsidR="009962CB" w:rsidRPr="006F4C5C" w:rsidRDefault="009962CB" w:rsidP="009962CB">
      <w:pPr>
        <w:pStyle w:val="Odstavecseseznamem"/>
        <w:numPr>
          <w:ilvl w:val="0"/>
          <w:numId w:val="13"/>
        </w:numPr>
        <w:spacing w:after="0" w:line="252" w:lineRule="auto"/>
        <w:ind w:left="426"/>
        <w:jc w:val="both"/>
        <w:rPr>
          <w:rFonts w:eastAsia="Calibri" w:cstheme="minorHAnsi"/>
          <w:sz w:val="24"/>
          <w:szCs w:val="24"/>
        </w:rPr>
      </w:pPr>
      <w:r w:rsidRPr="007C22AC">
        <w:rPr>
          <w:rFonts w:eastAsia="Calibri" w:cstheme="minorHAnsi"/>
        </w:rPr>
        <w:t>Tabulkový přehled s</w:t>
      </w:r>
      <w:r w:rsidR="00FD610F">
        <w:rPr>
          <w:rFonts w:eastAsia="Calibri" w:cstheme="minorHAnsi"/>
        </w:rPr>
        <w:t> </w:t>
      </w:r>
      <w:r w:rsidRPr="007C22AC">
        <w:rPr>
          <w:rFonts w:eastAsia="Calibri" w:cstheme="minorHAnsi"/>
        </w:rPr>
        <w:t>vyhodnocením účelnosti a hospodárnosti u jednotlivých projektů je uveden v</w:t>
      </w:r>
      <w:r w:rsidR="00FD610F">
        <w:rPr>
          <w:rFonts w:eastAsia="Calibri" w:cstheme="minorHAnsi"/>
        </w:rPr>
        <w:t> </w:t>
      </w:r>
      <w:r w:rsidRPr="007C22AC">
        <w:rPr>
          <w:rFonts w:eastAsia="Calibri" w:cstheme="minorHAnsi"/>
        </w:rPr>
        <w:t xml:space="preserve">příloze č. </w:t>
      </w:r>
      <w:r w:rsidR="00650F28" w:rsidRPr="007C22AC">
        <w:rPr>
          <w:rFonts w:eastAsia="Calibri" w:cstheme="minorHAnsi"/>
        </w:rPr>
        <w:t>2</w:t>
      </w:r>
      <w:r w:rsidR="00116942">
        <w:rPr>
          <w:rFonts w:eastAsia="Calibri" w:cstheme="minorHAnsi"/>
        </w:rPr>
        <w:t xml:space="preserve"> </w:t>
      </w:r>
      <w:r w:rsidR="000561AD">
        <w:rPr>
          <w:rFonts w:eastAsia="Calibri" w:cstheme="minorHAnsi"/>
        </w:rPr>
        <w:t xml:space="preserve">tohoto </w:t>
      </w:r>
      <w:r w:rsidR="00116942">
        <w:rPr>
          <w:rFonts w:eastAsia="Calibri" w:cstheme="minorHAnsi"/>
        </w:rPr>
        <w:t>kontrolního závěru</w:t>
      </w:r>
      <w:r w:rsidRPr="007C22AC">
        <w:rPr>
          <w:rFonts w:eastAsia="Calibri" w:cstheme="minorHAnsi"/>
        </w:rPr>
        <w:t>.</w:t>
      </w:r>
    </w:p>
    <w:p w:rsidR="009962CB" w:rsidRDefault="009962CB" w:rsidP="009962CB">
      <w:pPr>
        <w:spacing w:after="0" w:line="252" w:lineRule="auto"/>
        <w:contextualSpacing/>
        <w:jc w:val="both"/>
        <w:rPr>
          <w:rFonts w:eastAsia="Calibri" w:cstheme="minorHAnsi"/>
          <w:b/>
          <w:sz w:val="24"/>
          <w:szCs w:val="24"/>
        </w:rPr>
      </w:pPr>
    </w:p>
    <w:p w:rsidR="00F65365" w:rsidRPr="006F4C5C" w:rsidRDefault="00F65365" w:rsidP="009962CB">
      <w:pPr>
        <w:spacing w:after="0" w:line="252" w:lineRule="auto"/>
        <w:contextualSpacing/>
        <w:jc w:val="both"/>
        <w:rPr>
          <w:rFonts w:eastAsia="Calibri" w:cstheme="minorHAnsi"/>
          <w:b/>
          <w:sz w:val="24"/>
          <w:szCs w:val="24"/>
        </w:rPr>
      </w:pPr>
    </w:p>
    <w:p w:rsidR="009962CB" w:rsidRPr="00C101CB" w:rsidRDefault="009962CB" w:rsidP="00EF3C87">
      <w:pPr>
        <w:spacing w:after="0" w:line="252" w:lineRule="auto"/>
        <w:contextualSpacing/>
        <w:jc w:val="both"/>
        <w:rPr>
          <w:rFonts w:eastAsia="Calibri" w:cstheme="minorHAnsi"/>
          <w:b/>
          <w:i/>
          <w:color w:val="4472C4" w:themeColor="accent5"/>
          <w:sz w:val="24"/>
          <w:szCs w:val="24"/>
        </w:rPr>
      </w:pPr>
      <w:r w:rsidRPr="00C101CB">
        <w:rPr>
          <w:rFonts w:eastAsia="Calibri" w:cstheme="minorHAnsi"/>
          <w:b/>
          <w:i/>
          <w:color w:val="4472C4" w:themeColor="accent5"/>
          <w:sz w:val="24"/>
          <w:szCs w:val="24"/>
        </w:rPr>
        <w:t xml:space="preserve">Poskytování podpory </w:t>
      </w:r>
      <w:r>
        <w:rPr>
          <w:rFonts w:eastAsia="Calibri" w:cstheme="minorHAnsi"/>
          <w:b/>
          <w:i/>
          <w:color w:val="4472C4" w:themeColor="accent5"/>
          <w:sz w:val="24"/>
          <w:szCs w:val="24"/>
        </w:rPr>
        <w:t>nevede k</w:t>
      </w:r>
      <w:r w:rsidR="00AB1265">
        <w:rPr>
          <w:rFonts w:eastAsia="Calibri" w:cstheme="minorHAnsi"/>
          <w:b/>
          <w:i/>
          <w:color w:val="4472C4" w:themeColor="accent5"/>
          <w:sz w:val="24"/>
          <w:szCs w:val="24"/>
        </w:rPr>
        <w:t xml:space="preserve"> </w:t>
      </w:r>
      <w:r>
        <w:rPr>
          <w:rFonts w:eastAsia="Calibri" w:cstheme="minorHAnsi"/>
          <w:b/>
          <w:i/>
          <w:color w:val="4472C4" w:themeColor="accent5"/>
          <w:sz w:val="24"/>
          <w:szCs w:val="24"/>
        </w:rPr>
        <w:t xml:space="preserve">účelnému vynakládání peněžních prostředků státu, </w:t>
      </w:r>
      <w:r w:rsidR="00FD610F">
        <w:rPr>
          <w:rFonts w:eastAsia="Calibri" w:cstheme="minorHAnsi"/>
          <w:b/>
          <w:i/>
          <w:color w:val="4472C4" w:themeColor="accent5"/>
          <w:sz w:val="24"/>
          <w:szCs w:val="24"/>
        </w:rPr>
        <w:br/>
      </w:r>
      <w:r w:rsidRPr="00C101CB">
        <w:rPr>
          <w:rFonts w:eastAsia="Calibri" w:cstheme="minorHAnsi"/>
          <w:b/>
          <w:i/>
          <w:color w:val="4472C4" w:themeColor="accent5"/>
          <w:sz w:val="24"/>
          <w:szCs w:val="24"/>
        </w:rPr>
        <w:t xml:space="preserve">je </w:t>
      </w:r>
      <w:r>
        <w:rPr>
          <w:rFonts w:eastAsia="Calibri" w:cstheme="minorHAnsi"/>
          <w:b/>
          <w:i/>
          <w:color w:val="4472C4" w:themeColor="accent5"/>
          <w:sz w:val="24"/>
          <w:szCs w:val="24"/>
        </w:rPr>
        <w:t xml:space="preserve">i </w:t>
      </w:r>
      <w:r w:rsidRPr="00C101CB">
        <w:rPr>
          <w:rFonts w:eastAsia="Calibri" w:cstheme="minorHAnsi"/>
          <w:b/>
          <w:i/>
          <w:color w:val="4472C4" w:themeColor="accent5"/>
          <w:sz w:val="24"/>
          <w:szCs w:val="24"/>
        </w:rPr>
        <w:t>komplikované a administrativně náročné</w:t>
      </w:r>
      <w:r>
        <w:rPr>
          <w:rFonts w:eastAsia="Calibri" w:cstheme="minorHAnsi"/>
          <w:b/>
          <w:i/>
          <w:color w:val="4472C4" w:themeColor="accent5"/>
          <w:sz w:val="24"/>
          <w:szCs w:val="24"/>
        </w:rPr>
        <w:t>.</w:t>
      </w:r>
    </w:p>
    <w:p w:rsidR="009962CB" w:rsidRPr="001D1902" w:rsidRDefault="009962CB" w:rsidP="009962CB">
      <w:pPr>
        <w:spacing w:after="0" w:line="252" w:lineRule="auto"/>
        <w:contextualSpacing/>
        <w:rPr>
          <w:rFonts w:eastAsia="Calibri" w:cstheme="minorHAnsi"/>
          <w:b/>
          <w:sz w:val="24"/>
          <w:szCs w:val="24"/>
        </w:rPr>
      </w:pPr>
    </w:p>
    <w:p w:rsidR="00AE3EDA" w:rsidRDefault="009962CB" w:rsidP="009962CB">
      <w:pPr>
        <w:spacing w:line="252" w:lineRule="auto"/>
        <w:contextualSpacing/>
        <w:jc w:val="both"/>
        <w:rPr>
          <w:rFonts w:eastAsia="Calibri" w:cstheme="minorHAnsi"/>
          <w:sz w:val="24"/>
          <w:szCs w:val="24"/>
        </w:rPr>
      </w:pPr>
      <w:r>
        <w:rPr>
          <w:rFonts w:eastAsia="Calibri" w:cstheme="minorHAnsi"/>
          <w:sz w:val="24"/>
          <w:szCs w:val="24"/>
        </w:rPr>
        <w:t xml:space="preserve">4.30 NKÚ při kontrole rovněž zjistil, že </w:t>
      </w:r>
      <w:r w:rsidRPr="003F0DD9">
        <w:rPr>
          <w:rFonts w:eastAsia="Calibri" w:cstheme="minorHAnsi"/>
          <w:sz w:val="24"/>
          <w:szCs w:val="24"/>
        </w:rPr>
        <w:t xml:space="preserve">poskytování podpory určené na výstavbu </w:t>
      </w:r>
      <w:r w:rsidR="00AE3EDA">
        <w:rPr>
          <w:rFonts w:eastAsia="Calibri" w:cstheme="minorHAnsi"/>
          <w:sz w:val="24"/>
          <w:szCs w:val="24"/>
        </w:rPr>
        <w:br/>
      </w:r>
      <w:r w:rsidRPr="003F0DD9">
        <w:rPr>
          <w:rFonts w:eastAsia="Calibri" w:cstheme="minorHAnsi"/>
          <w:sz w:val="24"/>
          <w:szCs w:val="24"/>
        </w:rPr>
        <w:t>a rekonstrukce komunikací pro pěší představuje značnou administrativní zátěž jak na straně žadatelů o podporu</w:t>
      </w:r>
      <w:r>
        <w:rPr>
          <w:rStyle w:val="Znakapoznpodarou"/>
          <w:rFonts w:eastAsia="Calibri" w:cstheme="minorHAnsi"/>
          <w:sz w:val="24"/>
          <w:szCs w:val="24"/>
        </w:rPr>
        <w:footnoteReference w:id="35"/>
      </w:r>
      <w:r w:rsidRPr="003F0DD9">
        <w:rPr>
          <w:rFonts w:eastAsia="Calibri" w:cstheme="minorHAnsi"/>
          <w:sz w:val="24"/>
          <w:szCs w:val="24"/>
        </w:rPr>
        <w:t xml:space="preserve">, tak na straně SFDI, MMR a CRR. SFDI </w:t>
      </w:r>
      <w:r w:rsidR="00BD22AF">
        <w:rPr>
          <w:rFonts w:eastAsia="Calibri" w:cstheme="minorHAnsi"/>
          <w:sz w:val="24"/>
          <w:szCs w:val="24"/>
        </w:rPr>
        <w:t xml:space="preserve">při </w:t>
      </w:r>
      <w:r w:rsidR="00BD22AF" w:rsidRPr="003F0DD9">
        <w:rPr>
          <w:rFonts w:cstheme="minorHAnsi"/>
          <w:sz w:val="24"/>
          <w:szCs w:val="24"/>
        </w:rPr>
        <w:t>zpracování žádost</w:t>
      </w:r>
      <w:r w:rsidR="00BD22AF">
        <w:rPr>
          <w:rFonts w:cstheme="minorHAnsi"/>
          <w:sz w:val="24"/>
          <w:szCs w:val="24"/>
        </w:rPr>
        <w:t>í</w:t>
      </w:r>
      <w:r w:rsidR="00BD22AF" w:rsidRPr="003F0DD9">
        <w:rPr>
          <w:rFonts w:cstheme="minorHAnsi"/>
          <w:sz w:val="24"/>
          <w:szCs w:val="24"/>
        </w:rPr>
        <w:t xml:space="preserve"> o podporu a jejich </w:t>
      </w:r>
      <w:r w:rsidR="00BD22AF" w:rsidRPr="003F0DD9">
        <w:rPr>
          <w:rFonts w:eastAsia="Calibri" w:cstheme="minorHAnsi"/>
          <w:sz w:val="24"/>
          <w:szCs w:val="24"/>
        </w:rPr>
        <w:t>příloh</w:t>
      </w:r>
      <w:r w:rsidRPr="003F0DD9">
        <w:rPr>
          <w:rFonts w:eastAsia="Calibri" w:cstheme="minorHAnsi"/>
          <w:sz w:val="24"/>
          <w:szCs w:val="24"/>
        </w:rPr>
        <w:t xml:space="preserve"> nabízel žadatelům pomoc v</w:t>
      </w:r>
      <w:r w:rsidR="000561AD">
        <w:rPr>
          <w:rFonts w:eastAsia="Calibri" w:cstheme="minorHAnsi"/>
          <w:sz w:val="24"/>
          <w:szCs w:val="24"/>
        </w:rPr>
        <w:t xml:space="preserve"> </w:t>
      </w:r>
      <w:r w:rsidRPr="003F0DD9">
        <w:rPr>
          <w:rFonts w:eastAsia="Calibri" w:cstheme="minorHAnsi"/>
          <w:sz w:val="24"/>
          <w:szCs w:val="24"/>
        </w:rPr>
        <w:t>podobě konzultací především k</w:t>
      </w:r>
      <w:r w:rsidR="000561AD">
        <w:rPr>
          <w:rFonts w:eastAsia="Calibri" w:cstheme="minorHAnsi"/>
          <w:sz w:val="24"/>
          <w:szCs w:val="24"/>
        </w:rPr>
        <w:t xml:space="preserve"> </w:t>
      </w:r>
      <w:r w:rsidRPr="003F0DD9">
        <w:rPr>
          <w:rFonts w:eastAsia="Calibri" w:cstheme="minorHAnsi"/>
          <w:sz w:val="24"/>
          <w:szCs w:val="24"/>
        </w:rPr>
        <w:t xml:space="preserve">zajištění bezbariérovosti řešených úseků. </w:t>
      </w:r>
      <w:r>
        <w:rPr>
          <w:rFonts w:eastAsia="Calibri" w:cstheme="minorHAnsi"/>
          <w:sz w:val="24"/>
          <w:szCs w:val="24"/>
        </w:rPr>
        <w:t xml:space="preserve">MMR a CRR umožňovaly žadatelům konzultace na krajských pracovištích CRR. </w:t>
      </w:r>
      <w:r w:rsidRPr="003F0DD9">
        <w:rPr>
          <w:rFonts w:eastAsia="Calibri" w:cstheme="minorHAnsi"/>
          <w:sz w:val="24"/>
          <w:szCs w:val="24"/>
        </w:rPr>
        <w:t xml:space="preserve">Velká administrativní zátěž na straně SFDI a CRR byla </w:t>
      </w:r>
      <w:r w:rsidR="008F359D">
        <w:rPr>
          <w:rFonts w:eastAsia="Calibri" w:cstheme="minorHAnsi"/>
          <w:sz w:val="24"/>
          <w:szCs w:val="24"/>
        </w:rPr>
        <w:t xml:space="preserve">spojena </w:t>
      </w:r>
      <w:r w:rsidRPr="003F0DD9">
        <w:rPr>
          <w:rFonts w:eastAsia="Calibri" w:cstheme="minorHAnsi"/>
          <w:sz w:val="24"/>
          <w:szCs w:val="24"/>
        </w:rPr>
        <w:t xml:space="preserve">především </w:t>
      </w:r>
      <w:r w:rsidR="006B5EF6">
        <w:rPr>
          <w:rFonts w:eastAsia="Calibri" w:cstheme="minorHAnsi"/>
          <w:sz w:val="24"/>
          <w:szCs w:val="24"/>
        </w:rPr>
        <w:br/>
      </w:r>
      <w:r w:rsidR="008F359D">
        <w:rPr>
          <w:rFonts w:eastAsia="Calibri" w:cstheme="minorHAnsi"/>
          <w:sz w:val="24"/>
          <w:szCs w:val="24"/>
        </w:rPr>
        <w:t xml:space="preserve">s </w:t>
      </w:r>
      <w:r w:rsidRPr="003F0DD9">
        <w:rPr>
          <w:rFonts w:eastAsia="Calibri" w:cstheme="minorHAnsi"/>
          <w:sz w:val="24"/>
          <w:szCs w:val="24"/>
        </w:rPr>
        <w:t>posuzování</w:t>
      </w:r>
      <w:r w:rsidR="008F359D">
        <w:rPr>
          <w:rFonts w:eastAsia="Calibri" w:cstheme="minorHAnsi"/>
          <w:sz w:val="24"/>
          <w:szCs w:val="24"/>
        </w:rPr>
        <w:t>m</w:t>
      </w:r>
      <w:r w:rsidRPr="003F0DD9">
        <w:rPr>
          <w:rFonts w:eastAsia="Calibri" w:cstheme="minorHAnsi"/>
          <w:sz w:val="24"/>
          <w:szCs w:val="24"/>
        </w:rPr>
        <w:t xml:space="preserve"> a vyhodnocování</w:t>
      </w:r>
      <w:r w:rsidR="008F359D">
        <w:rPr>
          <w:rFonts w:eastAsia="Calibri" w:cstheme="minorHAnsi"/>
          <w:sz w:val="24"/>
          <w:szCs w:val="24"/>
        </w:rPr>
        <w:t>m</w:t>
      </w:r>
      <w:r w:rsidRPr="003F0DD9">
        <w:rPr>
          <w:rFonts w:eastAsia="Calibri" w:cstheme="minorHAnsi"/>
          <w:sz w:val="24"/>
          <w:szCs w:val="24"/>
        </w:rPr>
        <w:t xml:space="preserve"> žádostí o podporu</w:t>
      </w:r>
      <w:r w:rsidR="008F359D">
        <w:rPr>
          <w:rFonts w:eastAsia="Calibri" w:cstheme="minorHAnsi"/>
          <w:sz w:val="24"/>
          <w:szCs w:val="24"/>
        </w:rPr>
        <w:t xml:space="preserve">, </w:t>
      </w:r>
      <w:r w:rsidR="000561AD">
        <w:rPr>
          <w:rFonts w:eastAsia="Calibri" w:cstheme="minorHAnsi"/>
          <w:sz w:val="24"/>
          <w:szCs w:val="24"/>
        </w:rPr>
        <w:t>přesto tento proces</w:t>
      </w:r>
      <w:r w:rsidR="008F359D">
        <w:rPr>
          <w:rFonts w:eastAsia="Calibri" w:cstheme="minorHAnsi"/>
          <w:sz w:val="24"/>
          <w:szCs w:val="24"/>
        </w:rPr>
        <w:t xml:space="preserve"> </w:t>
      </w:r>
      <w:r w:rsidR="000561AD">
        <w:rPr>
          <w:rFonts w:eastAsia="Calibri" w:cstheme="minorHAnsi"/>
          <w:sz w:val="24"/>
          <w:szCs w:val="24"/>
        </w:rPr>
        <w:t>mnohdy</w:t>
      </w:r>
      <w:r w:rsidR="009069D8">
        <w:rPr>
          <w:rFonts w:eastAsia="Calibri" w:cstheme="minorHAnsi"/>
          <w:sz w:val="24"/>
          <w:szCs w:val="24"/>
        </w:rPr>
        <w:t xml:space="preserve"> </w:t>
      </w:r>
      <w:r w:rsidR="008F359D">
        <w:rPr>
          <w:rFonts w:eastAsia="Calibri" w:cstheme="minorHAnsi"/>
          <w:sz w:val="24"/>
          <w:szCs w:val="24"/>
        </w:rPr>
        <w:t>nezajistil účelnost a hospodárnost vynakládání podpory.</w:t>
      </w:r>
    </w:p>
    <w:p w:rsidR="00AE3EDA" w:rsidRDefault="00AE3EDA" w:rsidP="009962CB">
      <w:pPr>
        <w:spacing w:line="252" w:lineRule="auto"/>
        <w:contextualSpacing/>
        <w:jc w:val="both"/>
        <w:rPr>
          <w:rFonts w:eastAsia="Calibri" w:cstheme="minorHAnsi"/>
          <w:sz w:val="24"/>
          <w:szCs w:val="24"/>
        </w:rPr>
      </w:pPr>
    </w:p>
    <w:p w:rsidR="00F65365" w:rsidRDefault="00F65365" w:rsidP="009962CB">
      <w:pPr>
        <w:spacing w:line="252" w:lineRule="auto"/>
        <w:contextualSpacing/>
        <w:jc w:val="both"/>
        <w:rPr>
          <w:rFonts w:eastAsia="Calibri" w:cstheme="minorHAnsi"/>
          <w:sz w:val="24"/>
          <w:szCs w:val="24"/>
        </w:rPr>
      </w:pPr>
    </w:p>
    <w:p w:rsidR="009962CB" w:rsidRPr="00E1406E" w:rsidRDefault="009962CB" w:rsidP="009962CB">
      <w:pPr>
        <w:spacing w:line="252" w:lineRule="auto"/>
        <w:contextualSpacing/>
        <w:jc w:val="both"/>
        <w:rPr>
          <w:rFonts w:eastAsia="Calibri" w:cstheme="minorHAnsi"/>
          <w:sz w:val="24"/>
          <w:szCs w:val="24"/>
        </w:rPr>
      </w:pPr>
      <w:r w:rsidRPr="00E1406E">
        <w:rPr>
          <w:rFonts w:eastAsia="Calibri" w:cstheme="minorHAnsi"/>
          <w:sz w:val="24"/>
          <w:szCs w:val="24"/>
        </w:rPr>
        <w:lastRenderedPageBreak/>
        <w:t>4.31 SFDI, MMR i CRR namítaly, že nedostatky, které NKÚ při kontrole projektů zjistil, jsou dány podrobností jím provedené kontroly a že pro provádění obdobné kontroly při rozhodování o poskytnutí podpory a vyhodnocování jej</w:t>
      </w:r>
      <w:r w:rsidR="0078409C">
        <w:rPr>
          <w:rFonts w:eastAsia="Calibri" w:cstheme="minorHAnsi"/>
          <w:sz w:val="24"/>
          <w:szCs w:val="24"/>
        </w:rPr>
        <w:t>í</w:t>
      </w:r>
      <w:r w:rsidRPr="00E1406E">
        <w:rPr>
          <w:rFonts w:eastAsia="Calibri" w:cstheme="minorHAnsi"/>
          <w:sz w:val="24"/>
          <w:szCs w:val="24"/>
        </w:rPr>
        <w:t>ch výsledků by musely mít násobně vyšší personální a odbornou kapacitu. To by ovšem mj. představovalo nepřijatelné navýšení nákladů jdoucích na úkor poskytované podpory. NKÚ s</w:t>
      </w:r>
      <w:r w:rsidR="0078409C">
        <w:rPr>
          <w:rFonts w:eastAsia="Calibri" w:cstheme="minorHAnsi"/>
          <w:sz w:val="24"/>
          <w:szCs w:val="24"/>
        </w:rPr>
        <w:t xml:space="preserve"> </w:t>
      </w:r>
      <w:r w:rsidRPr="00E1406E">
        <w:rPr>
          <w:rFonts w:eastAsia="Calibri" w:cstheme="minorHAnsi"/>
          <w:sz w:val="24"/>
          <w:szCs w:val="24"/>
        </w:rPr>
        <w:t xml:space="preserve">tímto argumentem souhlasí </w:t>
      </w:r>
      <w:r w:rsidR="006B5EF6" w:rsidRPr="00E1406E">
        <w:rPr>
          <w:rFonts w:eastAsia="Calibri" w:cstheme="minorHAnsi"/>
          <w:sz w:val="24"/>
          <w:szCs w:val="24"/>
        </w:rPr>
        <w:br/>
      </w:r>
      <w:r w:rsidRPr="00E1406E">
        <w:rPr>
          <w:rFonts w:eastAsia="Calibri" w:cstheme="minorHAnsi"/>
          <w:sz w:val="24"/>
          <w:szCs w:val="24"/>
        </w:rPr>
        <w:t>a v žádném případě se takového navyšování kapacit kontrolovaných osob tímto kontrolním závěrem nedovolává.</w:t>
      </w:r>
    </w:p>
    <w:p w:rsidR="009962CB" w:rsidRPr="00E1406E" w:rsidRDefault="009962CB" w:rsidP="009962CB">
      <w:pPr>
        <w:spacing w:line="252" w:lineRule="auto"/>
        <w:contextualSpacing/>
        <w:jc w:val="both"/>
        <w:rPr>
          <w:rFonts w:eastAsia="Calibri" w:cstheme="minorHAnsi"/>
          <w:sz w:val="24"/>
          <w:szCs w:val="24"/>
        </w:rPr>
      </w:pPr>
    </w:p>
    <w:p w:rsidR="009962CB" w:rsidRDefault="009962CB" w:rsidP="009962CB">
      <w:pPr>
        <w:spacing w:line="252" w:lineRule="auto"/>
        <w:contextualSpacing/>
        <w:jc w:val="both"/>
        <w:rPr>
          <w:rFonts w:eastAsia="Calibri" w:cstheme="minorHAnsi"/>
          <w:sz w:val="24"/>
          <w:szCs w:val="24"/>
        </w:rPr>
      </w:pPr>
      <w:r w:rsidRPr="00E1406E">
        <w:rPr>
          <w:rFonts w:eastAsia="Calibri" w:cstheme="minorHAnsi"/>
          <w:sz w:val="24"/>
          <w:szCs w:val="24"/>
        </w:rPr>
        <w:t xml:space="preserve">4.32 </w:t>
      </w:r>
      <w:r w:rsidRPr="001F1A39">
        <w:rPr>
          <w:rFonts w:eastAsia="Calibri" w:cstheme="minorHAnsi"/>
          <w:sz w:val="24"/>
          <w:szCs w:val="24"/>
        </w:rPr>
        <w:t>Nemění to však, na druhé straně</w:t>
      </w:r>
      <w:r w:rsidRPr="00E1406E">
        <w:rPr>
          <w:rFonts w:eastAsia="Calibri" w:cstheme="minorHAnsi"/>
          <w:sz w:val="24"/>
          <w:szCs w:val="24"/>
        </w:rPr>
        <w:t>, nic na kritických zjištěních zejména k účelnosti vynaložených peněžních prostředků státu a EU, kter</w:t>
      </w:r>
      <w:r w:rsidR="00E82757">
        <w:rPr>
          <w:rFonts w:eastAsia="Calibri" w:cstheme="minorHAnsi"/>
          <w:sz w:val="24"/>
          <w:szCs w:val="24"/>
        </w:rPr>
        <w:t>á</w:t>
      </w:r>
      <w:r w:rsidRPr="00E1406E">
        <w:rPr>
          <w:rFonts w:eastAsia="Calibri" w:cstheme="minorHAnsi"/>
          <w:sz w:val="24"/>
          <w:szCs w:val="24"/>
        </w:rPr>
        <w:t xml:space="preserve"> vyplývají ze systémových nedostatků </w:t>
      </w:r>
      <w:r w:rsidR="006B5EF6" w:rsidRPr="00E1406E">
        <w:rPr>
          <w:rFonts w:eastAsia="Calibri" w:cstheme="minorHAnsi"/>
          <w:sz w:val="24"/>
          <w:szCs w:val="24"/>
        </w:rPr>
        <w:br/>
      </w:r>
      <w:r w:rsidRPr="00E1406E">
        <w:rPr>
          <w:rFonts w:eastAsia="Calibri" w:cstheme="minorHAnsi"/>
          <w:sz w:val="24"/>
          <w:szCs w:val="24"/>
        </w:rPr>
        <w:t>v poskytování podpory na výstavbu a rekonstrukce komunikací pro pěší. Je</w:t>
      </w:r>
      <w:r>
        <w:rPr>
          <w:rFonts w:eastAsia="Calibri" w:cstheme="minorHAnsi"/>
          <w:sz w:val="24"/>
          <w:szCs w:val="24"/>
        </w:rPr>
        <w:t xml:space="preserve"> tak výzvou zejména pro MD a MMR k přehodnocení současného systému poskytování podpory tohoto segmentu, včetně porovnání nákladů na něj vynakládaných v širším smyslu, tj. u všech zúčastněných aktérů</w:t>
      </w:r>
      <w:r w:rsidR="001F1A39">
        <w:rPr>
          <w:rFonts w:eastAsia="Calibri" w:cstheme="minorHAnsi"/>
          <w:sz w:val="24"/>
          <w:szCs w:val="24"/>
        </w:rPr>
        <w:t>,</w:t>
      </w:r>
      <w:r>
        <w:rPr>
          <w:rFonts w:eastAsia="Calibri" w:cstheme="minorHAnsi"/>
          <w:sz w:val="24"/>
          <w:szCs w:val="24"/>
        </w:rPr>
        <w:t xml:space="preserve"> včetně administrativní náročnosti a požadavků na personální kapacity na straně jedné a dosahovaných výsledků a přínosů podpory na straně druhé. NKÚ také připomíná nízko nastavenou míru finanční spoluúčasti samotných obcí jako vlastníků a správců komunikací pro pěší při financování podpořených akcí (viz odstavec 2.11), která nepřispívá rozhodování obcí žádat o podporu státu na výstavbu a rekonstrukce komunikací pro pěší nebo jejich úseků </w:t>
      </w:r>
      <w:r w:rsidR="007C431A">
        <w:rPr>
          <w:rFonts w:eastAsia="Calibri" w:cstheme="minorHAnsi"/>
          <w:sz w:val="24"/>
          <w:szCs w:val="24"/>
        </w:rPr>
        <w:t>jen</w:t>
      </w:r>
      <w:r w:rsidR="009C3035">
        <w:rPr>
          <w:rFonts w:eastAsia="Calibri" w:cstheme="minorHAnsi"/>
          <w:sz w:val="24"/>
          <w:szCs w:val="24"/>
        </w:rPr>
        <w:t xml:space="preserve"> v případech</w:t>
      </w:r>
      <w:r w:rsidR="007C431A">
        <w:rPr>
          <w:rFonts w:eastAsia="Calibri" w:cstheme="minorHAnsi"/>
          <w:sz w:val="24"/>
          <w:szCs w:val="24"/>
        </w:rPr>
        <w:t xml:space="preserve"> </w:t>
      </w:r>
      <w:r>
        <w:rPr>
          <w:rFonts w:eastAsia="Calibri" w:cstheme="minorHAnsi"/>
          <w:sz w:val="24"/>
          <w:szCs w:val="24"/>
        </w:rPr>
        <w:t>s největším potenciálem účelně a hospodárně vynaložených prostředků.</w:t>
      </w:r>
    </w:p>
    <w:p w:rsidR="009962CB" w:rsidRDefault="009962CB" w:rsidP="009962CB">
      <w:pPr>
        <w:spacing w:line="252" w:lineRule="auto"/>
        <w:contextualSpacing/>
        <w:jc w:val="both"/>
        <w:rPr>
          <w:rFonts w:eastAsia="Calibri" w:cstheme="minorHAnsi"/>
          <w:sz w:val="24"/>
          <w:szCs w:val="24"/>
        </w:rPr>
      </w:pPr>
    </w:p>
    <w:p w:rsidR="00C128CE" w:rsidRDefault="00C128CE">
      <w:pPr>
        <w:rPr>
          <w:rFonts w:cstheme="minorHAnsi"/>
          <w:b/>
          <w:sz w:val="24"/>
          <w:szCs w:val="24"/>
        </w:rPr>
      </w:pPr>
      <w:r>
        <w:rPr>
          <w:rFonts w:cstheme="minorHAnsi"/>
          <w:b/>
          <w:sz w:val="24"/>
          <w:szCs w:val="24"/>
        </w:rPr>
        <w:br w:type="page"/>
      </w:r>
    </w:p>
    <w:p w:rsidR="009962CB" w:rsidRPr="00C4321F" w:rsidRDefault="009962CB" w:rsidP="000B29CF">
      <w:pPr>
        <w:keepNext/>
        <w:spacing w:after="240" w:line="252" w:lineRule="auto"/>
        <w:rPr>
          <w:rFonts w:cstheme="minorHAnsi"/>
          <w:b/>
          <w:sz w:val="24"/>
          <w:szCs w:val="24"/>
        </w:rPr>
      </w:pPr>
      <w:r w:rsidRPr="00C4321F">
        <w:rPr>
          <w:rFonts w:cstheme="minorHAnsi"/>
          <w:b/>
          <w:sz w:val="24"/>
          <w:szCs w:val="24"/>
        </w:rPr>
        <w:lastRenderedPageBreak/>
        <w:t>Seznam zkratek</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CRR</w:t>
      </w:r>
      <w:r w:rsidRPr="00C4321F">
        <w:rPr>
          <w:rFonts w:cstheme="minorHAnsi"/>
          <w:sz w:val="24"/>
          <w:szCs w:val="24"/>
        </w:rPr>
        <w:tab/>
        <w:t>Centrum pro regionální rozvoj České republiky</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ČR</w:t>
      </w:r>
      <w:r w:rsidRPr="00C4321F">
        <w:rPr>
          <w:rFonts w:cstheme="minorHAnsi"/>
          <w:sz w:val="24"/>
          <w:szCs w:val="24"/>
        </w:rPr>
        <w:tab/>
        <w:t>Česká republika</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ČSN</w:t>
      </w:r>
      <w:r w:rsidRPr="00C4321F">
        <w:rPr>
          <w:rFonts w:cstheme="minorHAnsi"/>
          <w:sz w:val="24"/>
          <w:szCs w:val="24"/>
        </w:rPr>
        <w:tab/>
        <w:t>Česká technická norma</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EU</w:t>
      </w:r>
      <w:r w:rsidRPr="00C4321F">
        <w:rPr>
          <w:rFonts w:cstheme="minorHAnsi"/>
          <w:sz w:val="24"/>
          <w:szCs w:val="24"/>
        </w:rPr>
        <w:tab/>
        <w:t xml:space="preserve">Evropská </w:t>
      </w:r>
      <w:r w:rsidR="00C128CE">
        <w:rPr>
          <w:rFonts w:cstheme="minorHAnsi"/>
          <w:sz w:val="24"/>
          <w:szCs w:val="24"/>
        </w:rPr>
        <w:t>u</w:t>
      </w:r>
      <w:r w:rsidRPr="00C4321F">
        <w:rPr>
          <w:rFonts w:cstheme="minorHAnsi"/>
          <w:sz w:val="24"/>
          <w:szCs w:val="24"/>
        </w:rPr>
        <w:t>nie</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ERDF</w:t>
      </w:r>
      <w:r w:rsidRPr="00C4321F">
        <w:rPr>
          <w:rFonts w:cstheme="minorHAnsi"/>
          <w:sz w:val="24"/>
          <w:szCs w:val="24"/>
        </w:rPr>
        <w:tab/>
      </w:r>
      <w:r w:rsidRPr="000B29CF">
        <w:rPr>
          <w:rFonts w:cstheme="minorHAnsi"/>
          <w:i/>
          <w:iCs/>
          <w:sz w:val="24"/>
          <w:szCs w:val="24"/>
        </w:rPr>
        <w:t>Evropský fond pro regionální rozvoj</w:t>
      </w:r>
    </w:p>
    <w:p w:rsidR="009962CB" w:rsidRPr="00C4321F" w:rsidRDefault="009962CB" w:rsidP="000B29CF">
      <w:pPr>
        <w:tabs>
          <w:tab w:val="left" w:pos="3261"/>
        </w:tabs>
        <w:autoSpaceDE w:val="0"/>
        <w:autoSpaceDN w:val="0"/>
        <w:adjustRightInd w:val="0"/>
        <w:spacing w:after="120" w:line="240" w:lineRule="auto"/>
        <w:ind w:left="3261" w:hanging="3261"/>
        <w:rPr>
          <w:rFonts w:cstheme="minorHAnsi"/>
          <w:sz w:val="24"/>
          <w:szCs w:val="24"/>
        </w:rPr>
      </w:pPr>
      <w:r w:rsidRPr="00C4321F">
        <w:rPr>
          <w:rFonts w:cstheme="minorHAnsi"/>
          <w:sz w:val="24"/>
          <w:szCs w:val="24"/>
        </w:rPr>
        <w:t>IROP</w:t>
      </w:r>
      <w:r w:rsidRPr="00C4321F">
        <w:rPr>
          <w:rFonts w:cstheme="minorHAnsi"/>
          <w:sz w:val="24"/>
          <w:szCs w:val="24"/>
        </w:rPr>
        <w:tab/>
      </w:r>
      <w:r w:rsidRPr="000B29CF">
        <w:rPr>
          <w:rFonts w:cstheme="minorHAnsi"/>
          <w:i/>
          <w:iCs/>
          <w:sz w:val="24"/>
          <w:szCs w:val="24"/>
        </w:rPr>
        <w:t>Integrovaný regionální operační program</w:t>
      </w:r>
      <w:r w:rsidRPr="00C4321F">
        <w:rPr>
          <w:rFonts w:cstheme="minorHAnsi"/>
          <w:sz w:val="24"/>
          <w:szCs w:val="24"/>
        </w:rPr>
        <w:t xml:space="preserve"> pro období let </w:t>
      </w:r>
      <w:r w:rsidR="00A53F94">
        <w:rPr>
          <w:rFonts w:cstheme="minorHAnsi"/>
          <w:sz w:val="24"/>
          <w:szCs w:val="24"/>
        </w:rPr>
        <w:br/>
      </w:r>
      <w:r w:rsidRPr="00C4321F">
        <w:rPr>
          <w:rFonts w:cstheme="minorHAnsi"/>
          <w:sz w:val="24"/>
          <w:szCs w:val="24"/>
        </w:rPr>
        <w:t>2014</w:t>
      </w:r>
      <w:r w:rsidR="00A53F94">
        <w:rPr>
          <w:rFonts w:cstheme="minorHAnsi"/>
          <w:sz w:val="24"/>
          <w:szCs w:val="24"/>
        </w:rPr>
        <w:t>–</w:t>
      </w:r>
      <w:r w:rsidRPr="00C4321F">
        <w:rPr>
          <w:rFonts w:cstheme="minorHAnsi"/>
          <w:sz w:val="24"/>
          <w:szCs w:val="24"/>
        </w:rPr>
        <w:t>2020</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IROP2</w:t>
      </w:r>
      <w:r w:rsidRPr="00C4321F">
        <w:rPr>
          <w:rFonts w:cstheme="minorHAnsi"/>
          <w:sz w:val="24"/>
          <w:szCs w:val="24"/>
        </w:rPr>
        <w:tab/>
      </w:r>
      <w:r w:rsidRPr="000B29CF">
        <w:rPr>
          <w:rFonts w:cstheme="minorHAnsi"/>
          <w:i/>
          <w:iCs/>
          <w:sz w:val="24"/>
          <w:szCs w:val="24"/>
        </w:rPr>
        <w:t>Integrovaný regionální program 2021</w:t>
      </w:r>
      <w:r w:rsidR="00C128CE">
        <w:rPr>
          <w:rFonts w:cstheme="minorHAnsi"/>
          <w:i/>
          <w:iCs/>
          <w:sz w:val="24"/>
          <w:szCs w:val="24"/>
        </w:rPr>
        <w:t>–</w:t>
      </w:r>
      <w:r w:rsidRPr="000B29CF">
        <w:rPr>
          <w:rFonts w:cstheme="minorHAnsi"/>
          <w:i/>
          <w:iCs/>
          <w:sz w:val="24"/>
          <w:szCs w:val="24"/>
        </w:rPr>
        <w:t>2027</w:t>
      </w:r>
    </w:p>
    <w:p w:rsidR="005262A2"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MD</w:t>
      </w:r>
      <w:r w:rsidR="005262A2" w:rsidRPr="005262A2">
        <w:rPr>
          <w:rFonts w:cstheme="minorHAnsi"/>
          <w:sz w:val="24"/>
          <w:szCs w:val="24"/>
        </w:rPr>
        <w:t xml:space="preserve"> </w:t>
      </w:r>
      <w:r w:rsidR="00CA6D0B">
        <w:rPr>
          <w:rFonts w:cstheme="minorHAnsi"/>
          <w:sz w:val="24"/>
          <w:szCs w:val="24"/>
        </w:rPr>
        <w:tab/>
      </w:r>
      <w:r w:rsidR="006B5EF6">
        <w:rPr>
          <w:rFonts w:cstheme="minorHAnsi"/>
          <w:sz w:val="24"/>
          <w:szCs w:val="24"/>
        </w:rPr>
        <w:t>M</w:t>
      </w:r>
      <w:r w:rsidR="005262A2" w:rsidRPr="00C4321F">
        <w:rPr>
          <w:rFonts w:cstheme="minorHAnsi"/>
          <w:sz w:val="24"/>
          <w:szCs w:val="24"/>
        </w:rPr>
        <w:t xml:space="preserve">inisterstvo dopravy </w:t>
      </w:r>
    </w:p>
    <w:p w:rsidR="009962CB" w:rsidRPr="00C4321F" w:rsidRDefault="005262A2" w:rsidP="000B29CF">
      <w:pPr>
        <w:tabs>
          <w:tab w:val="left" w:pos="3261"/>
        </w:tabs>
        <w:autoSpaceDE w:val="0"/>
        <w:autoSpaceDN w:val="0"/>
        <w:adjustRightInd w:val="0"/>
        <w:spacing w:after="120" w:line="240" w:lineRule="auto"/>
        <w:ind w:left="3261" w:hanging="3261"/>
        <w:rPr>
          <w:rFonts w:cstheme="minorHAnsi"/>
          <w:sz w:val="24"/>
          <w:szCs w:val="24"/>
        </w:rPr>
      </w:pPr>
      <w:r>
        <w:rPr>
          <w:rFonts w:cstheme="minorHAnsi"/>
          <w:sz w:val="24"/>
          <w:szCs w:val="24"/>
        </w:rPr>
        <w:t>Metodický pokyn</w:t>
      </w:r>
      <w:r w:rsidR="009962CB" w:rsidRPr="00C4321F">
        <w:rPr>
          <w:rFonts w:cstheme="minorHAnsi"/>
          <w:sz w:val="24"/>
          <w:szCs w:val="24"/>
        </w:rPr>
        <w:tab/>
      </w:r>
      <w:r>
        <w:rPr>
          <w:rFonts w:cstheme="minorHAnsi"/>
          <w:sz w:val="24"/>
          <w:szCs w:val="24"/>
        </w:rPr>
        <w:t>M</w:t>
      </w:r>
      <w:r w:rsidRPr="00926624">
        <w:rPr>
          <w:rFonts w:cstheme="minorHAnsi"/>
          <w:sz w:val="24"/>
          <w:szCs w:val="24"/>
        </w:rPr>
        <w:t>etodick</w:t>
      </w:r>
      <w:r>
        <w:rPr>
          <w:rFonts w:cstheme="minorHAnsi"/>
          <w:sz w:val="24"/>
          <w:szCs w:val="24"/>
        </w:rPr>
        <w:t>ý</w:t>
      </w:r>
      <w:r w:rsidRPr="00926624">
        <w:rPr>
          <w:rFonts w:cstheme="minorHAnsi"/>
          <w:sz w:val="24"/>
          <w:szCs w:val="24"/>
        </w:rPr>
        <w:t xml:space="preserve"> pokyn </w:t>
      </w:r>
      <w:r w:rsidRPr="000B29CF">
        <w:rPr>
          <w:rFonts w:cstheme="minorHAnsi"/>
          <w:i/>
          <w:iCs/>
          <w:sz w:val="24"/>
          <w:szCs w:val="24"/>
        </w:rPr>
        <w:t>Zásady tvorby a používání indikátorů v programovém období 2014</w:t>
      </w:r>
      <w:r w:rsidR="00A53F94" w:rsidRPr="000B29CF">
        <w:rPr>
          <w:rFonts w:cstheme="minorHAnsi"/>
          <w:i/>
          <w:iCs/>
          <w:sz w:val="24"/>
          <w:szCs w:val="24"/>
        </w:rPr>
        <w:t>–</w:t>
      </w:r>
      <w:r w:rsidRPr="000B29CF">
        <w:rPr>
          <w:rFonts w:cstheme="minorHAnsi"/>
          <w:i/>
          <w:iCs/>
          <w:sz w:val="24"/>
          <w:szCs w:val="24"/>
        </w:rPr>
        <w:t>2020</w:t>
      </w:r>
      <w:r w:rsidRPr="00926624">
        <w:rPr>
          <w:rFonts w:cstheme="minorHAnsi"/>
          <w:sz w:val="24"/>
          <w:szCs w:val="24"/>
        </w:rPr>
        <w:t xml:space="preserve"> </w:t>
      </w:r>
    </w:p>
    <w:p w:rsidR="009962CB" w:rsidRPr="00C4321F"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MMR</w:t>
      </w:r>
      <w:r w:rsidRPr="00C4321F">
        <w:rPr>
          <w:rFonts w:cstheme="minorHAnsi"/>
          <w:sz w:val="24"/>
          <w:szCs w:val="24"/>
        </w:rPr>
        <w:tab/>
        <w:t xml:space="preserve">Ministerstvo pro místní rozvoj </w:t>
      </w:r>
    </w:p>
    <w:p w:rsidR="009962CB" w:rsidRPr="00C4321F" w:rsidRDefault="009962CB" w:rsidP="000B29CF">
      <w:pPr>
        <w:tabs>
          <w:tab w:val="left" w:pos="3261"/>
        </w:tabs>
        <w:autoSpaceDE w:val="0"/>
        <w:autoSpaceDN w:val="0"/>
        <w:adjustRightInd w:val="0"/>
        <w:spacing w:after="120" w:line="240" w:lineRule="auto"/>
        <w:rPr>
          <w:rFonts w:cstheme="minorHAnsi"/>
          <w:color w:val="1C222F"/>
          <w:sz w:val="24"/>
          <w:szCs w:val="24"/>
          <w:shd w:val="clear" w:color="auto" w:fill="FFFFFF"/>
        </w:rPr>
      </w:pPr>
      <w:r w:rsidRPr="00C4321F">
        <w:rPr>
          <w:rFonts w:cstheme="minorHAnsi"/>
          <w:sz w:val="24"/>
          <w:szCs w:val="24"/>
        </w:rPr>
        <w:t>MS2014+</w:t>
      </w:r>
      <w:r w:rsidRPr="00C4321F">
        <w:rPr>
          <w:rFonts w:cstheme="minorHAnsi"/>
          <w:sz w:val="24"/>
          <w:szCs w:val="24"/>
        </w:rPr>
        <w:tab/>
        <w:t xml:space="preserve">Monitorovací systém </w:t>
      </w:r>
      <w:r w:rsidRPr="00C4321F">
        <w:rPr>
          <w:rFonts w:cstheme="minorHAnsi"/>
          <w:color w:val="1C222F"/>
          <w:sz w:val="24"/>
          <w:szCs w:val="24"/>
          <w:shd w:val="clear" w:color="auto" w:fill="FFFFFF"/>
        </w:rPr>
        <w:t xml:space="preserve">evropských dotací v rámci </w:t>
      </w:r>
      <w:r w:rsidRPr="00C4321F">
        <w:rPr>
          <w:rFonts w:cstheme="minorHAnsi"/>
          <w:color w:val="1C222F"/>
          <w:sz w:val="24"/>
          <w:szCs w:val="24"/>
          <w:shd w:val="clear" w:color="auto" w:fill="FFFFFF"/>
        </w:rPr>
        <w:tab/>
        <w:t>programového období 2014</w:t>
      </w:r>
      <w:r w:rsidR="00A53F94">
        <w:rPr>
          <w:rFonts w:cstheme="minorHAnsi"/>
          <w:color w:val="1C222F"/>
          <w:sz w:val="24"/>
          <w:szCs w:val="24"/>
          <w:shd w:val="clear" w:color="auto" w:fill="FFFFFF"/>
        </w:rPr>
        <w:t>–</w:t>
      </w:r>
      <w:r w:rsidRPr="00C4321F">
        <w:rPr>
          <w:rFonts w:cstheme="minorHAnsi"/>
          <w:color w:val="1C222F"/>
          <w:sz w:val="24"/>
          <w:szCs w:val="24"/>
          <w:shd w:val="clear" w:color="auto" w:fill="FFFFFF"/>
        </w:rPr>
        <w:t>2020</w:t>
      </w:r>
    </w:p>
    <w:p w:rsidR="009962CB"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NKÚ</w:t>
      </w:r>
      <w:r w:rsidRPr="00C4321F">
        <w:rPr>
          <w:rFonts w:cstheme="minorHAnsi"/>
          <w:sz w:val="24"/>
          <w:szCs w:val="24"/>
        </w:rPr>
        <w:tab/>
        <w:t>Nejvyšší kontrolní úřad</w:t>
      </w:r>
    </w:p>
    <w:p w:rsidR="00802FDF" w:rsidRPr="00C4321F" w:rsidRDefault="00802FDF" w:rsidP="000B29CF">
      <w:pPr>
        <w:tabs>
          <w:tab w:val="left" w:pos="3261"/>
        </w:tabs>
        <w:autoSpaceDE w:val="0"/>
        <w:autoSpaceDN w:val="0"/>
        <w:adjustRightInd w:val="0"/>
        <w:spacing w:after="120" w:line="240" w:lineRule="auto"/>
        <w:rPr>
          <w:rFonts w:cstheme="minorHAnsi"/>
          <w:sz w:val="24"/>
          <w:szCs w:val="24"/>
        </w:rPr>
      </w:pPr>
      <w:r>
        <w:rPr>
          <w:rFonts w:cstheme="minorHAnsi"/>
          <w:sz w:val="24"/>
          <w:szCs w:val="24"/>
        </w:rPr>
        <w:t>OSN</w:t>
      </w:r>
      <w:r>
        <w:rPr>
          <w:rFonts w:cstheme="minorHAnsi"/>
          <w:sz w:val="24"/>
          <w:szCs w:val="24"/>
        </w:rPr>
        <w:tab/>
      </w:r>
      <w:r w:rsidRPr="00802FDF">
        <w:rPr>
          <w:rFonts w:cstheme="minorHAnsi"/>
          <w:sz w:val="24"/>
          <w:szCs w:val="24"/>
        </w:rPr>
        <w:t>Organizace spojených národů</w:t>
      </w:r>
    </w:p>
    <w:p w:rsidR="009962CB" w:rsidRDefault="009962CB" w:rsidP="000B29CF">
      <w:pPr>
        <w:tabs>
          <w:tab w:val="left" w:pos="3261"/>
        </w:tabs>
        <w:autoSpaceDE w:val="0"/>
        <w:autoSpaceDN w:val="0"/>
        <w:adjustRightInd w:val="0"/>
        <w:spacing w:after="120" w:line="240" w:lineRule="auto"/>
        <w:ind w:left="3261" w:hanging="3261"/>
        <w:rPr>
          <w:rFonts w:cstheme="minorHAnsi"/>
          <w:sz w:val="24"/>
          <w:szCs w:val="24"/>
        </w:rPr>
      </w:pPr>
      <w:r w:rsidRPr="00C4321F">
        <w:rPr>
          <w:rFonts w:cstheme="minorHAnsi"/>
          <w:sz w:val="24"/>
          <w:szCs w:val="24"/>
        </w:rPr>
        <w:t>SC</w:t>
      </w:r>
      <w:r w:rsidR="00D8637F">
        <w:rPr>
          <w:rFonts w:cstheme="minorHAnsi"/>
          <w:sz w:val="24"/>
          <w:szCs w:val="24"/>
        </w:rPr>
        <w:t xml:space="preserve"> 1.2</w:t>
      </w:r>
      <w:r w:rsidRPr="00C4321F">
        <w:rPr>
          <w:rFonts w:cstheme="minorHAnsi"/>
          <w:sz w:val="24"/>
          <w:szCs w:val="24"/>
        </w:rPr>
        <w:tab/>
        <w:t>Specifický cíl</w:t>
      </w:r>
      <w:r w:rsidR="00D8637F">
        <w:rPr>
          <w:rFonts w:cstheme="minorHAnsi"/>
          <w:sz w:val="24"/>
          <w:szCs w:val="24"/>
        </w:rPr>
        <w:t xml:space="preserve"> </w:t>
      </w:r>
      <w:r w:rsidR="00C128CE">
        <w:rPr>
          <w:rFonts w:cstheme="minorHAnsi"/>
          <w:sz w:val="24"/>
          <w:szCs w:val="24"/>
        </w:rPr>
        <w:t xml:space="preserve">IROP </w:t>
      </w:r>
      <w:r w:rsidR="00D8637F" w:rsidRPr="00690133">
        <w:rPr>
          <w:rFonts w:cstheme="minorHAnsi"/>
          <w:sz w:val="24"/>
          <w:szCs w:val="24"/>
        </w:rPr>
        <w:t xml:space="preserve">1.2 </w:t>
      </w:r>
      <w:r w:rsidR="00D8637F" w:rsidRPr="000B29CF">
        <w:rPr>
          <w:rFonts w:cstheme="minorHAnsi"/>
          <w:i/>
          <w:iCs/>
          <w:sz w:val="24"/>
          <w:szCs w:val="24"/>
        </w:rPr>
        <w:t>Zvýšení podílu udržitelných fore</w:t>
      </w:r>
      <w:r w:rsidR="006B5EF6" w:rsidRPr="000B29CF">
        <w:rPr>
          <w:rFonts w:cstheme="minorHAnsi"/>
          <w:i/>
          <w:iCs/>
          <w:sz w:val="24"/>
          <w:szCs w:val="24"/>
        </w:rPr>
        <w:t xml:space="preserve">m </w:t>
      </w:r>
      <w:r w:rsidR="00D8637F" w:rsidRPr="000B29CF">
        <w:rPr>
          <w:rFonts w:cstheme="minorHAnsi"/>
          <w:i/>
          <w:iCs/>
          <w:sz w:val="24"/>
          <w:szCs w:val="24"/>
        </w:rPr>
        <w:t>dopravy</w:t>
      </w:r>
    </w:p>
    <w:p w:rsidR="00D8637F" w:rsidRPr="00346E23" w:rsidRDefault="00D8637F" w:rsidP="000B29CF">
      <w:pPr>
        <w:tabs>
          <w:tab w:val="left" w:pos="3261"/>
        </w:tabs>
        <w:spacing w:after="120" w:line="240" w:lineRule="auto"/>
        <w:ind w:left="3261" w:hanging="3261"/>
        <w:rPr>
          <w:i/>
        </w:rPr>
      </w:pPr>
      <w:r>
        <w:rPr>
          <w:rFonts w:cstheme="minorHAnsi"/>
          <w:sz w:val="24"/>
          <w:szCs w:val="24"/>
        </w:rPr>
        <w:t xml:space="preserve">SC 4.1 </w:t>
      </w:r>
      <w:r>
        <w:rPr>
          <w:rFonts w:cstheme="minorHAnsi"/>
          <w:sz w:val="24"/>
          <w:szCs w:val="24"/>
        </w:rPr>
        <w:tab/>
        <w:t>S</w:t>
      </w:r>
      <w:r w:rsidRPr="00690133">
        <w:rPr>
          <w:rFonts w:cstheme="minorHAnsi"/>
          <w:sz w:val="24"/>
          <w:szCs w:val="24"/>
        </w:rPr>
        <w:t>pecifick</w:t>
      </w:r>
      <w:r>
        <w:rPr>
          <w:rFonts w:cstheme="minorHAnsi"/>
          <w:sz w:val="24"/>
          <w:szCs w:val="24"/>
        </w:rPr>
        <w:t>ý</w:t>
      </w:r>
      <w:r w:rsidRPr="00690133">
        <w:rPr>
          <w:rFonts w:cstheme="minorHAnsi"/>
          <w:sz w:val="24"/>
          <w:szCs w:val="24"/>
        </w:rPr>
        <w:t xml:space="preserve"> cíl </w:t>
      </w:r>
      <w:r w:rsidR="00C128CE">
        <w:rPr>
          <w:rFonts w:cstheme="minorHAnsi"/>
          <w:sz w:val="24"/>
          <w:szCs w:val="24"/>
        </w:rPr>
        <w:t xml:space="preserve">IROP </w:t>
      </w:r>
      <w:r w:rsidRPr="00690133">
        <w:rPr>
          <w:rFonts w:cstheme="minorHAnsi"/>
          <w:sz w:val="24"/>
          <w:szCs w:val="24"/>
        </w:rPr>
        <w:t xml:space="preserve">4.1 </w:t>
      </w:r>
      <w:r w:rsidRPr="000B29CF">
        <w:rPr>
          <w:rFonts w:cstheme="minorHAnsi"/>
          <w:i/>
          <w:iCs/>
          <w:sz w:val="24"/>
          <w:szCs w:val="24"/>
        </w:rPr>
        <w:t>Posílení komunitně vedeného místního rozvoje za účelem zvýšení kvality života ve venkovských oblastech a aktivizace místního</w:t>
      </w:r>
      <w:r w:rsidR="00206FD8" w:rsidRPr="000B29CF">
        <w:rPr>
          <w:rFonts w:cstheme="minorHAnsi"/>
          <w:i/>
          <w:iCs/>
          <w:sz w:val="24"/>
          <w:szCs w:val="24"/>
        </w:rPr>
        <w:t xml:space="preserve"> </w:t>
      </w:r>
      <w:r w:rsidRPr="000B29CF">
        <w:rPr>
          <w:rFonts w:cstheme="minorHAnsi"/>
          <w:i/>
          <w:iCs/>
          <w:sz w:val="24"/>
          <w:szCs w:val="24"/>
        </w:rPr>
        <w:t>potenciálu</w:t>
      </w:r>
    </w:p>
    <w:p w:rsidR="00E83483" w:rsidRDefault="009962CB" w:rsidP="000B29CF">
      <w:pPr>
        <w:tabs>
          <w:tab w:val="left" w:pos="3261"/>
        </w:tabs>
        <w:autoSpaceDE w:val="0"/>
        <w:autoSpaceDN w:val="0"/>
        <w:adjustRightInd w:val="0"/>
        <w:spacing w:after="120" w:line="240" w:lineRule="auto"/>
        <w:rPr>
          <w:rFonts w:cstheme="minorHAnsi"/>
          <w:sz w:val="24"/>
          <w:szCs w:val="24"/>
        </w:rPr>
      </w:pPr>
      <w:r w:rsidRPr="00C4321F">
        <w:rPr>
          <w:rFonts w:cstheme="minorHAnsi"/>
          <w:sz w:val="24"/>
          <w:szCs w:val="24"/>
        </w:rPr>
        <w:t>SFDI</w:t>
      </w:r>
      <w:r w:rsidRPr="00C4321F">
        <w:rPr>
          <w:rFonts w:cstheme="minorHAnsi"/>
          <w:sz w:val="24"/>
          <w:szCs w:val="24"/>
        </w:rPr>
        <w:tab/>
        <w:t>Státní fond dopravní infrastruktur</w:t>
      </w:r>
      <w:r>
        <w:rPr>
          <w:rFonts w:cstheme="minorHAnsi"/>
          <w:sz w:val="24"/>
          <w:szCs w:val="24"/>
        </w:rPr>
        <w:t>y</w:t>
      </w:r>
    </w:p>
    <w:p w:rsidR="00175960" w:rsidRDefault="00175960" w:rsidP="006B5EF6">
      <w:pPr>
        <w:tabs>
          <w:tab w:val="left" w:pos="3261"/>
        </w:tabs>
        <w:autoSpaceDE w:val="0"/>
        <w:autoSpaceDN w:val="0"/>
        <w:adjustRightInd w:val="0"/>
        <w:spacing w:after="0" w:line="492" w:lineRule="auto"/>
        <w:contextualSpacing/>
        <w:rPr>
          <w:rFonts w:cstheme="minorHAnsi"/>
          <w:sz w:val="24"/>
          <w:szCs w:val="24"/>
        </w:rPr>
      </w:pPr>
    </w:p>
    <w:p w:rsidR="00175960" w:rsidRPr="00175960" w:rsidRDefault="00F65365" w:rsidP="00175960">
      <w:pPr>
        <w:spacing w:after="0" w:line="252" w:lineRule="auto"/>
        <w:contextualSpacing/>
        <w:outlineLvl w:val="0"/>
        <w:rPr>
          <w:b/>
          <w:sz w:val="24"/>
          <w:szCs w:val="24"/>
        </w:rPr>
      </w:pPr>
      <w:r>
        <w:rPr>
          <w:b/>
          <w:sz w:val="24"/>
          <w:szCs w:val="24"/>
        </w:rPr>
        <w:t>S</w:t>
      </w:r>
      <w:r w:rsidR="00175960" w:rsidRPr="00175960">
        <w:rPr>
          <w:b/>
          <w:sz w:val="24"/>
          <w:szCs w:val="24"/>
        </w:rPr>
        <w:t>eznam příloh</w:t>
      </w:r>
    </w:p>
    <w:p w:rsidR="00175960" w:rsidRDefault="00175960" w:rsidP="00175960">
      <w:pPr>
        <w:tabs>
          <w:tab w:val="left" w:pos="3969"/>
        </w:tabs>
        <w:autoSpaceDE w:val="0"/>
        <w:autoSpaceDN w:val="0"/>
        <w:adjustRightInd w:val="0"/>
        <w:spacing w:after="0" w:line="252" w:lineRule="auto"/>
        <w:contextualSpacing/>
        <w:rPr>
          <w:sz w:val="24"/>
          <w:szCs w:val="24"/>
        </w:rPr>
      </w:pPr>
    </w:p>
    <w:p w:rsidR="00175960" w:rsidRPr="00797431" w:rsidRDefault="00175960" w:rsidP="000B29CF">
      <w:pPr>
        <w:tabs>
          <w:tab w:val="left" w:pos="3969"/>
        </w:tabs>
        <w:autoSpaceDE w:val="0"/>
        <w:autoSpaceDN w:val="0"/>
        <w:adjustRightInd w:val="0"/>
        <w:spacing w:after="120" w:line="252" w:lineRule="auto"/>
        <w:ind w:left="1276" w:hanging="1276"/>
        <w:rPr>
          <w:sz w:val="24"/>
          <w:szCs w:val="24"/>
        </w:rPr>
      </w:pPr>
      <w:r w:rsidRPr="00175960">
        <w:rPr>
          <w:sz w:val="24"/>
          <w:szCs w:val="24"/>
        </w:rPr>
        <w:t>Příloha č. 1:</w:t>
      </w:r>
      <w:r>
        <w:rPr>
          <w:sz w:val="24"/>
          <w:szCs w:val="24"/>
        </w:rPr>
        <w:tab/>
      </w:r>
      <w:r w:rsidR="00FE5180" w:rsidRPr="00797431">
        <w:rPr>
          <w:rFonts w:cstheme="minorHAnsi"/>
          <w:sz w:val="24"/>
          <w:szCs w:val="24"/>
        </w:rPr>
        <w:t>Poskytov</w:t>
      </w:r>
      <w:r w:rsidR="00C128CE">
        <w:rPr>
          <w:rFonts w:cstheme="minorHAnsi"/>
          <w:sz w:val="24"/>
          <w:szCs w:val="24"/>
        </w:rPr>
        <w:t>á</w:t>
      </w:r>
      <w:r w:rsidR="00FE5180" w:rsidRPr="00797431">
        <w:rPr>
          <w:rFonts w:cstheme="minorHAnsi"/>
          <w:sz w:val="24"/>
          <w:szCs w:val="24"/>
        </w:rPr>
        <w:t xml:space="preserve">ní podpory určené na výstavbu a rekonstrukce komunikací pro pěší </w:t>
      </w:r>
      <w:r w:rsidR="00FE5180" w:rsidRPr="00797431">
        <w:rPr>
          <w:sz w:val="24"/>
          <w:szCs w:val="24"/>
        </w:rPr>
        <w:t>v letech 2014</w:t>
      </w:r>
      <w:r w:rsidR="00C128CE">
        <w:rPr>
          <w:rFonts w:cstheme="minorHAnsi"/>
          <w:sz w:val="24"/>
          <w:szCs w:val="24"/>
        </w:rPr>
        <w:t>–</w:t>
      </w:r>
      <w:r w:rsidR="00FE5180" w:rsidRPr="00797431">
        <w:rPr>
          <w:sz w:val="24"/>
          <w:szCs w:val="24"/>
        </w:rPr>
        <w:t>2023 z rozpočtu SFDI</w:t>
      </w:r>
      <w:r w:rsidR="008B3BD3">
        <w:rPr>
          <w:sz w:val="24"/>
          <w:szCs w:val="24"/>
        </w:rPr>
        <w:t xml:space="preserve"> a z IROP</w:t>
      </w:r>
    </w:p>
    <w:p w:rsidR="00797431" w:rsidRPr="00797431" w:rsidRDefault="00175960" w:rsidP="000B29CF">
      <w:pPr>
        <w:pStyle w:val="Titulek"/>
        <w:spacing w:after="120"/>
        <w:ind w:left="1276" w:hanging="1276"/>
        <w:rPr>
          <w:rFonts w:asciiTheme="minorHAnsi" w:eastAsiaTheme="minorHAnsi" w:hAnsiTheme="minorHAnsi" w:cstheme="minorBidi"/>
          <w:i w:val="0"/>
          <w:iCs w:val="0"/>
          <w:color w:val="auto"/>
          <w:sz w:val="24"/>
          <w:szCs w:val="24"/>
        </w:rPr>
      </w:pPr>
      <w:r w:rsidRPr="00797431">
        <w:rPr>
          <w:rFonts w:asciiTheme="minorHAnsi" w:eastAsiaTheme="minorHAnsi" w:hAnsiTheme="minorHAnsi" w:cstheme="minorBidi"/>
          <w:i w:val="0"/>
          <w:iCs w:val="0"/>
          <w:color w:val="auto"/>
          <w:sz w:val="24"/>
          <w:szCs w:val="24"/>
        </w:rPr>
        <w:t>Příloha č. 2:</w:t>
      </w:r>
      <w:r w:rsidRPr="00797431">
        <w:rPr>
          <w:rFonts w:asciiTheme="minorHAnsi" w:eastAsiaTheme="minorHAnsi" w:hAnsiTheme="minorHAnsi" w:cstheme="minorBidi"/>
          <w:i w:val="0"/>
          <w:iCs w:val="0"/>
          <w:color w:val="auto"/>
          <w:sz w:val="24"/>
          <w:szCs w:val="24"/>
        </w:rPr>
        <w:tab/>
      </w:r>
      <w:r w:rsidR="00797431" w:rsidRPr="00797431">
        <w:rPr>
          <w:rFonts w:asciiTheme="minorHAnsi" w:eastAsiaTheme="minorHAnsi" w:hAnsiTheme="minorHAnsi" w:cstheme="minorBidi"/>
          <w:i w:val="0"/>
          <w:iCs w:val="0"/>
          <w:color w:val="auto"/>
          <w:sz w:val="24"/>
          <w:szCs w:val="24"/>
        </w:rPr>
        <w:t xml:space="preserve">Přehled kontrolovaných projektů financovaných z rozpočtu SFDI (projekty </w:t>
      </w:r>
      <w:r w:rsidR="00797431">
        <w:rPr>
          <w:rFonts w:asciiTheme="minorHAnsi" w:eastAsiaTheme="minorHAnsi" w:hAnsiTheme="minorHAnsi" w:cstheme="minorBidi"/>
          <w:i w:val="0"/>
          <w:iCs w:val="0"/>
          <w:color w:val="auto"/>
          <w:sz w:val="24"/>
          <w:szCs w:val="24"/>
        </w:rPr>
        <w:br/>
      </w:r>
      <w:r w:rsidR="00797431" w:rsidRPr="00797431">
        <w:rPr>
          <w:rFonts w:asciiTheme="minorHAnsi" w:eastAsiaTheme="minorHAnsi" w:hAnsiTheme="minorHAnsi" w:cstheme="minorBidi"/>
          <w:i w:val="0"/>
          <w:iCs w:val="0"/>
          <w:color w:val="auto"/>
          <w:sz w:val="24"/>
          <w:szCs w:val="24"/>
        </w:rPr>
        <w:t>č. 1</w:t>
      </w:r>
      <w:r w:rsidR="00C128CE">
        <w:rPr>
          <w:rFonts w:asciiTheme="minorHAnsi" w:eastAsiaTheme="minorHAnsi" w:hAnsiTheme="minorHAnsi" w:cstheme="minorHAnsi"/>
          <w:i w:val="0"/>
          <w:iCs w:val="0"/>
          <w:color w:val="auto"/>
          <w:sz w:val="24"/>
          <w:szCs w:val="24"/>
        </w:rPr>
        <w:t>–</w:t>
      </w:r>
      <w:r w:rsidR="00797431" w:rsidRPr="00797431">
        <w:rPr>
          <w:rFonts w:asciiTheme="minorHAnsi" w:eastAsiaTheme="minorHAnsi" w:hAnsiTheme="minorHAnsi" w:cstheme="minorBidi"/>
          <w:i w:val="0"/>
          <w:iCs w:val="0"/>
          <w:color w:val="auto"/>
          <w:sz w:val="24"/>
          <w:szCs w:val="24"/>
        </w:rPr>
        <w:t>11) a z IROP (projekty č. 12</w:t>
      </w:r>
      <w:r w:rsidR="00C128CE">
        <w:rPr>
          <w:rFonts w:asciiTheme="minorHAnsi" w:eastAsiaTheme="minorHAnsi" w:hAnsiTheme="minorHAnsi" w:cstheme="minorHAnsi"/>
          <w:i w:val="0"/>
          <w:iCs w:val="0"/>
          <w:color w:val="auto"/>
          <w:sz w:val="24"/>
          <w:szCs w:val="24"/>
        </w:rPr>
        <w:t>–</w:t>
      </w:r>
      <w:r w:rsidR="00797431" w:rsidRPr="00797431">
        <w:rPr>
          <w:rFonts w:asciiTheme="minorHAnsi" w:eastAsiaTheme="minorHAnsi" w:hAnsiTheme="minorHAnsi" w:cstheme="minorBidi"/>
          <w:i w:val="0"/>
          <w:iCs w:val="0"/>
          <w:color w:val="auto"/>
          <w:sz w:val="24"/>
          <w:szCs w:val="24"/>
        </w:rPr>
        <w:t xml:space="preserve">23) s vyhodnocením účelnosti a hospodárnosti </w:t>
      </w:r>
    </w:p>
    <w:p w:rsidR="00175960" w:rsidRDefault="00175960" w:rsidP="000B29CF">
      <w:pPr>
        <w:tabs>
          <w:tab w:val="left" w:pos="1276"/>
        </w:tabs>
        <w:autoSpaceDE w:val="0"/>
        <w:autoSpaceDN w:val="0"/>
        <w:adjustRightInd w:val="0"/>
        <w:spacing w:after="120" w:line="252" w:lineRule="auto"/>
        <w:ind w:left="1276" w:hanging="1276"/>
        <w:rPr>
          <w:rFonts w:eastAsia="Arial Unicode MS" w:cstheme="minorHAnsi"/>
          <w:bCs/>
          <w:sz w:val="24"/>
          <w:szCs w:val="24"/>
          <w:highlight w:val="yellow"/>
          <w:lang w:eastAsia="cs-CZ"/>
        </w:rPr>
      </w:pPr>
      <w:r w:rsidRPr="00797431">
        <w:rPr>
          <w:sz w:val="24"/>
          <w:szCs w:val="24"/>
        </w:rPr>
        <w:t>Příloha č. 3:</w:t>
      </w:r>
      <w:r w:rsidRPr="00797431">
        <w:rPr>
          <w:sz w:val="24"/>
          <w:szCs w:val="24"/>
        </w:rPr>
        <w:tab/>
      </w:r>
      <w:r w:rsidR="00E0266C" w:rsidRPr="00797431">
        <w:rPr>
          <w:sz w:val="24"/>
          <w:szCs w:val="24"/>
        </w:rPr>
        <w:t>Kontrolované projekty – základní informace, zjištěné nedostatky a jejich</w:t>
      </w:r>
      <w:r w:rsidR="00AB1265">
        <w:rPr>
          <w:sz w:val="24"/>
          <w:szCs w:val="24"/>
        </w:rPr>
        <w:t xml:space="preserve"> </w:t>
      </w:r>
      <w:r w:rsidR="00E0266C" w:rsidRPr="00797431">
        <w:rPr>
          <w:sz w:val="24"/>
          <w:szCs w:val="24"/>
        </w:rPr>
        <w:br/>
      </w:r>
      <w:r w:rsidR="00E0266C">
        <w:rPr>
          <w:rFonts w:cstheme="minorHAnsi"/>
          <w:sz w:val="24"/>
          <w:szCs w:val="24"/>
        </w:rPr>
        <w:t>vyhodnocení (elektronická příloha dostupná</w:t>
      </w:r>
      <w:r>
        <w:rPr>
          <w:rFonts w:cstheme="minorHAnsi"/>
          <w:sz w:val="24"/>
          <w:szCs w:val="24"/>
        </w:rPr>
        <w:t xml:space="preserve"> </w:t>
      </w:r>
      <w:hyperlink r:id="rId53" w:history="1">
        <w:r w:rsidR="00C5748A" w:rsidRPr="00C5748A">
          <w:rPr>
            <w:rStyle w:val="Hypertextovodkaz"/>
            <w:sz w:val="24"/>
            <w:szCs w:val="24"/>
          </w:rPr>
          <w:t>zde</w:t>
        </w:r>
      </w:hyperlink>
      <w:r w:rsidR="00314CF0">
        <w:rPr>
          <w:rFonts w:eastAsia="Arial Unicode MS" w:cstheme="minorHAnsi"/>
          <w:bCs/>
          <w:sz w:val="24"/>
          <w:szCs w:val="24"/>
          <w:lang w:eastAsia="cs-CZ"/>
        </w:rPr>
        <w:t>)</w:t>
      </w:r>
    </w:p>
    <w:p w:rsidR="00E0266C" w:rsidRDefault="00E0266C" w:rsidP="000B29CF">
      <w:pPr>
        <w:tabs>
          <w:tab w:val="left" w:pos="1276"/>
        </w:tabs>
        <w:autoSpaceDE w:val="0"/>
        <w:autoSpaceDN w:val="0"/>
        <w:adjustRightInd w:val="0"/>
        <w:spacing w:after="120" w:line="252" w:lineRule="auto"/>
        <w:ind w:left="1276" w:hanging="1276"/>
        <w:rPr>
          <w:rFonts w:cstheme="minorHAnsi"/>
          <w:sz w:val="24"/>
          <w:szCs w:val="24"/>
        </w:rPr>
      </w:pPr>
      <w:r>
        <w:rPr>
          <w:rFonts w:cstheme="minorHAnsi"/>
          <w:sz w:val="24"/>
          <w:szCs w:val="24"/>
        </w:rPr>
        <w:t>Příloha č. 4:</w:t>
      </w:r>
      <w:r>
        <w:rPr>
          <w:rFonts w:cstheme="minorHAnsi"/>
          <w:sz w:val="24"/>
          <w:szCs w:val="24"/>
        </w:rPr>
        <w:tab/>
      </w:r>
      <w:r w:rsidRPr="006F4C5C">
        <w:rPr>
          <w:rFonts w:cstheme="minorHAnsi"/>
          <w:sz w:val="24"/>
          <w:szCs w:val="24"/>
        </w:rPr>
        <w:t>Pomůck</w:t>
      </w:r>
      <w:r>
        <w:rPr>
          <w:rFonts w:cstheme="minorHAnsi"/>
          <w:sz w:val="24"/>
          <w:szCs w:val="24"/>
        </w:rPr>
        <w:t>a</w:t>
      </w:r>
      <w:r w:rsidRPr="006F4C5C">
        <w:rPr>
          <w:rFonts w:cstheme="minorHAnsi"/>
          <w:sz w:val="24"/>
          <w:szCs w:val="24"/>
        </w:rPr>
        <w:t xml:space="preserve"> pro vyhodnocení účelnosti a hospodárnosti použití peněžních prostředků určených na podporu projektů</w:t>
      </w:r>
    </w:p>
    <w:p w:rsidR="00CA5FAF" w:rsidRDefault="00CA5FAF" w:rsidP="00E0266C">
      <w:pPr>
        <w:tabs>
          <w:tab w:val="left" w:pos="1276"/>
        </w:tabs>
        <w:autoSpaceDE w:val="0"/>
        <w:autoSpaceDN w:val="0"/>
        <w:adjustRightInd w:val="0"/>
        <w:spacing w:after="0" w:line="252" w:lineRule="auto"/>
        <w:ind w:left="1276" w:hanging="1276"/>
        <w:contextualSpacing/>
        <w:jc w:val="both"/>
        <w:rPr>
          <w:rFonts w:cstheme="minorHAnsi"/>
          <w:sz w:val="24"/>
          <w:szCs w:val="24"/>
        </w:rPr>
      </w:pPr>
    </w:p>
    <w:p w:rsidR="006E0CE7" w:rsidRDefault="006E0CE7">
      <w:pPr>
        <w:rPr>
          <w:rFonts w:eastAsia="Times New Roman" w:cstheme="minorHAnsi"/>
          <w:b/>
          <w:i/>
          <w:iCs/>
          <w:color w:val="44546A" w:themeColor="text2"/>
          <w:sz w:val="24"/>
          <w:szCs w:val="24"/>
        </w:rPr>
      </w:pPr>
      <w:r>
        <w:rPr>
          <w:rFonts w:cstheme="minorHAnsi"/>
          <w:b/>
          <w:sz w:val="24"/>
          <w:szCs w:val="24"/>
        </w:rPr>
        <w:br w:type="page"/>
      </w:r>
    </w:p>
    <w:p w:rsidR="00CA5FAF" w:rsidRPr="00340F7A" w:rsidRDefault="00CA5FAF" w:rsidP="00CA5FAF">
      <w:pPr>
        <w:pStyle w:val="Titulek"/>
        <w:spacing w:after="0"/>
        <w:jc w:val="right"/>
        <w:rPr>
          <w:rFonts w:asciiTheme="minorHAnsi" w:hAnsiTheme="minorHAnsi" w:cstheme="minorHAnsi"/>
          <w:b/>
          <w:sz w:val="24"/>
          <w:szCs w:val="24"/>
        </w:rPr>
      </w:pPr>
      <w:r w:rsidRPr="00340F7A">
        <w:rPr>
          <w:rFonts w:asciiTheme="minorHAnsi" w:hAnsiTheme="minorHAnsi" w:cstheme="minorHAnsi"/>
          <w:b/>
          <w:sz w:val="24"/>
          <w:szCs w:val="24"/>
        </w:rPr>
        <w:lastRenderedPageBreak/>
        <w:t>Příloha č. 1</w:t>
      </w:r>
    </w:p>
    <w:p w:rsidR="00CA5FAF" w:rsidRDefault="00CA5FAF" w:rsidP="00CA5FAF">
      <w:pPr>
        <w:rPr>
          <w:rFonts w:cstheme="minorHAnsi"/>
        </w:rPr>
      </w:pPr>
    </w:p>
    <w:p w:rsidR="008B3BD3" w:rsidRPr="00340F7A" w:rsidRDefault="008B3BD3" w:rsidP="00CA5FAF">
      <w:pPr>
        <w:rPr>
          <w:rFonts w:cstheme="minorHAnsi"/>
        </w:rPr>
      </w:pPr>
    </w:p>
    <w:p w:rsidR="00CA5FAF" w:rsidRPr="00340F7A" w:rsidRDefault="00CA5FAF" w:rsidP="00CA5FAF">
      <w:pPr>
        <w:rPr>
          <w:rFonts w:cstheme="minorHAnsi"/>
          <w:b/>
        </w:rPr>
      </w:pPr>
      <w:r w:rsidRPr="00340F7A">
        <w:rPr>
          <w:rFonts w:cstheme="minorHAnsi"/>
          <w:b/>
        </w:rPr>
        <w:t>Poskytov</w:t>
      </w:r>
      <w:r w:rsidR="00C128CE">
        <w:rPr>
          <w:rFonts w:cstheme="minorHAnsi"/>
          <w:b/>
        </w:rPr>
        <w:t>á</w:t>
      </w:r>
      <w:r w:rsidRPr="00340F7A">
        <w:rPr>
          <w:rFonts w:cstheme="minorHAnsi"/>
          <w:b/>
        </w:rPr>
        <w:t xml:space="preserve">ní podpory určené na výstavbu a rekonstrukce komunikací pro pěší v letech </w:t>
      </w:r>
      <w:r w:rsidRPr="00340F7A">
        <w:rPr>
          <w:rFonts w:cstheme="minorHAnsi"/>
          <w:b/>
        </w:rPr>
        <w:br/>
        <w:t>2014</w:t>
      </w:r>
      <w:r w:rsidR="00D30256" w:rsidRPr="002F5290">
        <w:rPr>
          <w:rFonts w:cstheme="minorHAnsi"/>
          <w:sz w:val="24"/>
          <w:szCs w:val="24"/>
        </w:rPr>
        <w:t>–</w:t>
      </w:r>
      <w:r w:rsidRPr="00340F7A">
        <w:rPr>
          <w:rFonts w:cstheme="minorHAnsi"/>
          <w:b/>
        </w:rPr>
        <w:t xml:space="preserve">2023 z rozpočtu SFDI </w:t>
      </w:r>
    </w:p>
    <w:tbl>
      <w:tblPr>
        <w:tblW w:w="46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2"/>
        <w:gridCol w:w="1701"/>
        <w:gridCol w:w="1701"/>
        <w:gridCol w:w="1701"/>
        <w:gridCol w:w="1701"/>
      </w:tblGrid>
      <w:tr w:rsidR="00CA5FAF" w:rsidRPr="00340F7A" w:rsidTr="00CA5FAF">
        <w:trPr>
          <w:trHeight w:val="20"/>
        </w:trPr>
        <w:tc>
          <w:tcPr>
            <w:tcW w:w="1000" w:type="pct"/>
            <w:shd w:val="clear" w:color="auto" w:fill="E5F1FF"/>
            <w:noWrap/>
            <w:vAlign w:val="center"/>
            <w:hideMark/>
          </w:tcPr>
          <w:p w:rsidR="00CA5FAF" w:rsidRPr="00340F7A" w:rsidRDefault="00CA5FAF" w:rsidP="00CA5FAF">
            <w:pPr>
              <w:keepNext/>
              <w:spacing w:line="252" w:lineRule="auto"/>
              <w:contextualSpacing/>
              <w:jc w:val="center"/>
              <w:rPr>
                <w:rFonts w:cstheme="minorHAnsi"/>
                <w:b/>
                <w:bCs/>
              </w:rPr>
            </w:pPr>
            <w:r w:rsidRPr="00340F7A">
              <w:rPr>
                <w:rFonts w:cstheme="minorHAnsi"/>
                <w:b/>
                <w:bCs/>
              </w:rPr>
              <w:t>Rok</w:t>
            </w:r>
          </w:p>
        </w:tc>
        <w:tc>
          <w:tcPr>
            <w:tcW w:w="1000" w:type="pct"/>
            <w:shd w:val="clear" w:color="auto" w:fill="E5F1FF"/>
            <w:vAlign w:val="center"/>
            <w:hideMark/>
          </w:tcPr>
          <w:p w:rsidR="00CA5FAF" w:rsidRPr="00340F7A" w:rsidRDefault="00CA5FAF" w:rsidP="00CA5FAF">
            <w:pPr>
              <w:keepNext/>
              <w:spacing w:line="252" w:lineRule="auto"/>
              <w:contextualSpacing/>
              <w:jc w:val="center"/>
              <w:rPr>
                <w:rFonts w:cstheme="minorHAnsi"/>
                <w:b/>
                <w:bCs/>
              </w:rPr>
            </w:pPr>
            <w:r w:rsidRPr="00340F7A">
              <w:rPr>
                <w:rFonts w:cstheme="minorHAnsi"/>
                <w:b/>
                <w:bCs/>
              </w:rPr>
              <w:t>Počet schválených projektů</w:t>
            </w:r>
          </w:p>
        </w:tc>
        <w:tc>
          <w:tcPr>
            <w:tcW w:w="1000" w:type="pct"/>
            <w:shd w:val="clear" w:color="auto" w:fill="E5F1FF"/>
            <w:vAlign w:val="center"/>
            <w:hideMark/>
          </w:tcPr>
          <w:p w:rsidR="00CA5FAF" w:rsidRPr="00340F7A" w:rsidRDefault="00CA5FAF" w:rsidP="00CA5FAF">
            <w:pPr>
              <w:keepNext/>
              <w:spacing w:line="252" w:lineRule="auto"/>
              <w:contextualSpacing/>
              <w:jc w:val="center"/>
              <w:rPr>
                <w:rFonts w:cstheme="minorHAnsi"/>
                <w:b/>
                <w:bCs/>
              </w:rPr>
            </w:pPr>
            <w:r w:rsidRPr="00340F7A">
              <w:rPr>
                <w:rFonts w:cstheme="minorHAnsi"/>
                <w:b/>
                <w:bCs/>
              </w:rPr>
              <w:t>Počet neschválených projektů</w:t>
            </w:r>
          </w:p>
        </w:tc>
        <w:tc>
          <w:tcPr>
            <w:tcW w:w="1000" w:type="pct"/>
            <w:shd w:val="clear" w:color="auto" w:fill="E5F1FF"/>
            <w:vAlign w:val="center"/>
            <w:hideMark/>
          </w:tcPr>
          <w:p w:rsidR="00CA5FAF" w:rsidRPr="00340F7A" w:rsidRDefault="00CA5FAF" w:rsidP="00CA5FAF">
            <w:pPr>
              <w:keepNext/>
              <w:spacing w:line="252" w:lineRule="auto"/>
              <w:contextualSpacing/>
              <w:jc w:val="center"/>
              <w:rPr>
                <w:rFonts w:cstheme="minorHAnsi"/>
                <w:b/>
                <w:bCs/>
              </w:rPr>
            </w:pPr>
            <w:r w:rsidRPr="00340F7A">
              <w:rPr>
                <w:rFonts w:cstheme="minorHAnsi"/>
                <w:b/>
                <w:bCs/>
              </w:rPr>
              <w:t>Počet financovaných projektů</w:t>
            </w:r>
            <w:r w:rsidRPr="00340F7A">
              <w:rPr>
                <w:rFonts w:cstheme="minorHAnsi"/>
                <w:b/>
                <w:bCs/>
                <w:vertAlign w:val="superscript"/>
              </w:rPr>
              <w:t>1)</w:t>
            </w:r>
          </w:p>
        </w:tc>
        <w:tc>
          <w:tcPr>
            <w:tcW w:w="1000" w:type="pct"/>
            <w:shd w:val="clear" w:color="auto" w:fill="E5F1FF"/>
            <w:vAlign w:val="center"/>
            <w:hideMark/>
          </w:tcPr>
          <w:p w:rsidR="00CA5FAF" w:rsidRPr="00340F7A" w:rsidRDefault="00CA5FAF" w:rsidP="00CA5FAF">
            <w:pPr>
              <w:keepNext/>
              <w:spacing w:line="252" w:lineRule="auto"/>
              <w:contextualSpacing/>
              <w:jc w:val="center"/>
              <w:rPr>
                <w:rFonts w:cstheme="minorHAnsi"/>
                <w:b/>
                <w:bCs/>
              </w:rPr>
            </w:pPr>
            <w:r w:rsidRPr="00340F7A">
              <w:rPr>
                <w:rFonts w:cstheme="minorHAnsi"/>
                <w:b/>
                <w:bCs/>
              </w:rPr>
              <w:t>Uvolněno</w:t>
            </w:r>
            <w:r w:rsidRPr="00340F7A">
              <w:rPr>
                <w:rFonts w:cstheme="minorHAnsi"/>
                <w:b/>
                <w:bCs/>
              </w:rPr>
              <w:br/>
              <w:t>(v mil. Kč)</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2014</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109</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137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127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239</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2015</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274</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211</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154</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317</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2016</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200</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89</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287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463</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2017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251</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160</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264</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410</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2018</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213</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111</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248</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483</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2019</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117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179</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213</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568</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2020</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168</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157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234</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571</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2021</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239</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196</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208</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472</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2022</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153</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229</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327</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918</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rPr>
            </w:pPr>
            <w:r w:rsidRPr="00340F7A">
              <w:rPr>
                <w:rFonts w:cstheme="minorHAnsi"/>
              </w:rPr>
              <w:t>2023</w:t>
            </w:r>
            <w:r w:rsidRPr="00340F7A">
              <w:rPr>
                <w:rFonts w:cstheme="minorHAnsi"/>
                <w:b/>
                <w:bCs/>
                <w:vertAlign w:val="superscript"/>
              </w:rPr>
              <w:t>2)</w:t>
            </w:r>
          </w:p>
        </w:tc>
        <w:tc>
          <w:tcPr>
            <w:tcW w:w="1000" w:type="pct"/>
            <w:shd w:val="clear" w:color="auto" w:fill="auto"/>
            <w:noWrap/>
            <w:vAlign w:val="center"/>
            <w:hideMark/>
          </w:tcPr>
          <w:p w:rsidR="00CA5FAF" w:rsidRPr="00340F7A" w:rsidRDefault="00890102" w:rsidP="000B29CF">
            <w:pPr>
              <w:spacing w:line="252" w:lineRule="auto"/>
              <w:ind w:right="57"/>
              <w:contextualSpacing/>
              <w:jc w:val="right"/>
              <w:rPr>
                <w:rFonts w:cstheme="minorHAnsi"/>
              </w:rPr>
            </w:pPr>
            <w:r>
              <w:rPr>
                <w:rFonts w:cstheme="minorHAnsi"/>
              </w:rPr>
              <w:t>–</w:t>
            </w:r>
          </w:p>
        </w:tc>
        <w:tc>
          <w:tcPr>
            <w:tcW w:w="1000" w:type="pct"/>
            <w:shd w:val="clear" w:color="auto" w:fill="auto"/>
            <w:noWrap/>
            <w:vAlign w:val="center"/>
            <w:hideMark/>
          </w:tcPr>
          <w:p w:rsidR="00CA5FAF" w:rsidRPr="00340F7A" w:rsidRDefault="00890102" w:rsidP="000B29CF">
            <w:pPr>
              <w:spacing w:line="252" w:lineRule="auto"/>
              <w:ind w:right="57"/>
              <w:contextualSpacing/>
              <w:jc w:val="right"/>
              <w:rPr>
                <w:rFonts w:cstheme="minorHAnsi"/>
              </w:rPr>
            </w:pPr>
            <w:r>
              <w:rPr>
                <w:rFonts w:cstheme="minorHAnsi"/>
              </w:rPr>
              <w:t>–</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198</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rPr>
            </w:pPr>
            <w:r w:rsidRPr="00340F7A">
              <w:rPr>
                <w:rFonts w:cstheme="minorHAnsi"/>
              </w:rPr>
              <w:t>637</w:t>
            </w:r>
          </w:p>
        </w:tc>
      </w:tr>
      <w:tr w:rsidR="00CA5FAF" w:rsidRPr="00340F7A" w:rsidTr="000B29CF">
        <w:trPr>
          <w:trHeight w:val="283"/>
        </w:trPr>
        <w:tc>
          <w:tcPr>
            <w:tcW w:w="1000" w:type="pct"/>
            <w:shd w:val="clear" w:color="auto" w:fill="auto"/>
            <w:noWrap/>
            <w:vAlign w:val="center"/>
            <w:hideMark/>
          </w:tcPr>
          <w:p w:rsidR="00CA5FAF" w:rsidRPr="00340F7A" w:rsidRDefault="00CA5FAF" w:rsidP="000B29CF">
            <w:pPr>
              <w:spacing w:line="252" w:lineRule="auto"/>
              <w:ind w:left="57"/>
              <w:contextualSpacing/>
              <w:rPr>
                <w:rFonts w:cstheme="minorHAnsi"/>
                <w:bCs/>
                <w:color w:val="000000"/>
              </w:rPr>
            </w:pPr>
            <w:r w:rsidRPr="00340F7A">
              <w:rPr>
                <w:rFonts w:cstheme="minorHAnsi"/>
                <w:bCs/>
                <w:color w:val="000000"/>
              </w:rPr>
              <w:t>Celkem</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bCs/>
                <w:color w:val="000000"/>
              </w:rPr>
            </w:pPr>
            <w:r w:rsidRPr="00340F7A">
              <w:rPr>
                <w:rFonts w:cstheme="minorHAnsi"/>
                <w:bCs/>
                <w:color w:val="000000"/>
              </w:rPr>
              <w:t>1 724</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bCs/>
                <w:color w:val="000000"/>
              </w:rPr>
            </w:pPr>
            <w:r w:rsidRPr="00340F7A">
              <w:rPr>
                <w:rFonts w:cstheme="minorHAnsi"/>
                <w:bCs/>
                <w:color w:val="000000"/>
              </w:rPr>
              <w:t>1 469</w:t>
            </w:r>
          </w:p>
        </w:tc>
        <w:tc>
          <w:tcPr>
            <w:tcW w:w="1000" w:type="pct"/>
            <w:shd w:val="clear" w:color="auto" w:fill="auto"/>
            <w:noWrap/>
            <w:vAlign w:val="center"/>
            <w:hideMark/>
          </w:tcPr>
          <w:p w:rsidR="00CA5FAF" w:rsidRPr="00340F7A" w:rsidRDefault="00890102" w:rsidP="000B29CF">
            <w:pPr>
              <w:spacing w:line="252" w:lineRule="auto"/>
              <w:ind w:right="57"/>
              <w:contextualSpacing/>
              <w:jc w:val="right"/>
              <w:rPr>
                <w:rFonts w:cstheme="minorHAnsi"/>
                <w:bCs/>
                <w:color w:val="000000"/>
              </w:rPr>
            </w:pPr>
            <w:r>
              <w:rPr>
                <w:rFonts w:cstheme="minorHAnsi"/>
              </w:rPr>
              <w:t>–</w:t>
            </w:r>
          </w:p>
        </w:tc>
        <w:tc>
          <w:tcPr>
            <w:tcW w:w="1000" w:type="pct"/>
            <w:shd w:val="clear" w:color="auto" w:fill="auto"/>
            <w:noWrap/>
            <w:vAlign w:val="center"/>
            <w:hideMark/>
          </w:tcPr>
          <w:p w:rsidR="00CA5FAF" w:rsidRPr="00340F7A" w:rsidRDefault="00CA5FAF" w:rsidP="000B29CF">
            <w:pPr>
              <w:spacing w:line="252" w:lineRule="auto"/>
              <w:ind w:right="57"/>
              <w:contextualSpacing/>
              <w:jc w:val="right"/>
              <w:rPr>
                <w:rFonts w:cstheme="minorHAnsi"/>
                <w:bCs/>
                <w:color w:val="000000"/>
              </w:rPr>
            </w:pPr>
            <w:r w:rsidRPr="00340F7A">
              <w:rPr>
                <w:rFonts w:cstheme="minorHAnsi"/>
                <w:bCs/>
                <w:color w:val="000000"/>
              </w:rPr>
              <w:t xml:space="preserve">5 </w:t>
            </w:r>
            <w:r w:rsidR="00AA653E" w:rsidRPr="00340F7A">
              <w:rPr>
                <w:rFonts w:cstheme="minorHAnsi"/>
                <w:bCs/>
                <w:color w:val="000000"/>
              </w:rPr>
              <w:t>07</w:t>
            </w:r>
            <w:r w:rsidR="00AA653E">
              <w:rPr>
                <w:rFonts w:cstheme="minorHAnsi"/>
                <w:bCs/>
                <w:color w:val="000000"/>
              </w:rPr>
              <w:t>8</w:t>
            </w:r>
          </w:p>
        </w:tc>
      </w:tr>
    </w:tbl>
    <w:p w:rsidR="00890102" w:rsidRPr="00F27165" w:rsidDel="00890102" w:rsidRDefault="00890102" w:rsidP="00890102">
      <w:pPr>
        <w:spacing w:after="0"/>
        <w:rPr>
          <w:sz w:val="20"/>
          <w:szCs w:val="20"/>
        </w:rPr>
      </w:pPr>
      <w:r w:rsidRPr="000B29CF" w:rsidDel="00890102">
        <w:rPr>
          <w:b/>
          <w:bCs/>
          <w:sz w:val="20"/>
          <w:szCs w:val="20"/>
        </w:rPr>
        <w:t>Zdroj:</w:t>
      </w:r>
      <w:r w:rsidRPr="00F27165" w:rsidDel="00890102">
        <w:rPr>
          <w:sz w:val="20"/>
          <w:szCs w:val="20"/>
        </w:rPr>
        <w:t xml:space="preserve"> SFDI.</w:t>
      </w:r>
    </w:p>
    <w:p w:rsidR="00CA5FAF" w:rsidRPr="000B29CF" w:rsidRDefault="00CA5FAF" w:rsidP="000B29CF">
      <w:pPr>
        <w:spacing w:after="0"/>
        <w:ind w:left="284" w:hanging="284"/>
        <w:rPr>
          <w:sz w:val="20"/>
          <w:szCs w:val="20"/>
        </w:rPr>
      </w:pPr>
      <w:r w:rsidRPr="000B29CF">
        <w:rPr>
          <w:sz w:val="20"/>
          <w:szCs w:val="20"/>
        </w:rPr>
        <w:t xml:space="preserve">1) </w:t>
      </w:r>
      <w:r w:rsidR="00890102" w:rsidRPr="000B29CF">
        <w:rPr>
          <w:sz w:val="20"/>
          <w:szCs w:val="20"/>
        </w:rPr>
        <w:tab/>
      </w:r>
      <w:r w:rsidRPr="000B29CF">
        <w:rPr>
          <w:sz w:val="20"/>
          <w:szCs w:val="20"/>
        </w:rPr>
        <w:t>V jednotlivých letech byly financovány i projekty schválené v letech předchozích.</w:t>
      </w:r>
    </w:p>
    <w:p w:rsidR="00CA5FAF" w:rsidRPr="000B29CF" w:rsidRDefault="00CA5FAF" w:rsidP="000B29CF">
      <w:pPr>
        <w:spacing w:after="0"/>
        <w:ind w:left="284" w:hanging="284"/>
        <w:rPr>
          <w:sz w:val="20"/>
          <w:szCs w:val="20"/>
        </w:rPr>
      </w:pPr>
      <w:r w:rsidRPr="000B29CF">
        <w:rPr>
          <w:sz w:val="20"/>
          <w:szCs w:val="20"/>
        </w:rPr>
        <w:t xml:space="preserve">2) </w:t>
      </w:r>
      <w:r w:rsidR="00890102" w:rsidRPr="000B29CF">
        <w:rPr>
          <w:sz w:val="20"/>
          <w:szCs w:val="20"/>
        </w:rPr>
        <w:tab/>
      </w:r>
      <w:r w:rsidRPr="000B29CF">
        <w:rPr>
          <w:sz w:val="20"/>
          <w:szCs w:val="20"/>
        </w:rPr>
        <w:t xml:space="preserve">V roce 2023 </w:t>
      </w:r>
      <w:r w:rsidR="00C128CE" w:rsidRPr="00670E05">
        <w:rPr>
          <w:sz w:val="20"/>
          <w:szCs w:val="20"/>
        </w:rPr>
        <w:t xml:space="preserve">nebyly </w:t>
      </w:r>
      <w:r w:rsidRPr="000B29CF">
        <w:rPr>
          <w:sz w:val="20"/>
          <w:szCs w:val="20"/>
        </w:rPr>
        <w:t xml:space="preserve">projekty schvalovány. O žádostech podaných v tomto roce SFDI </w:t>
      </w:r>
    </w:p>
    <w:p w:rsidR="00CA5FAF" w:rsidRPr="000B29CF" w:rsidRDefault="00CA5FAF" w:rsidP="000B29CF">
      <w:pPr>
        <w:spacing w:after="0"/>
        <w:ind w:left="284"/>
        <w:rPr>
          <w:sz w:val="20"/>
          <w:szCs w:val="20"/>
        </w:rPr>
      </w:pPr>
      <w:r w:rsidRPr="000B29CF">
        <w:rPr>
          <w:sz w:val="20"/>
          <w:szCs w:val="20"/>
        </w:rPr>
        <w:t>rozhodoval až v roce 2024.</w:t>
      </w:r>
    </w:p>
    <w:p w:rsidR="00CA5FAF" w:rsidRDefault="00CA5FAF" w:rsidP="00CA5FAF">
      <w:pPr>
        <w:rPr>
          <w:rFonts w:cstheme="minorHAnsi"/>
        </w:rPr>
      </w:pPr>
    </w:p>
    <w:p w:rsidR="00CA5FAF" w:rsidRDefault="00CA5FAF" w:rsidP="00CA5FAF">
      <w:pPr>
        <w:rPr>
          <w:rFonts w:cstheme="minorHAnsi"/>
          <w:b/>
        </w:rPr>
      </w:pPr>
      <w:r w:rsidRPr="00340F7A">
        <w:rPr>
          <w:rFonts w:cstheme="minorHAnsi"/>
          <w:b/>
        </w:rPr>
        <w:t>Poskytov</w:t>
      </w:r>
      <w:r w:rsidR="00C128CE">
        <w:rPr>
          <w:rFonts w:cstheme="minorHAnsi"/>
          <w:b/>
        </w:rPr>
        <w:t>á</w:t>
      </w:r>
      <w:r w:rsidRPr="00340F7A">
        <w:rPr>
          <w:rFonts w:cstheme="minorHAnsi"/>
          <w:b/>
        </w:rPr>
        <w:t xml:space="preserve">ní podpory určené na výstavbu a rekonstrukce komunikací pro pěší v letech </w:t>
      </w:r>
      <w:r w:rsidRPr="00340F7A">
        <w:rPr>
          <w:rFonts w:cstheme="minorHAnsi"/>
          <w:b/>
        </w:rPr>
        <w:br/>
        <w:t>2014</w:t>
      </w:r>
      <w:r w:rsidR="009B4C70" w:rsidRPr="002F5290">
        <w:rPr>
          <w:rFonts w:cstheme="minorHAnsi"/>
          <w:sz w:val="24"/>
          <w:szCs w:val="24"/>
        </w:rPr>
        <w:t>–</w:t>
      </w:r>
      <w:r w:rsidRPr="00340F7A">
        <w:rPr>
          <w:rFonts w:cstheme="minorHAnsi"/>
          <w:b/>
        </w:rPr>
        <w:t xml:space="preserve">2023 z IROP </w:t>
      </w:r>
    </w:p>
    <w:tbl>
      <w:tblPr>
        <w:tblW w:w="46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2"/>
        <w:gridCol w:w="1702"/>
        <w:gridCol w:w="1701"/>
        <w:gridCol w:w="1701"/>
        <w:gridCol w:w="1701"/>
      </w:tblGrid>
      <w:tr w:rsidR="00CA5FAF" w:rsidRPr="00340F7A" w:rsidTr="00CA5FAF">
        <w:trPr>
          <w:trHeight w:val="454"/>
        </w:trPr>
        <w:tc>
          <w:tcPr>
            <w:tcW w:w="1000" w:type="pct"/>
            <w:vMerge w:val="restart"/>
            <w:shd w:val="clear" w:color="auto" w:fill="E5F1FF"/>
            <w:noWrap/>
            <w:vAlign w:val="center"/>
          </w:tcPr>
          <w:p w:rsidR="00CA5FAF" w:rsidRPr="005E2432" w:rsidRDefault="00CA5FAF" w:rsidP="00CA5FAF">
            <w:pPr>
              <w:spacing w:line="21" w:lineRule="atLeast"/>
              <w:contextualSpacing/>
              <w:jc w:val="center"/>
              <w:rPr>
                <w:rFonts w:cstheme="minorHAnsi"/>
                <w:b/>
              </w:rPr>
            </w:pPr>
            <w:r w:rsidRPr="005E2432">
              <w:rPr>
                <w:rFonts w:cstheme="minorHAnsi"/>
                <w:b/>
              </w:rPr>
              <w:t>Výzva číslo</w:t>
            </w:r>
          </w:p>
        </w:tc>
        <w:tc>
          <w:tcPr>
            <w:tcW w:w="1000" w:type="pct"/>
            <w:vMerge w:val="restart"/>
            <w:shd w:val="clear" w:color="auto" w:fill="E5F1FF"/>
            <w:vAlign w:val="center"/>
          </w:tcPr>
          <w:p w:rsidR="00CA5FAF" w:rsidRPr="005E2432" w:rsidRDefault="00CA5FAF" w:rsidP="00CA5FAF">
            <w:pPr>
              <w:spacing w:line="21" w:lineRule="atLeast"/>
              <w:contextualSpacing/>
              <w:jc w:val="center"/>
              <w:rPr>
                <w:rFonts w:cstheme="minorHAnsi"/>
                <w:b/>
              </w:rPr>
            </w:pPr>
            <w:r w:rsidRPr="005E2432">
              <w:rPr>
                <w:rFonts w:cstheme="minorHAnsi"/>
                <w:b/>
              </w:rPr>
              <w:t>Počet realizovaných projektů</w:t>
            </w:r>
          </w:p>
        </w:tc>
        <w:tc>
          <w:tcPr>
            <w:tcW w:w="1000" w:type="pct"/>
            <w:vMerge w:val="restart"/>
            <w:shd w:val="clear" w:color="auto" w:fill="E5F1FF"/>
            <w:vAlign w:val="center"/>
          </w:tcPr>
          <w:p w:rsidR="00CA5FAF" w:rsidRPr="005E2432" w:rsidRDefault="00CA5FAF" w:rsidP="00CA5FAF">
            <w:pPr>
              <w:keepNext/>
              <w:spacing w:line="252" w:lineRule="auto"/>
              <w:contextualSpacing/>
              <w:jc w:val="center"/>
              <w:rPr>
                <w:rFonts w:cstheme="minorHAnsi"/>
                <w:b/>
              </w:rPr>
            </w:pPr>
            <w:r w:rsidRPr="005E2432">
              <w:rPr>
                <w:rFonts w:cstheme="minorHAnsi"/>
                <w:b/>
              </w:rPr>
              <w:t>Počet neschválených projektů</w:t>
            </w:r>
            <w:r w:rsidRPr="00340F7A">
              <w:rPr>
                <w:rFonts w:cstheme="minorHAnsi"/>
                <w:b/>
                <w:bCs/>
              </w:rPr>
              <w:t xml:space="preserve"> </w:t>
            </w:r>
          </w:p>
        </w:tc>
        <w:tc>
          <w:tcPr>
            <w:tcW w:w="2000" w:type="pct"/>
            <w:gridSpan w:val="2"/>
            <w:shd w:val="clear" w:color="auto" w:fill="E5F1FF"/>
            <w:vAlign w:val="center"/>
          </w:tcPr>
          <w:p w:rsidR="00CA5FAF" w:rsidRPr="005E2432" w:rsidRDefault="00CA5FAF" w:rsidP="00CA5FAF">
            <w:pPr>
              <w:spacing w:line="21" w:lineRule="atLeast"/>
              <w:contextualSpacing/>
              <w:jc w:val="center"/>
              <w:rPr>
                <w:rFonts w:cstheme="minorHAnsi"/>
                <w:b/>
              </w:rPr>
            </w:pPr>
            <w:r>
              <w:rPr>
                <w:rFonts w:cstheme="minorHAnsi"/>
                <w:b/>
              </w:rPr>
              <w:t>Podpora na projekty</w:t>
            </w:r>
            <w:r w:rsidR="00C128CE">
              <w:rPr>
                <w:rFonts w:cstheme="minorHAnsi"/>
                <w:b/>
              </w:rPr>
              <w:t xml:space="preserve"> vynaložená </w:t>
            </w:r>
          </w:p>
        </w:tc>
      </w:tr>
      <w:tr w:rsidR="00CA5FAF" w:rsidRPr="00340F7A" w:rsidTr="00CA5FAF">
        <w:trPr>
          <w:trHeight w:val="20"/>
        </w:trPr>
        <w:tc>
          <w:tcPr>
            <w:tcW w:w="1000" w:type="pct"/>
            <w:vMerge/>
            <w:shd w:val="clear" w:color="auto" w:fill="E5F1FF"/>
            <w:noWrap/>
            <w:vAlign w:val="center"/>
            <w:hideMark/>
          </w:tcPr>
          <w:p w:rsidR="00CA5FAF" w:rsidRPr="005E2432" w:rsidRDefault="00CA5FAF" w:rsidP="00CA5FAF">
            <w:pPr>
              <w:spacing w:line="21" w:lineRule="atLeast"/>
              <w:contextualSpacing/>
              <w:jc w:val="center"/>
              <w:rPr>
                <w:rFonts w:cstheme="minorHAnsi"/>
                <w:b/>
              </w:rPr>
            </w:pPr>
          </w:p>
        </w:tc>
        <w:tc>
          <w:tcPr>
            <w:tcW w:w="1000" w:type="pct"/>
            <w:vMerge/>
            <w:shd w:val="clear" w:color="auto" w:fill="E5F1FF"/>
            <w:vAlign w:val="center"/>
          </w:tcPr>
          <w:p w:rsidR="00CA5FAF" w:rsidRPr="005E2432" w:rsidRDefault="00CA5FAF" w:rsidP="00CA5FAF">
            <w:pPr>
              <w:spacing w:line="21" w:lineRule="atLeast"/>
              <w:contextualSpacing/>
              <w:jc w:val="center"/>
              <w:rPr>
                <w:rFonts w:cstheme="minorHAnsi"/>
                <w:b/>
              </w:rPr>
            </w:pPr>
          </w:p>
        </w:tc>
        <w:tc>
          <w:tcPr>
            <w:tcW w:w="1000" w:type="pct"/>
            <w:vMerge/>
            <w:shd w:val="clear" w:color="auto" w:fill="E5F1FF"/>
            <w:vAlign w:val="center"/>
          </w:tcPr>
          <w:p w:rsidR="00CA5FAF" w:rsidRPr="00340F7A" w:rsidRDefault="00CA5FAF" w:rsidP="00CA5FAF">
            <w:pPr>
              <w:keepNext/>
              <w:spacing w:line="252" w:lineRule="auto"/>
              <w:contextualSpacing/>
              <w:jc w:val="center"/>
              <w:rPr>
                <w:rFonts w:cstheme="minorHAnsi"/>
                <w:b/>
                <w:bCs/>
              </w:rPr>
            </w:pPr>
          </w:p>
        </w:tc>
        <w:tc>
          <w:tcPr>
            <w:tcW w:w="1000" w:type="pct"/>
            <w:shd w:val="clear" w:color="auto" w:fill="E5F1FF"/>
            <w:vAlign w:val="center"/>
          </w:tcPr>
          <w:p w:rsidR="00CA5FAF" w:rsidRPr="005E2432" w:rsidRDefault="00CA5FAF" w:rsidP="00CA5FAF">
            <w:pPr>
              <w:spacing w:line="21" w:lineRule="atLeast"/>
              <w:contextualSpacing/>
              <w:jc w:val="center"/>
              <w:rPr>
                <w:rFonts w:cstheme="minorHAnsi"/>
                <w:b/>
              </w:rPr>
            </w:pPr>
            <w:r w:rsidRPr="005E2432">
              <w:rPr>
                <w:rFonts w:cstheme="minorHAnsi"/>
                <w:b/>
              </w:rPr>
              <w:t>z ERDF</w:t>
            </w:r>
          </w:p>
          <w:p w:rsidR="00CA5FAF" w:rsidRPr="005E2432" w:rsidRDefault="00C128CE" w:rsidP="00CA5FAF">
            <w:pPr>
              <w:spacing w:line="21" w:lineRule="atLeast"/>
              <w:contextualSpacing/>
              <w:jc w:val="center"/>
              <w:rPr>
                <w:rFonts w:cstheme="minorHAnsi"/>
                <w:b/>
              </w:rPr>
            </w:pPr>
            <w:r>
              <w:rPr>
                <w:rFonts w:cstheme="minorHAnsi"/>
                <w:b/>
              </w:rPr>
              <w:t>(</w:t>
            </w:r>
            <w:r w:rsidR="00CA5FAF" w:rsidRPr="005E2432">
              <w:rPr>
                <w:rFonts w:cstheme="minorHAnsi"/>
                <w:b/>
              </w:rPr>
              <w:t>v mil. Kč</w:t>
            </w:r>
            <w:r>
              <w:rPr>
                <w:rFonts w:cstheme="minorHAnsi"/>
                <w:b/>
              </w:rPr>
              <w:t>)</w:t>
            </w:r>
          </w:p>
        </w:tc>
        <w:tc>
          <w:tcPr>
            <w:tcW w:w="1000" w:type="pct"/>
            <w:shd w:val="clear" w:color="auto" w:fill="E5F1FF"/>
            <w:vAlign w:val="center"/>
          </w:tcPr>
          <w:p w:rsidR="00CA5FAF" w:rsidRDefault="00CA5FAF" w:rsidP="00CA5FAF">
            <w:pPr>
              <w:spacing w:line="21" w:lineRule="atLeast"/>
              <w:contextualSpacing/>
              <w:jc w:val="center"/>
              <w:rPr>
                <w:rFonts w:cstheme="minorHAnsi"/>
                <w:b/>
              </w:rPr>
            </w:pPr>
            <w:r w:rsidRPr="005E2432">
              <w:rPr>
                <w:rFonts w:cstheme="minorHAnsi"/>
                <w:b/>
              </w:rPr>
              <w:t xml:space="preserve">ze </w:t>
            </w:r>
            <w:r w:rsidR="008B3BD3">
              <w:rPr>
                <w:rFonts w:cstheme="minorHAnsi"/>
                <w:b/>
              </w:rPr>
              <w:t>státního rozpočtu</w:t>
            </w:r>
            <w:r w:rsidRPr="005E2432">
              <w:rPr>
                <w:rFonts w:cstheme="minorHAnsi"/>
                <w:b/>
              </w:rPr>
              <w:t xml:space="preserve"> </w:t>
            </w:r>
          </w:p>
          <w:p w:rsidR="00CA5FAF" w:rsidRPr="005E2432" w:rsidRDefault="00C128CE" w:rsidP="00CA5FAF">
            <w:pPr>
              <w:spacing w:line="21" w:lineRule="atLeast"/>
              <w:contextualSpacing/>
              <w:jc w:val="center"/>
              <w:rPr>
                <w:rFonts w:cstheme="minorHAnsi"/>
                <w:b/>
              </w:rPr>
            </w:pPr>
            <w:r>
              <w:rPr>
                <w:rFonts w:cstheme="minorHAnsi"/>
                <w:b/>
              </w:rPr>
              <w:t>(</w:t>
            </w:r>
            <w:r w:rsidR="00CA5FAF" w:rsidRPr="005E2432">
              <w:rPr>
                <w:rFonts w:cstheme="minorHAnsi"/>
                <w:b/>
              </w:rPr>
              <w:t>v mil. Kč</w:t>
            </w:r>
            <w:r>
              <w:rPr>
                <w:rFonts w:cstheme="minorHAnsi"/>
                <w:b/>
              </w:rPr>
              <w:t>)</w:t>
            </w:r>
          </w:p>
        </w:tc>
      </w:tr>
      <w:tr w:rsidR="00CA5FAF" w:rsidRPr="00340F7A" w:rsidTr="000B29CF">
        <w:trPr>
          <w:trHeight w:val="283"/>
        </w:trPr>
        <w:tc>
          <w:tcPr>
            <w:tcW w:w="1000" w:type="pct"/>
            <w:shd w:val="clear" w:color="auto" w:fill="auto"/>
            <w:noWrap/>
            <w:vAlign w:val="center"/>
            <w:hideMark/>
          </w:tcPr>
          <w:p w:rsidR="00CA5FAF" w:rsidRPr="0048247C" w:rsidRDefault="00CA5FAF" w:rsidP="000B29CF">
            <w:pPr>
              <w:spacing w:after="0" w:line="240" w:lineRule="auto"/>
              <w:ind w:left="57"/>
              <w:contextualSpacing/>
              <w:rPr>
                <w:rFonts w:cstheme="minorHAnsi"/>
              </w:rPr>
            </w:pPr>
            <w:r w:rsidRPr="0048247C">
              <w:rPr>
                <w:rFonts w:cstheme="minorHAnsi"/>
              </w:rPr>
              <w:t>18</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109</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83</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868</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51</w:t>
            </w:r>
          </w:p>
        </w:tc>
      </w:tr>
      <w:tr w:rsidR="00CA5FAF" w:rsidRPr="00340F7A" w:rsidTr="000B29CF">
        <w:trPr>
          <w:trHeight w:val="283"/>
        </w:trPr>
        <w:tc>
          <w:tcPr>
            <w:tcW w:w="1000" w:type="pct"/>
            <w:shd w:val="clear" w:color="auto" w:fill="auto"/>
            <w:noWrap/>
            <w:vAlign w:val="center"/>
            <w:hideMark/>
          </w:tcPr>
          <w:p w:rsidR="00CA5FAF" w:rsidRPr="0048247C" w:rsidRDefault="00CA5FAF" w:rsidP="000B29CF">
            <w:pPr>
              <w:spacing w:after="0" w:line="240" w:lineRule="auto"/>
              <w:ind w:left="57"/>
              <w:contextualSpacing/>
              <w:rPr>
                <w:rFonts w:cstheme="minorHAnsi"/>
              </w:rPr>
            </w:pPr>
            <w:r w:rsidRPr="0048247C">
              <w:rPr>
                <w:rFonts w:cstheme="minorHAnsi"/>
              </w:rPr>
              <w:t>50</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41</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6</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440</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26</w:t>
            </w:r>
          </w:p>
        </w:tc>
      </w:tr>
      <w:tr w:rsidR="00CA5FAF" w:rsidRPr="00340F7A" w:rsidTr="000B29CF">
        <w:trPr>
          <w:trHeight w:val="283"/>
        </w:trPr>
        <w:tc>
          <w:tcPr>
            <w:tcW w:w="1000" w:type="pct"/>
            <w:shd w:val="clear" w:color="auto" w:fill="auto"/>
            <w:noWrap/>
            <w:vAlign w:val="center"/>
            <w:hideMark/>
          </w:tcPr>
          <w:p w:rsidR="00CA5FAF" w:rsidRPr="0048247C" w:rsidRDefault="00CA5FAF" w:rsidP="000B29CF">
            <w:pPr>
              <w:spacing w:after="0" w:line="240" w:lineRule="auto"/>
              <w:ind w:left="57"/>
              <w:contextualSpacing/>
              <w:rPr>
                <w:rFonts w:cstheme="minorHAnsi"/>
              </w:rPr>
            </w:pPr>
            <w:r w:rsidRPr="0048247C">
              <w:rPr>
                <w:rFonts w:cstheme="minorHAnsi"/>
              </w:rPr>
              <w:t>51</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49</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5</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385</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22</w:t>
            </w:r>
          </w:p>
        </w:tc>
      </w:tr>
      <w:tr w:rsidR="00CA5FAF" w:rsidRPr="00340F7A" w:rsidTr="000B29CF">
        <w:trPr>
          <w:trHeight w:val="283"/>
        </w:trPr>
        <w:tc>
          <w:tcPr>
            <w:tcW w:w="1000" w:type="pct"/>
            <w:shd w:val="clear" w:color="auto" w:fill="auto"/>
            <w:noWrap/>
            <w:vAlign w:val="center"/>
            <w:hideMark/>
          </w:tcPr>
          <w:p w:rsidR="00CA5FAF" w:rsidRPr="0048247C" w:rsidRDefault="00CA5FAF" w:rsidP="000B29CF">
            <w:pPr>
              <w:spacing w:after="0" w:line="240" w:lineRule="auto"/>
              <w:ind w:left="57"/>
              <w:contextualSpacing/>
              <w:rPr>
                <w:rFonts w:cstheme="minorHAnsi"/>
              </w:rPr>
            </w:pPr>
            <w:r w:rsidRPr="0048247C">
              <w:rPr>
                <w:rFonts w:cstheme="minorHAnsi"/>
              </w:rPr>
              <w:t>53</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1 238</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316</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2 364</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0</w:t>
            </w:r>
          </w:p>
        </w:tc>
      </w:tr>
      <w:tr w:rsidR="00CA5FAF" w:rsidRPr="00340F7A" w:rsidTr="000B29CF">
        <w:trPr>
          <w:trHeight w:val="283"/>
        </w:trPr>
        <w:tc>
          <w:tcPr>
            <w:tcW w:w="1000" w:type="pct"/>
            <w:shd w:val="clear" w:color="auto" w:fill="auto"/>
            <w:noWrap/>
            <w:vAlign w:val="center"/>
            <w:hideMark/>
          </w:tcPr>
          <w:p w:rsidR="00CA5FAF" w:rsidRPr="0048247C" w:rsidRDefault="00CA5FAF" w:rsidP="000B29CF">
            <w:pPr>
              <w:spacing w:after="0" w:line="240" w:lineRule="auto"/>
              <w:ind w:left="57"/>
              <w:contextualSpacing/>
              <w:rPr>
                <w:rFonts w:cstheme="minorHAnsi"/>
              </w:rPr>
            </w:pPr>
            <w:r w:rsidRPr="0048247C">
              <w:rPr>
                <w:rFonts w:cstheme="minorHAnsi"/>
              </w:rPr>
              <w:t>72</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24</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26</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284</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17</w:t>
            </w:r>
          </w:p>
        </w:tc>
      </w:tr>
      <w:tr w:rsidR="00CA5FAF" w:rsidRPr="00340F7A" w:rsidTr="000B29CF">
        <w:trPr>
          <w:trHeight w:val="283"/>
        </w:trPr>
        <w:tc>
          <w:tcPr>
            <w:tcW w:w="1000" w:type="pct"/>
            <w:shd w:val="clear" w:color="auto" w:fill="auto"/>
            <w:noWrap/>
            <w:vAlign w:val="center"/>
            <w:hideMark/>
          </w:tcPr>
          <w:p w:rsidR="00CA5FAF" w:rsidRPr="0048247C" w:rsidRDefault="00CA5FAF" w:rsidP="000B29CF">
            <w:pPr>
              <w:spacing w:after="0" w:line="240" w:lineRule="auto"/>
              <w:ind w:left="57"/>
              <w:contextualSpacing/>
              <w:rPr>
                <w:rFonts w:cstheme="minorHAnsi"/>
              </w:rPr>
            </w:pPr>
            <w:r>
              <w:rPr>
                <w:rFonts w:cstheme="minorHAnsi"/>
              </w:rPr>
              <w:t>C</w:t>
            </w:r>
            <w:r w:rsidRPr="0048247C">
              <w:rPr>
                <w:rFonts w:cstheme="minorHAnsi"/>
              </w:rPr>
              <w:t>elkem</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1 461</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436</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4 341</w:t>
            </w:r>
          </w:p>
        </w:tc>
        <w:tc>
          <w:tcPr>
            <w:tcW w:w="1000" w:type="pct"/>
            <w:vAlign w:val="center"/>
          </w:tcPr>
          <w:p w:rsidR="00CA5FAF" w:rsidRPr="0048247C" w:rsidRDefault="00CA5FAF" w:rsidP="000B29CF">
            <w:pPr>
              <w:spacing w:after="0" w:line="240" w:lineRule="auto"/>
              <w:ind w:right="57"/>
              <w:contextualSpacing/>
              <w:jc w:val="right"/>
              <w:rPr>
                <w:rFonts w:cstheme="minorHAnsi"/>
              </w:rPr>
            </w:pPr>
            <w:r w:rsidRPr="0048247C">
              <w:rPr>
                <w:rFonts w:cstheme="minorHAnsi"/>
              </w:rPr>
              <w:t>116</w:t>
            </w:r>
          </w:p>
        </w:tc>
      </w:tr>
    </w:tbl>
    <w:p w:rsidR="00CA5FAF" w:rsidRPr="000B29CF" w:rsidRDefault="00CA5FAF" w:rsidP="00CA5FAF">
      <w:pPr>
        <w:spacing w:line="252" w:lineRule="auto"/>
        <w:contextualSpacing/>
        <w:jc w:val="both"/>
        <w:rPr>
          <w:rFonts w:cstheme="minorHAnsi"/>
          <w:sz w:val="20"/>
          <w:szCs w:val="20"/>
        </w:rPr>
      </w:pPr>
      <w:r w:rsidRPr="000B29CF">
        <w:rPr>
          <w:rFonts w:cstheme="minorHAnsi"/>
          <w:b/>
          <w:bCs/>
          <w:sz w:val="20"/>
          <w:szCs w:val="20"/>
        </w:rPr>
        <w:t>Zdroj:</w:t>
      </w:r>
      <w:r w:rsidRPr="000B29CF">
        <w:rPr>
          <w:rFonts w:cstheme="minorHAnsi"/>
          <w:sz w:val="20"/>
          <w:szCs w:val="20"/>
        </w:rPr>
        <w:t xml:space="preserve"> MMR.</w:t>
      </w:r>
    </w:p>
    <w:p w:rsidR="008B3BD3" w:rsidRDefault="008B3BD3" w:rsidP="00CA5FAF">
      <w:pPr>
        <w:rPr>
          <w:rFonts w:cstheme="minorHAnsi"/>
          <w:b/>
        </w:rPr>
      </w:pPr>
    </w:p>
    <w:p w:rsidR="00206FD8" w:rsidRDefault="00206FD8" w:rsidP="00CA5FAF">
      <w:pPr>
        <w:rPr>
          <w:rFonts w:cstheme="minorHAnsi"/>
          <w:b/>
        </w:rPr>
      </w:pPr>
    </w:p>
    <w:p w:rsidR="00206FD8" w:rsidRDefault="00206FD8" w:rsidP="00CA5FAF">
      <w:pPr>
        <w:rPr>
          <w:rFonts w:cstheme="minorHAnsi"/>
          <w:b/>
        </w:rPr>
      </w:pPr>
    </w:p>
    <w:p w:rsidR="00206FD8" w:rsidRDefault="00206FD8" w:rsidP="00CA5FAF">
      <w:pPr>
        <w:rPr>
          <w:rFonts w:cstheme="minorHAnsi"/>
          <w:b/>
        </w:rPr>
      </w:pPr>
    </w:p>
    <w:p w:rsidR="00206FD8" w:rsidRDefault="00206FD8" w:rsidP="00CA5FAF">
      <w:pPr>
        <w:rPr>
          <w:rFonts w:cstheme="minorHAnsi"/>
          <w:b/>
        </w:rPr>
      </w:pPr>
    </w:p>
    <w:p w:rsidR="008B3BD3" w:rsidRPr="00343C22" w:rsidRDefault="008B3BD3" w:rsidP="008B3BD3">
      <w:pPr>
        <w:pStyle w:val="Titulek"/>
        <w:spacing w:after="0"/>
        <w:jc w:val="right"/>
        <w:rPr>
          <w:rFonts w:asciiTheme="minorHAnsi" w:hAnsiTheme="minorHAnsi" w:cstheme="minorHAnsi"/>
          <w:i w:val="0"/>
          <w:color w:val="auto"/>
          <w:sz w:val="24"/>
          <w:szCs w:val="24"/>
        </w:rPr>
      </w:pPr>
      <w:r w:rsidRPr="00343C22">
        <w:rPr>
          <w:rFonts w:asciiTheme="minorHAnsi" w:hAnsiTheme="minorHAnsi" w:cstheme="minorHAnsi"/>
          <w:b/>
          <w:sz w:val="24"/>
          <w:szCs w:val="24"/>
        </w:rPr>
        <w:lastRenderedPageBreak/>
        <w:t xml:space="preserve">Příloha č. </w:t>
      </w:r>
      <w:r>
        <w:rPr>
          <w:rFonts w:asciiTheme="minorHAnsi" w:hAnsiTheme="minorHAnsi" w:cstheme="minorHAnsi"/>
          <w:b/>
          <w:sz w:val="24"/>
          <w:szCs w:val="24"/>
        </w:rPr>
        <w:t>2</w:t>
      </w:r>
    </w:p>
    <w:p w:rsidR="008B3BD3" w:rsidRPr="00343C22" w:rsidRDefault="008B3BD3" w:rsidP="008B3BD3">
      <w:pPr>
        <w:pStyle w:val="Titulek"/>
        <w:spacing w:after="0"/>
        <w:jc w:val="both"/>
        <w:rPr>
          <w:rFonts w:asciiTheme="minorHAnsi" w:hAnsiTheme="minorHAnsi" w:cstheme="minorHAnsi"/>
          <w:i w:val="0"/>
          <w:color w:val="auto"/>
          <w:sz w:val="24"/>
          <w:szCs w:val="24"/>
        </w:rPr>
      </w:pPr>
    </w:p>
    <w:p w:rsidR="008B3BD3" w:rsidRPr="00343C22" w:rsidRDefault="008B3BD3" w:rsidP="008B3BD3">
      <w:pPr>
        <w:pStyle w:val="Titulek"/>
        <w:spacing w:after="0"/>
        <w:contextualSpacing/>
        <w:jc w:val="both"/>
        <w:rPr>
          <w:rFonts w:asciiTheme="minorHAnsi" w:hAnsiTheme="minorHAnsi" w:cstheme="minorHAnsi"/>
          <w:b/>
          <w:i w:val="0"/>
          <w:color w:val="auto"/>
          <w:sz w:val="24"/>
          <w:szCs w:val="24"/>
        </w:rPr>
      </w:pPr>
      <w:r w:rsidRPr="00343C22">
        <w:rPr>
          <w:rFonts w:asciiTheme="minorHAnsi" w:hAnsiTheme="minorHAnsi" w:cstheme="minorHAnsi"/>
          <w:b/>
          <w:i w:val="0"/>
          <w:color w:val="auto"/>
          <w:sz w:val="24"/>
          <w:szCs w:val="24"/>
        </w:rPr>
        <w:t>Přehled kontrolovaných projektů financovaných z rozpočtu SFDI (projekty č. 1</w:t>
      </w:r>
      <w:r w:rsidR="00A35F3D">
        <w:rPr>
          <w:rFonts w:asciiTheme="minorHAnsi" w:hAnsiTheme="minorHAnsi" w:cstheme="minorHAnsi"/>
          <w:b/>
          <w:i w:val="0"/>
          <w:color w:val="auto"/>
          <w:sz w:val="24"/>
          <w:szCs w:val="24"/>
        </w:rPr>
        <w:t>–</w:t>
      </w:r>
      <w:r w:rsidRPr="00343C22">
        <w:rPr>
          <w:rFonts w:asciiTheme="minorHAnsi" w:hAnsiTheme="minorHAnsi" w:cstheme="minorHAnsi"/>
          <w:b/>
          <w:i w:val="0"/>
          <w:color w:val="auto"/>
          <w:sz w:val="24"/>
          <w:szCs w:val="24"/>
        </w:rPr>
        <w:t>11) a z IROP (projekty č. 12</w:t>
      </w:r>
      <w:r w:rsidR="00A35F3D">
        <w:rPr>
          <w:rFonts w:asciiTheme="minorHAnsi" w:hAnsiTheme="minorHAnsi" w:cstheme="minorHAnsi"/>
          <w:b/>
          <w:i w:val="0"/>
          <w:color w:val="auto"/>
          <w:sz w:val="24"/>
          <w:szCs w:val="24"/>
        </w:rPr>
        <w:t>–</w:t>
      </w:r>
      <w:r w:rsidRPr="00343C22">
        <w:rPr>
          <w:rFonts w:asciiTheme="minorHAnsi" w:hAnsiTheme="minorHAnsi" w:cstheme="minorHAnsi"/>
          <w:b/>
          <w:i w:val="0"/>
          <w:color w:val="auto"/>
          <w:sz w:val="24"/>
          <w:szCs w:val="24"/>
        </w:rPr>
        <w:t>23) s vyhodnocením účelnosti (Ú) a hospodárnosti (H)</w:t>
      </w:r>
    </w:p>
    <w:p w:rsidR="008B3BD3" w:rsidRPr="00343C22" w:rsidRDefault="008B3BD3" w:rsidP="008B3BD3">
      <w:pPr>
        <w:spacing w:after="0" w:line="240" w:lineRule="auto"/>
        <w:contextualSpacing/>
        <w:rPr>
          <w:rFonts w:cstheme="minorHAnsi"/>
          <w:sz w:val="12"/>
          <w:szCs w:val="12"/>
        </w:rPr>
      </w:pPr>
    </w:p>
    <w:tbl>
      <w:tblPr>
        <w:tblW w:w="9072" w:type="dxa"/>
        <w:tblInd w:w="-5" w:type="dxa"/>
        <w:tblLayout w:type="fixed"/>
        <w:tblCellMar>
          <w:left w:w="70" w:type="dxa"/>
          <w:right w:w="70" w:type="dxa"/>
        </w:tblCellMar>
        <w:tblLook w:val="04A0" w:firstRow="1" w:lastRow="0" w:firstColumn="1" w:lastColumn="0" w:noHBand="0" w:noVBand="1"/>
      </w:tblPr>
      <w:tblGrid>
        <w:gridCol w:w="1701"/>
        <w:gridCol w:w="1701"/>
        <w:gridCol w:w="1701"/>
        <w:gridCol w:w="1701"/>
        <w:gridCol w:w="1134"/>
        <w:gridCol w:w="1134"/>
      </w:tblGrid>
      <w:tr w:rsidR="008B3BD3" w:rsidRPr="00343C22" w:rsidTr="000B29CF">
        <w:trPr>
          <w:trHeight w:val="397"/>
        </w:trPr>
        <w:tc>
          <w:tcPr>
            <w:tcW w:w="1701" w:type="dxa"/>
            <w:vMerge w:val="restart"/>
            <w:tcBorders>
              <w:top w:val="single" w:sz="4" w:space="0" w:color="auto"/>
              <w:left w:val="single" w:sz="4" w:space="0" w:color="auto"/>
              <w:right w:val="single" w:sz="4" w:space="0" w:color="auto"/>
            </w:tcBorders>
            <w:shd w:val="clear" w:color="000000" w:fill="E5F1FF"/>
            <w:noWrap/>
            <w:vAlign w:val="center"/>
          </w:tcPr>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Projekt</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E5F1FF"/>
            <w:vAlign w:val="center"/>
          </w:tcPr>
          <w:p w:rsidR="008B3BD3" w:rsidRPr="00343C22" w:rsidRDefault="008B3BD3" w:rsidP="00314CF0">
            <w:pPr>
              <w:spacing w:line="252" w:lineRule="auto"/>
              <w:contextualSpacing/>
              <w:jc w:val="center"/>
              <w:rPr>
                <w:rFonts w:cstheme="minorHAnsi"/>
                <w:b/>
                <w:bCs/>
                <w:color w:val="000000"/>
                <w:lang w:eastAsia="cs-CZ"/>
              </w:rPr>
            </w:pPr>
            <w:r w:rsidRPr="00343C22">
              <w:rPr>
                <w:rFonts w:cstheme="minorHAnsi"/>
                <w:b/>
                <w:bCs/>
                <w:color w:val="000000"/>
                <w:lang w:eastAsia="cs-CZ"/>
              </w:rPr>
              <w:t>Uznatelné náklady</w:t>
            </w:r>
          </w:p>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w:t>
            </w:r>
            <w:r w:rsidR="00A35F3D">
              <w:rPr>
                <w:rFonts w:cstheme="minorHAnsi"/>
                <w:b/>
                <w:bCs/>
                <w:color w:val="000000"/>
                <w:lang w:eastAsia="cs-CZ"/>
              </w:rPr>
              <w:t xml:space="preserve">v </w:t>
            </w:r>
            <w:r w:rsidRPr="00343C22">
              <w:rPr>
                <w:rFonts w:cstheme="minorHAnsi"/>
                <w:b/>
                <w:bCs/>
                <w:color w:val="000000"/>
                <w:lang w:eastAsia="cs-CZ"/>
              </w:rPr>
              <w:t>Kč)</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E5F1FF"/>
            <w:vAlign w:val="center"/>
            <w:hideMark/>
          </w:tcPr>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Poskytnutá podpora</w:t>
            </w:r>
          </w:p>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w:t>
            </w:r>
            <w:r w:rsidR="00A35F3D">
              <w:rPr>
                <w:rFonts w:cstheme="minorHAnsi"/>
                <w:b/>
                <w:bCs/>
                <w:color w:val="000000"/>
                <w:lang w:eastAsia="cs-CZ"/>
              </w:rPr>
              <w:t xml:space="preserve">v </w:t>
            </w:r>
            <w:r w:rsidRPr="00343C22">
              <w:rPr>
                <w:rFonts w:cstheme="minorHAnsi"/>
                <w:b/>
                <w:bCs/>
                <w:color w:val="000000"/>
                <w:lang w:eastAsia="cs-CZ"/>
              </w:rPr>
              <w:t>Kč)</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E5F1FF"/>
            <w:vAlign w:val="center"/>
          </w:tcPr>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Jednotkové</w:t>
            </w:r>
            <w:r w:rsidR="00971DD8">
              <w:rPr>
                <w:rFonts w:cstheme="minorHAnsi"/>
                <w:b/>
                <w:bCs/>
                <w:color w:val="000000"/>
                <w:lang w:eastAsia="cs-CZ"/>
              </w:rPr>
              <w:t xml:space="preserve"> </w:t>
            </w:r>
          </w:p>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náklady</w:t>
            </w:r>
          </w:p>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w:t>
            </w:r>
            <w:r w:rsidR="00A35F3D">
              <w:rPr>
                <w:rFonts w:cstheme="minorHAnsi"/>
                <w:b/>
                <w:bCs/>
                <w:color w:val="000000"/>
                <w:lang w:eastAsia="cs-CZ"/>
              </w:rPr>
              <w:t xml:space="preserve">v </w:t>
            </w:r>
            <w:r w:rsidRPr="00343C22">
              <w:rPr>
                <w:rFonts w:cstheme="minorHAnsi"/>
                <w:b/>
                <w:bCs/>
                <w:color w:val="000000"/>
                <w:lang w:eastAsia="cs-CZ"/>
              </w:rPr>
              <w:t>Kč/m)</w:t>
            </w:r>
          </w:p>
        </w:tc>
        <w:tc>
          <w:tcPr>
            <w:tcW w:w="2268" w:type="dxa"/>
            <w:gridSpan w:val="2"/>
            <w:tcBorders>
              <w:top w:val="single" w:sz="4" w:space="0" w:color="auto"/>
              <w:left w:val="nil"/>
              <w:bottom w:val="single" w:sz="4" w:space="0" w:color="auto"/>
              <w:right w:val="single" w:sz="4" w:space="0" w:color="auto"/>
            </w:tcBorders>
            <w:shd w:val="clear" w:color="000000" w:fill="E5F1FF"/>
            <w:noWrap/>
            <w:vAlign w:val="center"/>
            <w:hideMark/>
          </w:tcPr>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Hodnocení</w:t>
            </w:r>
          </w:p>
        </w:tc>
      </w:tr>
      <w:tr w:rsidR="008B3BD3" w:rsidRPr="00343C22" w:rsidTr="000B29CF">
        <w:trPr>
          <w:trHeight w:val="340"/>
        </w:trPr>
        <w:tc>
          <w:tcPr>
            <w:tcW w:w="1701" w:type="dxa"/>
            <w:vMerge/>
            <w:tcBorders>
              <w:left w:val="single" w:sz="4" w:space="0" w:color="auto"/>
              <w:bottom w:val="single" w:sz="4" w:space="0" w:color="auto"/>
              <w:right w:val="single" w:sz="4" w:space="0" w:color="auto"/>
            </w:tcBorders>
            <w:vAlign w:val="center"/>
            <w:hideMark/>
          </w:tcPr>
          <w:p w:rsidR="008B3BD3" w:rsidRPr="00343C22" w:rsidRDefault="008B3BD3" w:rsidP="00314CF0">
            <w:pPr>
              <w:contextualSpacing/>
              <w:jc w:val="center"/>
              <w:rPr>
                <w:rFonts w:cstheme="minorHAnsi"/>
                <w:b/>
                <w:bCs/>
                <w:color w:val="00000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8B3BD3" w:rsidRPr="00343C22" w:rsidRDefault="008B3BD3" w:rsidP="00314CF0">
            <w:pPr>
              <w:contextualSpacing/>
              <w:jc w:val="center"/>
              <w:rPr>
                <w:rFonts w:cstheme="minorHAnsi"/>
                <w:b/>
                <w:bCs/>
                <w:color w:val="00000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B3BD3" w:rsidRPr="00343C22" w:rsidRDefault="008B3BD3" w:rsidP="00314CF0">
            <w:pPr>
              <w:contextualSpacing/>
              <w:jc w:val="center"/>
              <w:rPr>
                <w:rFonts w:cstheme="minorHAnsi"/>
                <w:b/>
                <w:bCs/>
                <w:color w:val="00000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8B3BD3" w:rsidRPr="00343C22" w:rsidRDefault="008B3BD3" w:rsidP="00314CF0">
            <w:pPr>
              <w:contextualSpacing/>
              <w:jc w:val="center"/>
              <w:rPr>
                <w:rFonts w:cstheme="minorHAnsi"/>
                <w:b/>
                <w:bCs/>
                <w:color w:val="000000"/>
                <w:lang w:eastAsia="cs-CZ"/>
              </w:rPr>
            </w:pPr>
          </w:p>
        </w:tc>
        <w:tc>
          <w:tcPr>
            <w:tcW w:w="1134" w:type="dxa"/>
            <w:tcBorders>
              <w:top w:val="nil"/>
              <w:left w:val="nil"/>
              <w:bottom w:val="single" w:sz="4" w:space="0" w:color="auto"/>
              <w:right w:val="single" w:sz="4" w:space="0" w:color="auto"/>
            </w:tcBorders>
            <w:shd w:val="clear" w:color="000000" w:fill="E5F1FF"/>
            <w:vAlign w:val="center"/>
            <w:hideMark/>
          </w:tcPr>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Ú</w:t>
            </w:r>
          </w:p>
        </w:tc>
        <w:tc>
          <w:tcPr>
            <w:tcW w:w="1134" w:type="dxa"/>
            <w:tcBorders>
              <w:top w:val="nil"/>
              <w:left w:val="nil"/>
              <w:bottom w:val="single" w:sz="4" w:space="0" w:color="auto"/>
              <w:right w:val="single" w:sz="4" w:space="0" w:color="auto"/>
            </w:tcBorders>
            <w:shd w:val="clear" w:color="000000" w:fill="E5F1FF"/>
            <w:vAlign w:val="center"/>
            <w:hideMark/>
          </w:tcPr>
          <w:p w:rsidR="008B3BD3" w:rsidRPr="00343C22" w:rsidRDefault="008B3BD3" w:rsidP="00314CF0">
            <w:pPr>
              <w:contextualSpacing/>
              <w:jc w:val="center"/>
              <w:rPr>
                <w:rFonts w:cstheme="minorHAnsi"/>
                <w:b/>
                <w:bCs/>
                <w:color w:val="000000"/>
                <w:lang w:eastAsia="cs-CZ"/>
              </w:rPr>
            </w:pPr>
            <w:r w:rsidRPr="00343C22">
              <w:rPr>
                <w:rFonts w:cstheme="minorHAnsi"/>
                <w:b/>
                <w:bCs/>
                <w:color w:val="000000"/>
                <w:lang w:eastAsia="cs-CZ"/>
              </w:rPr>
              <w:t>H</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color w:val="000000"/>
                <w:lang w:eastAsia="cs-CZ"/>
              </w:rPr>
            </w:pPr>
            <w:bookmarkStart w:id="24" w:name="_Hlk172288097"/>
            <w:r w:rsidRPr="00343C22">
              <w:rPr>
                <w:rFonts w:cstheme="minorHAnsi"/>
              </w:rPr>
              <w:t>Projekt č. 1</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7 200 740</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5 902 000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4 515</w:t>
            </w:r>
          </w:p>
        </w:tc>
        <w:tc>
          <w:tcPr>
            <w:tcW w:w="1134" w:type="dxa"/>
            <w:tcBorders>
              <w:top w:val="nil"/>
              <w:left w:val="single" w:sz="4" w:space="0" w:color="auto"/>
              <w:bottom w:val="single" w:sz="4" w:space="0" w:color="auto"/>
              <w:right w:val="single" w:sz="4" w:space="0" w:color="auto"/>
            </w:tcBorders>
            <w:shd w:val="clear" w:color="auto" w:fill="C00000"/>
            <w:noWrap/>
            <w:vAlign w:val="center"/>
          </w:tcPr>
          <w:p w:rsidR="008B3BD3" w:rsidRPr="00940E28" w:rsidRDefault="008B3BD3" w:rsidP="008B3BD3">
            <w:pPr>
              <w:spacing w:after="0" w:line="240" w:lineRule="auto"/>
              <w:contextualSpacing/>
              <w:jc w:val="center"/>
              <w:rPr>
                <w:rFonts w:cstheme="minorHAnsi"/>
                <w:color w:val="FFFFFF" w:themeColor="background1"/>
                <w:highlight w:val="red"/>
                <w:lang w:eastAsia="cs-CZ"/>
              </w:rPr>
            </w:pPr>
            <w:r w:rsidRPr="00940E28">
              <w:rPr>
                <w:rFonts w:cstheme="minorHAnsi"/>
                <w:color w:val="FFFFFF" w:themeColor="background1"/>
                <w:lang w:eastAsia="cs-CZ"/>
              </w:rPr>
              <w:t>4</w:t>
            </w:r>
          </w:p>
        </w:tc>
        <w:tc>
          <w:tcPr>
            <w:tcW w:w="1134" w:type="dxa"/>
            <w:tcBorders>
              <w:top w:val="nil"/>
              <w:left w:val="nil"/>
              <w:bottom w:val="single" w:sz="4" w:space="0" w:color="auto"/>
              <w:right w:val="single" w:sz="4" w:space="0" w:color="auto"/>
            </w:tcBorders>
            <w:shd w:val="clear" w:color="auto" w:fill="C00000"/>
            <w:noWrap/>
            <w:vAlign w:val="center"/>
          </w:tcPr>
          <w:p w:rsidR="008B3BD3" w:rsidRPr="00940E28" w:rsidRDefault="008B3BD3" w:rsidP="008B3BD3">
            <w:pPr>
              <w:spacing w:after="0" w:line="240" w:lineRule="auto"/>
              <w:contextualSpacing/>
              <w:jc w:val="center"/>
              <w:rPr>
                <w:rFonts w:cstheme="minorHAnsi"/>
                <w:color w:val="FFFFFF" w:themeColor="background1"/>
                <w:highlight w:val="red"/>
                <w:lang w:eastAsia="cs-CZ"/>
              </w:rPr>
            </w:pPr>
            <w:r w:rsidRPr="00940E28">
              <w:rPr>
                <w:rFonts w:cstheme="minorHAnsi"/>
                <w:color w:val="FFFFFF" w:themeColor="background1"/>
                <w:lang w:eastAsia="cs-CZ"/>
              </w:rPr>
              <w:t>4</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2</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2 351 675</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1 998 000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8 928</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3</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5 070 573</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4 309 000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5 488</w:t>
            </w:r>
          </w:p>
        </w:tc>
        <w:tc>
          <w:tcPr>
            <w:tcW w:w="1134" w:type="dxa"/>
            <w:tcBorders>
              <w:top w:val="nil"/>
              <w:left w:val="single" w:sz="4" w:space="0" w:color="auto"/>
              <w:bottom w:val="single" w:sz="4" w:space="0" w:color="auto"/>
              <w:right w:val="single" w:sz="4" w:space="0" w:color="auto"/>
            </w:tcBorders>
            <w:shd w:val="clear" w:color="auto" w:fill="00CC99"/>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1134" w:type="dxa"/>
            <w:tcBorders>
              <w:top w:val="nil"/>
              <w:left w:val="nil"/>
              <w:bottom w:val="single" w:sz="4" w:space="0" w:color="auto"/>
              <w:right w:val="single" w:sz="4" w:space="0" w:color="auto"/>
            </w:tcBorders>
            <w:shd w:val="clear" w:color="auto" w:fill="006666"/>
            <w:noWrap/>
            <w:vAlign w:val="center"/>
          </w:tcPr>
          <w:p w:rsidR="008B3BD3" w:rsidRPr="00940E28" w:rsidRDefault="008B3BD3" w:rsidP="008B3BD3">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4</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943 148</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801 000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5 950</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006666"/>
            <w:noWrap/>
            <w:vAlign w:val="center"/>
          </w:tcPr>
          <w:p w:rsidR="008B3BD3" w:rsidRPr="00940E28" w:rsidRDefault="008B3BD3" w:rsidP="008B3BD3">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5</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1 776 773</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1 510 000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3 725</w:t>
            </w:r>
          </w:p>
        </w:tc>
        <w:tc>
          <w:tcPr>
            <w:tcW w:w="1134" w:type="dxa"/>
            <w:tcBorders>
              <w:top w:val="nil"/>
              <w:left w:val="single" w:sz="4" w:space="0" w:color="auto"/>
              <w:bottom w:val="single" w:sz="4" w:space="0" w:color="auto"/>
              <w:right w:val="single" w:sz="4" w:space="0" w:color="auto"/>
            </w:tcBorders>
            <w:shd w:val="clear" w:color="auto" w:fill="00CC99"/>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1134" w:type="dxa"/>
            <w:tcBorders>
              <w:top w:val="nil"/>
              <w:left w:val="nil"/>
              <w:bottom w:val="single" w:sz="4" w:space="0" w:color="auto"/>
              <w:right w:val="single" w:sz="4" w:space="0" w:color="auto"/>
            </w:tcBorders>
            <w:shd w:val="clear" w:color="auto" w:fill="006666"/>
            <w:noWrap/>
            <w:vAlign w:val="center"/>
          </w:tcPr>
          <w:p w:rsidR="008B3BD3" w:rsidRPr="00940E28" w:rsidRDefault="008B3BD3" w:rsidP="008B3BD3">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6</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1 034 022</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846 000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5 183</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006666"/>
            <w:noWrap/>
            <w:vAlign w:val="center"/>
          </w:tcPr>
          <w:p w:rsidR="008B3BD3" w:rsidRPr="00940E28" w:rsidRDefault="008B3BD3" w:rsidP="008B3BD3">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7</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1 605 393</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1 348 000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10 954</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8</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2 811 315</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 xml:space="preserve">2 </w:t>
            </w:r>
            <w:r w:rsidR="00862178" w:rsidRPr="00343C22">
              <w:rPr>
                <w:rFonts w:cstheme="minorHAnsi"/>
                <w:color w:val="000000"/>
              </w:rPr>
              <w:t>3</w:t>
            </w:r>
            <w:r w:rsidR="00862178">
              <w:rPr>
                <w:rFonts w:cstheme="minorHAnsi"/>
                <w:color w:val="000000"/>
              </w:rPr>
              <w:t>50</w:t>
            </w:r>
            <w:r w:rsidR="00862178" w:rsidRPr="00343C22">
              <w:rPr>
                <w:rFonts w:cstheme="minorHAnsi"/>
                <w:color w:val="000000"/>
              </w:rPr>
              <w:t xml:space="preserve"> </w:t>
            </w:r>
            <w:r w:rsidR="00862178">
              <w:rPr>
                <w:rFonts w:cstheme="minorHAnsi"/>
                <w:color w:val="000000"/>
              </w:rPr>
              <w:t>351</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5 275</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00CC99"/>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2</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9</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21 304 723</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17 992 718</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7 073</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00CC99"/>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2</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10</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2 154 693</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1 737 452</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6 500</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00CC99"/>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2</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tcPr>
          <w:p w:rsidR="008B3BD3" w:rsidRPr="00343C22" w:rsidRDefault="008B3BD3" w:rsidP="008B3BD3">
            <w:pPr>
              <w:spacing w:after="0" w:line="240" w:lineRule="auto"/>
              <w:contextualSpacing/>
              <w:rPr>
                <w:rFonts w:cstheme="minorHAnsi"/>
              </w:rPr>
            </w:pPr>
            <w:r w:rsidRPr="00343C22">
              <w:rPr>
                <w:rFonts w:cstheme="minorHAnsi"/>
              </w:rPr>
              <w:t>Projekt č. 11</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27 150 981</w:t>
            </w:r>
          </w:p>
        </w:tc>
        <w:tc>
          <w:tcPr>
            <w:tcW w:w="1701" w:type="dxa"/>
            <w:tcBorders>
              <w:top w:val="nil"/>
              <w:left w:val="nil"/>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19 331 776</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rPr>
            </w:pPr>
            <w:r w:rsidRPr="00343C22">
              <w:rPr>
                <w:rFonts w:cstheme="minorHAnsi"/>
              </w:rPr>
              <w:t>24 750</w:t>
            </w:r>
          </w:p>
        </w:tc>
        <w:tc>
          <w:tcPr>
            <w:tcW w:w="1134" w:type="dxa"/>
            <w:tcBorders>
              <w:top w:val="nil"/>
              <w:left w:val="single" w:sz="4" w:space="0" w:color="auto"/>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FFC000"/>
            <w:noWrap/>
            <w:vAlign w:val="center"/>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vAlign w:val="center"/>
          </w:tcPr>
          <w:p w:rsidR="008B3BD3" w:rsidRPr="000B29CF" w:rsidRDefault="008B3BD3" w:rsidP="000B29CF">
            <w:pPr>
              <w:spacing w:after="0" w:line="240" w:lineRule="auto"/>
              <w:contextualSpacing/>
              <w:rPr>
                <w:rFonts w:cstheme="minorHAnsi"/>
                <w:b/>
                <w:bCs/>
                <w:color w:val="000000"/>
                <w:lang w:eastAsia="cs-CZ"/>
              </w:rPr>
            </w:pPr>
            <w:r w:rsidRPr="000B29CF">
              <w:rPr>
                <w:rFonts w:cstheme="minorHAnsi"/>
                <w:b/>
                <w:bCs/>
                <w:color w:val="000000"/>
                <w:lang w:eastAsia="cs-CZ"/>
              </w:rPr>
              <w:t>Celkem</w:t>
            </w:r>
          </w:p>
        </w:tc>
        <w:tc>
          <w:tcPr>
            <w:tcW w:w="1701" w:type="dxa"/>
            <w:tcBorders>
              <w:top w:val="nil"/>
              <w:left w:val="nil"/>
              <w:bottom w:val="single" w:sz="4" w:space="0" w:color="auto"/>
              <w:right w:val="single" w:sz="4" w:space="0" w:color="auto"/>
            </w:tcBorders>
            <w:shd w:val="clear" w:color="auto" w:fill="auto"/>
            <w:noWrap/>
            <w:vAlign w:val="center"/>
          </w:tcPr>
          <w:p w:rsidR="008B3BD3" w:rsidRPr="000B29CF" w:rsidRDefault="008B3BD3" w:rsidP="001A4965">
            <w:pPr>
              <w:spacing w:after="0" w:line="240" w:lineRule="auto"/>
              <w:ind w:right="57"/>
              <w:contextualSpacing/>
              <w:jc w:val="right"/>
              <w:rPr>
                <w:rFonts w:cstheme="minorHAnsi"/>
                <w:b/>
                <w:bCs/>
                <w:color w:val="000000"/>
              </w:rPr>
            </w:pPr>
            <w:r w:rsidRPr="000B29CF">
              <w:rPr>
                <w:rFonts w:cstheme="minorHAnsi"/>
                <w:b/>
                <w:bCs/>
                <w:color w:val="000000"/>
              </w:rPr>
              <w:t>73 404 036</w:t>
            </w:r>
          </w:p>
        </w:tc>
        <w:tc>
          <w:tcPr>
            <w:tcW w:w="1701" w:type="dxa"/>
            <w:tcBorders>
              <w:top w:val="nil"/>
              <w:left w:val="nil"/>
              <w:bottom w:val="single" w:sz="4" w:space="0" w:color="auto"/>
              <w:right w:val="single" w:sz="4" w:space="0" w:color="auto"/>
            </w:tcBorders>
            <w:shd w:val="clear" w:color="auto" w:fill="auto"/>
            <w:noWrap/>
            <w:vAlign w:val="center"/>
          </w:tcPr>
          <w:p w:rsidR="008B3BD3" w:rsidRPr="000B29CF" w:rsidRDefault="008B3BD3" w:rsidP="001A4965">
            <w:pPr>
              <w:spacing w:after="0" w:line="240" w:lineRule="auto"/>
              <w:ind w:right="57"/>
              <w:contextualSpacing/>
              <w:jc w:val="right"/>
              <w:rPr>
                <w:rFonts w:cstheme="minorHAnsi"/>
                <w:b/>
                <w:bCs/>
                <w:color w:val="000000"/>
              </w:rPr>
            </w:pPr>
            <w:r w:rsidRPr="000B29CF">
              <w:rPr>
                <w:rFonts w:cstheme="minorHAnsi"/>
                <w:b/>
                <w:bCs/>
                <w:color w:val="000000"/>
              </w:rPr>
              <w:t xml:space="preserve">58 </w:t>
            </w:r>
            <w:r w:rsidR="003D70B7" w:rsidRPr="000B29CF">
              <w:rPr>
                <w:rFonts w:cstheme="minorHAnsi"/>
                <w:b/>
                <w:bCs/>
                <w:color w:val="000000"/>
              </w:rPr>
              <w:t>126 297</w:t>
            </w:r>
          </w:p>
        </w:tc>
        <w:tc>
          <w:tcPr>
            <w:tcW w:w="3969" w:type="dxa"/>
            <w:gridSpan w:val="3"/>
            <w:tcBorders>
              <w:top w:val="single" w:sz="4" w:space="0" w:color="auto"/>
              <w:left w:val="nil"/>
              <w:bottom w:val="single" w:sz="4" w:space="0" w:color="auto"/>
              <w:right w:val="single" w:sz="4" w:space="0" w:color="auto"/>
            </w:tcBorders>
            <w:shd w:val="clear" w:color="auto" w:fill="auto"/>
            <w:vAlign w:val="center"/>
          </w:tcPr>
          <w:p w:rsidR="008B3BD3" w:rsidRPr="00343C22" w:rsidRDefault="008B3BD3" w:rsidP="008B3BD3">
            <w:pPr>
              <w:spacing w:after="0" w:line="240" w:lineRule="auto"/>
              <w:contextualSpacing/>
              <w:jc w:val="center"/>
              <w:rPr>
                <w:rFonts w:cstheme="minorHAnsi"/>
                <w:color w:val="000000"/>
                <w:lang w:eastAsia="cs-CZ"/>
              </w:rPr>
            </w:pPr>
          </w:p>
        </w:tc>
      </w:tr>
      <w:bookmarkEnd w:id="24"/>
    </w:tbl>
    <w:p w:rsidR="008B3BD3" w:rsidRPr="00343C22" w:rsidRDefault="008B3BD3" w:rsidP="008B3BD3">
      <w:pPr>
        <w:spacing w:after="0" w:line="240" w:lineRule="auto"/>
        <w:contextualSpacing/>
        <w:rPr>
          <w:rFonts w:cstheme="minorHAnsi"/>
          <w:sz w:val="12"/>
          <w:szCs w:val="12"/>
        </w:rPr>
      </w:pPr>
    </w:p>
    <w:tbl>
      <w:tblPr>
        <w:tblW w:w="9072" w:type="dxa"/>
        <w:tblInd w:w="-5" w:type="dxa"/>
        <w:tblLayout w:type="fixed"/>
        <w:tblCellMar>
          <w:left w:w="70" w:type="dxa"/>
          <w:right w:w="70" w:type="dxa"/>
        </w:tblCellMar>
        <w:tblLook w:val="04A0" w:firstRow="1" w:lastRow="0" w:firstColumn="1" w:lastColumn="0" w:noHBand="0" w:noVBand="1"/>
      </w:tblPr>
      <w:tblGrid>
        <w:gridCol w:w="1701"/>
        <w:gridCol w:w="1701"/>
        <w:gridCol w:w="1701"/>
        <w:gridCol w:w="1701"/>
        <w:gridCol w:w="1134"/>
        <w:gridCol w:w="1134"/>
      </w:tblGrid>
      <w:tr w:rsidR="008B3BD3" w:rsidRPr="00343C22" w:rsidTr="000B29CF">
        <w:trPr>
          <w:trHeight w:val="397"/>
        </w:trPr>
        <w:tc>
          <w:tcPr>
            <w:tcW w:w="1701" w:type="dxa"/>
            <w:vMerge w:val="restart"/>
            <w:tcBorders>
              <w:top w:val="single" w:sz="4" w:space="0" w:color="auto"/>
              <w:left w:val="single" w:sz="4" w:space="0" w:color="auto"/>
              <w:right w:val="single" w:sz="4" w:space="0" w:color="auto"/>
            </w:tcBorders>
            <w:shd w:val="clear" w:color="000000" w:fill="E5F1FF"/>
            <w:noWrap/>
            <w:vAlign w:val="center"/>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Projekt</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E5F1FF"/>
            <w:vAlign w:val="center"/>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 xml:space="preserve">Způsobilé </w:t>
            </w:r>
            <w:r w:rsidR="00A35F3D">
              <w:rPr>
                <w:rFonts w:cstheme="minorHAnsi"/>
                <w:b/>
                <w:bCs/>
                <w:color w:val="000000"/>
                <w:lang w:eastAsia="cs-CZ"/>
              </w:rPr>
              <w:br/>
            </w:r>
            <w:r w:rsidRPr="00343C22">
              <w:rPr>
                <w:rFonts w:cstheme="minorHAnsi"/>
                <w:b/>
                <w:bCs/>
                <w:color w:val="000000"/>
                <w:lang w:eastAsia="cs-CZ"/>
              </w:rPr>
              <w:t>výdaje</w:t>
            </w:r>
          </w:p>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w:t>
            </w:r>
            <w:r w:rsidR="00A35F3D">
              <w:rPr>
                <w:rFonts w:cstheme="minorHAnsi"/>
                <w:b/>
                <w:bCs/>
                <w:color w:val="000000"/>
                <w:lang w:eastAsia="cs-CZ"/>
              </w:rPr>
              <w:t xml:space="preserve">v </w:t>
            </w:r>
            <w:r w:rsidRPr="00343C22">
              <w:rPr>
                <w:rFonts w:cstheme="minorHAnsi"/>
                <w:b/>
                <w:bCs/>
                <w:color w:val="000000"/>
                <w:lang w:eastAsia="cs-CZ"/>
              </w:rPr>
              <w:t>Kč)</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E5F1FF"/>
            <w:vAlign w:val="center"/>
            <w:hideMark/>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Poskytnutá podpora</w:t>
            </w:r>
          </w:p>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w:t>
            </w:r>
            <w:r w:rsidR="00A35F3D">
              <w:rPr>
                <w:rFonts w:cstheme="minorHAnsi"/>
                <w:b/>
                <w:bCs/>
                <w:color w:val="000000"/>
                <w:lang w:eastAsia="cs-CZ"/>
              </w:rPr>
              <w:t xml:space="preserve">v </w:t>
            </w:r>
            <w:r w:rsidRPr="00343C22">
              <w:rPr>
                <w:rFonts w:cstheme="minorHAnsi"/>
                <w:b/>
                <w:bCs/>
                <w:color w:val="000000"/>
                <w:lang w:eastAsia="cs-CZ"/>
              </w:rPr>
              <w:t>Kč)</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E5F1FF"/>
            <w:vAlign w:val="center"/>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Jednotkové</w:t>
            </w:r>
          </w:p>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náklady</w:t>
            </w:r>
          </w:p>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w:t>
            </w:r>
            <w:r w:rsidR="00A35F3D">
              <w:rPr>
                <w:rFonts w:cstheme="minorHAnsi"/>
                <w:b/>
                <w:bCs/>
                <w:color w:val="000000"/>
                <w:lang w:eastAsia="cs-CZ"/>
              </w:rPr>
              <w:t xml:space="preserve">v </w:t>
            </w:r>
            <w:r w:rsidRPr="00343C22">
              <w:rPr>
                <w:rFonts w:cstheme="minorHAnsi"/>
                <w:b/>
                <w:bCs/>
                <w:color w:val="000000"/>
                <w:lang w:eastAsia="cs-CZ"/>
              </w:rPr>
              <w:t>Kč/m)</w:t>
            </w:r>
          </w:p>
        </w:tc>
        <w:tc>
          <w:tcPr>
            <w:tcW w:w="2268" w:type="dxa"/>
            <w:gridSpan w:val="2"/>
            <w:tcBorders>
              <w:top w:val="single" w:sz="4" w:space="0" w:color="auto"/>
              <w:left w:val="nil"/>
              <w:bottom w:val="single" w:sz="4" w:space="0" w:color="auto"/>
              <w:right w:val="single" w:sz="4" w:space="0" w:color="auto"/>
            </w:tcBorders>
            <w:shd w:val="clear" w:color="000000" w:fill="E5F1FF"/>
            <w:noWrap/>
            <w:vAlign w:val="center"/>
            <w:hideMark/>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Hodnocení</w:t>
            </w:r>
          </w:p>
        </w:tc>
      </w:tr>
      <w:tr w:rsidR="008B3BD3" w:rsidRPr="00343C22" w:rsidTr="000B29CF">
        <w:trPr>
          <w:trHeight w:val="340"/>
        </w:trPr>
        <w:tc>
          <w:tcPr>
            <w:tcW w:w="1701" w:type="dxa"/>
            <w:vMerge/>
            <w:tcBorders>
              <w:left w:val="single" w:sz="4" w:space="0" w:color="auto"/>
              <w:bottom w:val="single" w:sz="4" w:space="0" w:color="auto"/>
              <w:right w:val="single" w:sz="4" w:space="0" w:color="auto"/>
            </w:tcBorders>
            <w:vAlign w:val="center"/>
            <w:hideMark/>
          </w:tcPr>
          <w:p w:rsidR="008B3BD3" w:rsidRPr="00343C22" w:rsidRDefault="008B3BD3" w:rsidP="008B3BD3">
            <w:pPr>
              <w:spacing w:after="0" w:line="240" w:lineRule="auto"/>
              <w:contextualSpacing/>
              <w:jc w:val="center"/>
              <w:rPr>
                <w:rFonts w:cstheme="minorHAnsi"/>
                <w:b/>
                <w:bCs/>
                <w:color w:val="00000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8B3BD3" w:rsidRPr="00343C22" w:rsidRDefault="008B3BD3" w:rsidP="008B3BD3">
            <w:pPr>
              <w:spacing w:after="0" w:line="240" w:lineRule="auto"/>
              <w:contextualSpacing/>
              <w:jc w:val="center"/>
              <w:rPr>
                <w:rFonts w:cstheme="minorHAnsi"/>
                <w:b/>
                <w:bCs/>
                <w:color w:val="00000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B3BD3" w:rsidRPr="00343C22" w:rsidRDefault="008B3BD3" w:rsidP="008B3BD3">
            <w:pPr>
              <w:spacing w:after="0" w:line="240" w:lineRule="auto"/>
              <w:contextualSpacing/>
              <w:jc w:val="center"/>
              <w:rPr>
                <w:rFonts w:cstheme="minorHAnsi"/>
                <w:b/>
                <w:bCs/>
                <w:color w:val="00000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8B3BD3" w:rsidRPr="00343C22" w:rsidRDefault="008B3BD3" w:rsidP="008B3BD3">
            <w:pPr>
              <w:spacing w:after="0" w:line="240" w:lineRule="auto"/>
              <w:contextualSpacing/>
              <w:jc w:val="center"/>
              <w:rPr>
                <w:rFonts w:cstheme="minorHAnsi"/>
                <w:b/>
                <w:bCs/>
                <w:color w:val="000000"/>
                <w:lang w:eastAsia="cs-CZ"/>
              </w:rPr>
            </w:pPr>
          </w:p>
        </w:tc>
        <w:tc>
          <w:tcPr>
            <w:tcW w:w="1134" w:type="dxa"/>
            <w:tcBorders>
              <w:top w:val="nil"/>
              <w:left w:val="nil"/>
              <w:bottom w:val="single" w:sz="4" w:space="0" w:color="auto"/>
              <w:right w:val="single" w:sz="4" w:space="0" w:color="auto"/>
            </w:tcBorders>
            <w:shd w:val="clear" w:color="000000" w:fill="E5F1FF"/>
            <w:vAlign w:val="center"/>
            <w:hideMark/>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Ú</w:t>
            </w:r>
          </w:p>
        </w:tc>
        <w:tc>
          <w:tcPr>
            <w:tcW w:w="1134" w:type="dxa"/>
            <w:tcBorders>
              <w:top w:val="nil"/>
              <w:left w:val="nil"/>
              <w:bottom w:val="single" w:sz="4" w:space="0" w:color="auto"/>
              <w:right w:val="single" w:sz="4" w:space="0" w:color="auto"/>
            </w:tcBorders>
            <w:shd w:val="clear" w:color="000000" w:fill="E5F1FF"/>
            <w:vAlign w:val="center"/>
            <w:hideMark/>
          </w:tcPr>
          <w:p w:rsidR="008B3BD3" w:rsidRPr="00343C22" w:rsidRDefault="008B3BD3" w:rsidP="008B3BD3">
            <w:pPr>
              <w:spacing w:after="0" w:line="240" w:lineRule="auto"/>
              <w:contextualSpacing/>
              <w:jc w:val="center"/>
              <w:rPr>
                <w:rFonts w:cstheme="minorHAnsi"/>
                <w:b/>
                <w:bCs/>
                <w:color w:val="000000"/>
                <w:lang w:eastAsia="cs-CZ"/>
              </w:rPr>
            </w:pPr>
            <w:r w:rsidRPr="00343C22">
              <w:rPr>
                <w:rFonts w:cstheme="minorHAnsi"/>
                <w:b/>
                <w:bCs/>
                <w:color w:val="000000"/>
                <w:lang w:eastAsia="cs-CZ"/>
              </w:rPr>
              <w:t>H</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12</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7 304 091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6 573 652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6 </w:t>
            </w:r>
            <w:r w:rsidR="001F5620" w:rsidRPr="00343C22">
              <w:rPr>
                <w:rFonts w:cstheme="minorHAnsi"/>
                <w:color w:val="000000"/>
                <w:lang w:eastAsia="cs-CZ"/>
              </w:rPr>
              <w:t>7</w:t>
            </w:r>
            <w:r w:rsidR="001F5620">
              <w:rPr>
                <w:rFonts w:cstheme="minorHAnsi"/>
                <w:color w:val="000000"/>
                <w:lang w:eastAsia="cs-CZ"/>
              </w:rPr>
              <w:t>90</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4</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4</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13</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7 082 504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6 374 253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5 </w:t>
            </w:r>
            <w:r w:rsidR="001F5620" w:rsidRPr="00343C22">
              <w:rPr>
                <w:rFonts w:cstheme="minorHAnsi"/>
                <w:color w:val="000000"/>
                <w:lang w:eastAsia="cs-CZ"/>
              </w:rPr>
              <w:t>13</w:t>
            </w:r>
            <w:r w:rsidR="001F5620">
              <w:rPr>
                <w:rFonts w:cstheme="minorHAnsi"/>
                <w:color w:val="000000"/>
                <w:lang w:eastAsia="cs-CZ"/>
              </w:rPr>
              <w:t>4</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4</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4</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14</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2 500 000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2 375 000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7 </w:t>
            </w:r>
            <w:r w:rsidR="001F5620">
              <w:rPr>
                <w:rFonts w:cstheme="minorHAnsi"/>
                <w:color w:val="000000"/>
                <w:lang w:eastAsia="cs-CZ"/>
              </w:rPr>
              <w:t>373</w:t>
            </w:r>
          </w:p>
        </w:tc>
        <w:tc>
          <w:tcPr>
            <w:tcW w:w="1134" w:type="dxa"/>
            <w:tcBorders>
              <w:top w:val="nil"/>
              <w:left w:val="nil"/>
              <w:bottom w:val="single" w:sz="4" w:space="0" w:color="auto"/>
              <w:right w:val="single" w:sz="4" w:space="0" w:color="auto"/>
            </w:tcBorders>
            <w:shd w:val="clear" w:color="auto" w:fill="00CC99"/>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1134" w:type="dxa"/>
            <w:tcBorders>
              <w:top w:val="nil"/>
              <w:left w:val="nil"/>
              <w:bottom w:val="single" w:sz="4" w:space="0" w:color="auto"/>
              <w:right w:val="single" w:sz="4" w:space="0" w:color="auto"/>
            </w:tcBorders>
            <w:shd w:val="clear" w:color="auto" w:fill="006666"/>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15</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2 000 000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1 900 000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4 </w:t>
            </w:r>
            <w:r w:rsidR="001F5620">
              <w:rPr>
                <w:rFonts w:cstheme="minorHAnsi"/>
                <w:color w:val="000000"/>
                <w:lang w:eastAsia="cs-CZ"/>
              </w:rPr>
              <w:t>951</w:t>
            </w:r>
          </w:p>
        </w:tc>
        <w:tc>
          <w:tcPr>
            <w:tcW w:w="1134" w:type="dxa"/>
            <w:tcBorders>
              <w:top w:val="nil"/>
              <w:left w:val="nil"/>
              <w:bottom w:val="single" w:sz="4" w:space="0" w:color="auto"/>
              <w:right w:val="single" w:sz="4" w:space="0" w:color="auto"/>
            </w:tcBorders>
            <w:shd w:val="clear" w:color="auto" w:fill="00CC99"/>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1134" w:type="dxa"/>
            <w:tcBorders>
              <w:top w:val="nil"/>
              <w:left w:val="nil"/>
              <w:bottom w:val="single" w:sz="4" w:space="0" w:color="auto"/>
              <w:right w:val="single" w:sz="4" w:space="0" w:color="auto"/>
            </w:tcBorders>
            <w:shd w:val="clear" w:color="auto" w:fill="006666"/>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16</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1 578 000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1 499 000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2 </w:t>
            </w:r>
            <w:r w:rsidR="001F5620">
              <w:rPr>
                <w:rFonts w:cstheme="minorHAnsi"/>
                <w:color w:val="000000"/>
                <w:lang w:eastAsia="cs-CZ"/>
              </w:rPr>
              <w:t>659</w:t>
            </w:r>
          </w:p>
        </w:tc>
        <w:tc>
          <w:tcPr>
            <w:tcW w:w="1134" w:type="dxa"/>
            <w:tcBorders>
              <w:top w:val="nil"/>
              <w:left w:val="nil"/>
              <w:bottom w:val="single" w:sz="4" w:space="0" w:color="auto"/>
              <w:right w:val="single" w:sz="4" w:space="0" w:color="auto"/>
            </w:tcBorders>
            <w:shd w:val="clear" w:color="auto" w:fill="00CC99"/>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1134" w:type="dxa"/>
            <w:tcBorders>
              <w:top w:val="nil"/>
              <w:left w:val="nil"/>
              <w:bottom w:val="single" w:sz="4" w:space="0" w:color="auto"/>
              <w:right w:val="single" w:sz="4" w:space="0" w:color="auto"/>
            </w:tcBorders>
            <w:shd w:val="clear" w:color="auto" w:fill="006666"/>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17</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24 674 722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22 207 250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25 623</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940E28">
              <w:rPr>
                <w:rFonts w:cstheme="minorHAnsi"/>
                <w:color w:val="FFFFFF" w:themeColor="background1"/>
                <w:lang w:eastAsia="cs-CZ"/>
              </w:rPr>
              <w:t>4</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4</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18</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4 921 895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4 429 70</w:t>
            </w:r>
            <w:r>
              <w:rPr>
                <w:rFonts w:cstheme="minorHAnsi"/>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6 </w:t>
            </w:r>
            <w:r w:rsidR="001F5620">
              <w:rPr>
                <w:rFonts w:cstheme="minorHAnsi"/>
                <w:color w:val="000000"/>
                <w:lang w:eastAsia="cs-CZ"/>
              </w:rPr>
              <w:t>527</w:t>
            </w:r>
          </w:p>
        </w:tc>
        <w:tc>
          <w:tcPr>
            <w:tcW w:w="1134" w:type="dxa"/>
            <w:tcBorders>
              <w:top w:val="nil"/>
              <w:left w:val="nil"/>
              <w:bottom w:val="single" w:sz="4" w:space="0" w:color="auto"/>
              <w:right w:val="single" w:sz="4" w:space="0" w:color="auto"/>
            </w:tcBorders>
            <w:shd w:val="clear" w:color="auto" w:fill="00CC99"/>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1134" w:type="dxa"/>
            <w:tcBorders>
              <w:top w:val="nil"/>
              <w:left w:val="nil"/>
              <w:bottom w:val="single" w:sz="4" w:space="0" w:color="auto"/>
              <w:right w:val="single" w:sz="4" w:space="0" w:color="auto"/>
            </w:tcBorders>
            <w:shd w:val="clear" w:color="auto" w:fill="006666"/>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19</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1 799 411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1 619 470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14 995</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940E28">
              <w:rPr>
                <w:rFonts w:cstheme="minorHAnsi"/>
                <w:color w:val="FFFFFF" w:themeColor="background1"/>
                <w:lang w:eastAsia="cs-CZ"/>
              </w:rPr>
              <w:t>4</w:t>
            </w:r>
          </w:p>
        </w:tc>
        <w:tc>
          <w:tcPr>
            <w:tcW w:w="1134" w:type="dxa"/>
            <w:tcBorders>
              <w:top w:val="nil"/>
              <w:left w:val="nil"/>
              <w:bottom w:val="single" w:sz="4" w:space="0" w:color="auto"/>
              <w:right w:val="single" w:sz="4" w:space="0" w:color="auto"/>
            </w:tcBorders>
            <w:shd w:val="clear" w:color="auto" w:fill="C00000"/>
            <w:noWrap/>
            <w:vAlign w:val="center"/>
            <w:hideMark/>
          </w:tcPr>
          <w:p w:rsidR="008B3BD3" w:rsidRPr="00940E28" w:rsidRDefault="008B3BD3" w:rsidP="006F4A70">
            <w:pPr>
              <w:spacing w:after="0" w:line="240" w:lineRule="auto"/>
              <w:contextualSpacing/>
              <w:jc w:val="center"/>
              <w:rPr>
                <w:rFonts w:cstheme="minorHAnsi"/>
                <w:color w:val="FFFFFF" w:themeColor="background1"/>
                <w:lang w:eastAsia="cs-CZ"/>
              </w:rPr>
            </w:pPr>
            <w:r w:rsidRPr="00940E28">
              <w:rPr>
                <w:rFonts w:cstheme="minorHAnsi"/>
                <w:color w:val="FFFFFF" w:themeColor="background1"/>
                <w:lang w:eastAsia="cs-CZ"/>
              </w:rPr>
              <w:t>4</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20</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21 824 318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19 641 886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A35F3D" w:rsidP="001A4965">
            <w:pPr>
              <w:spacing w:after="0" w:line="240" w:lineRule="auto"/>
              <w:ind w:right="57"/>
              <w:contextualSpacing/>
              <w:jc w:val="right"/>
              <w:rPr>
                <w:rFonts w:cstheme="minorHAnsi"/>
                <w:color w:val="000000"/>
                <w:lang w:eastAsia="cs-CZ"/>
              </w:rPr>
            </w:pPr>
            <w:r>
              <w:rPr>
                <w:rFonts w:cstheme="minorHAnsi"/>
                <w:color w:val="000000"/>
                <w:lang w:eastAsia="cs-CZ"/>
              </w:rPr>
              <w:t>*</w:t>
            </w:r>
            <w:r w:rsidR="001F5620">
              <w:rPr>
                <w:rFonts w:cstheme="minorHAnsi"/>
                <w:color w:val="000000"/>
                <w:lang w:eastAsia="cs-CZ"/>
              </w:rPr>
              <w:t>12 879</w:t>
            </w:r>
          </w:p>
        </w:tc>
        <w:tc>
          <w:tcPr>
            <w:tcW w:w="1134" w:type="dxa"/>
            <w:tcBorders>
              <w:top w:val="nil"/>
              <w:left w:val="nil"/>
              <w:bottom w:val="single" w:sz="4" w:space="0" w:color="auto"/>
              <w:right w:val="single" w:sz="4" w:space="0" w:color="auto"/>
            </w:tcBorders>
            <w:shd w:val="clear" w:color="auto" w:fill="FFC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FFC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3</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21</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11 762 354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11 174 236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22 929</w:t>
            </w:r>
          </w:p>
        </w:tc>
        <w:tc>
          <w:tcPr>
            <w:tcW w:w="1134" w:type="dxa"/>
            <w:tcBorders>
              <w:top w:val="nil"/>
              <w:left w:val="nil"/>
              <w:bottom w:val="single" w:sz="4" w:space="0" w:color="auto"/>
              <w:right w:val="single" w:sz="4" w:space="0" w:color="auto"/>
            </w:tcBorders>
            <w:shd w:val="clear" w:color="auto" w:fill="FFC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FFC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3</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000000" w:fill="FFFFFF"/>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22</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1 297 194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1 232 334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 xml:space="preserve">4 </w:t>
            </w:r>
            <w:r w:rsidR="001F5620">
              <w:rPr>
                <w:rFonts w:cstheme="minorHAnsi"/>
                <w:color w:val="000000"/>
                <w:lang w:eastAsia="cs-CZ"/>
              </w:rPr>
              <w:t>142</w:t>
            </w:r>
          </w:p>
        </w:tc>
        <w:tc>
          <w:tcPr>
            <w:tcW w:w="1134" w:type="dxa"/>
            <w:tcBorders>
              <w:top w:val="nil"/>
              <w:left w:val="nil"/>
              <w:bottom w:val="single" w:sz="4" w:space="0" w:color="auto"/>
              <w:right w:val="single" w:sz="4" w:space="0" w:color="auto"/>
            </w:tcBorders>
            <w:shd w:val="clear" w:color="auto" w:fill="FFC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nil"/>
              <w:left w:val="nil"/>
              <w:bottom w:val="single" w:sz="4" w:space="0" w:color="auto"/>
              <w:right w:val="single" w:sz="4" w:space="0" w:color="auto"/>
            </w:tcBorders>
            <w:shd w:val="clear" w:color="auto" w:fill="00CC99"/>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2</w:t>
            </w:r>
          </w:p>
        </w:tc>
      </w:tr>
      <w:tr w:rsidR="008B3BD3" w:rsidRPr="00343C22" w:rsidTr="000B29CF">
        <w:trPr>
          <w:trHeight w:val="312"/>
        </w:trPr>
        <w:tc>
          <w:tcPr>
            <w:tcW w:w="1701" w:type="dxa"/>
            <w:tcBorders>
              <w:top w:val="nil"/>
              <w:left w:val="single" w:sz="4" w:space="0" w:color="auto"/>
              <w:bottom w:val="single" w:sz="4" w:space="0" w:color="auto"/>
              <w:right w:val="single" w:sz="4" w:space="0" w:color="auto"/>
            </w:tcBorders>
            <w:shd w:val="clear" w:color="000000" w:fill="FFFFFF"/>
            <w:noWrap/>
            <w:vAlign w:val="center"/>
          </w:tcPr>
          <w:p w:rsidR="008B3BD3" w:rsidRPr="00343C22" w:rsidRDefault="008B3BD3" w:rsidP="008B3BD3">
            <w:pPr>
              <w:spacing w:after="0" w:line="240" w:lineRule="auto"/>
              <w:contextualSpacing/>
              <w:rPr>
                <w:rFonts w:cstheme="minorHAnsi"/>
              </w:rPr>
            </w:pPr>
            <w:r w:rsidRPr="00343C22">
              <w:rPr>
                <w:rFonts w:cstheme="minorHAnsi"/>
              </w:rPr>
              <w:t>Projekt č. 23</w:t>
            </w:r>
          </w:p>
        </w:tc>
        <w:tc>
          <w:tcPr>
            <w:tcW w:w="1701" w:type="dxa"/>
            <w:tcBorders>
              <w:top w:val="single" w:sz="4" w:space="0" w:color="auto"/>
              <w:left w:val="nil"/>
              <w:bottom w:val="single" w:sz="4" w:space="0" w:color="auto"/>
              <w:right w:val="single" w:sz="4" w:space="0" w:color="auto"/>
            </w:tcBorders>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921 057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rPr>
            </w:pPr>
            <w:r w:rsidRPr="00343C22">
              <w:rPr>
                <w:rFonts w:cstheme="minorHAnsi"/>
                <w:color w:val="000000"/>
              </w:rPr>
              <w:t>875 004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1A4965">
            <w:pPr>
              <w:spacing w:after="0" w:line="240" w:lineRule="auto"/>
              <w:ind w:right="57"/>
              <w:contextualSpacing/>
              <w:jc w:val="right"/>
              <w:rPr>
                <w:rFonts w:cstheme="minorHAnsi"/>
                <w:color w:val="000000"/>
                <w:lang w:eastAsia="cs-CZ"/>
              </w:rPr>
            </w:pPr>
            <w:r w:rsidRPr="00343C22">
              <w:rPr>
                <w:rFonts w:cstheme="minorHAnsi"/>
                <w:color w:val="000000"/>
                <w:lang w:eastAsia="cs-CZ"/>
              </w:rPr>
              <w:t>5 616</w:t>
            </w:r>
          </w:p>
        </w:tc>
        <w:tc>
          <w:tcPr>
            <w:tcW w:w="1134" w:type="dxa"/>
            <w:tcBorders>
              <w:top w:val="single" w:sz="4" w:space="0" w:color="auto"/>
              <w:left w:val="nil"/>
              <w:bottom w:val="single" w:sz="4" w:space="0" w:color="auto"/>
              <w:right w:val="single" w:sz="4" w:space="0" w:color="auto"/>
            </w:tcBorders>
            <w:shd w:val="clear" w:color="auto" w:fill="FFC000"/>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1134" w:type="dxa"/>
            <w:tcBorders>
              <w:top w:val="single" w:sz="4" w:space="0" w:color="auto"/>
              <w:left w:val="nil"/>
              <w:bottom w:val="single" w:sz="4" w:space="0" w:color="auto"/>
              <w:right w:val="single" w:sz="4" w:space="0" w:color="auto"/>
            </w:tcBorders>
            <w:shd w:val="clear" w:color="auto" w:fill="006666"/>
            <w:noWrap/>
            <w:vAlign w:val="center"/>
            <w:hideMark/>
          </w:tcPr>
          <w:p w:rsidR="008B3BD3" w:rsidRPr="00343C22" w:rsidRDefault="008B3BD3" w:rsidP="006F4A70">
            <w:pPr>
              <w:spacing w:after="0" w:line="240" w:lineRule="auto"/>
              <w:contextualSpacing/>
              <w:jc w:val="center"/>
              <w:rPr>
                <w:rFonts w:cstheme="minorHAnsi"/>
                <w:color w:val="000000"/>
                <w:lang w:eastAsia="cs-CZ"/>
              </w:rPr>
            </w:pPr>
            <w:r w:rsidRPr="00940E28">
              <w:rPr>
                <w:rFonts w:cstheme="minorHAnsi"/>
                <w:color w:val="FFFFFF" w:themeColor="background1"/>
                <w:lang w:eastAsia="cs-CZ"/>
              </w:rPr>
              <w:t>1</w:t>
            </w:r>
          </w:p>
        </w:tc>
      </w:tr>
      <w:tr w:rsidR="008B3BD3" w:rsidRPr="00343C22" w:rsidTr="000B29CF">
        <w:trPr>
          <w:trHeight w:val="31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0B29CF" w:rsidRDefault="008B3BD3" w:rsidP="000B29CF">
            <w:pPr>
              <w:spacing w:after="0" w:line="240" w:lineRule="auto"/>
              <w:contextualSpacing/>
              <w:rPr>
                <w:rFonts w:cstheme="minorHAnsi"/>
                <w:b/>
                <w:bCs/>
                <w:color w:val="000000"/>
                <w:lang w:eastAsia="cs-CZ"/>
              </w:rPr>
            </w:pPr>
            <w:r w:rsidRPr="000B29CF">
              <w:rPr>
                <w:rFonts w:cstheme="minorHAnsi"/>
                <w:b/>
                <w:bCs/>
                <w:color w:val="000000"/>
                <w:lang w:eastAsia="cs-CZ"/>
              </w:rPr>
              <w:t>Celkem</w:t>
            </w:r>
          </w:p>
        </w:tc>
        <w:tc>
          <w:tcPr>
            <w:tcW w:w="1701" w:type="dxa"/>
            <w:tcBorders>
              <w:top w:val="single" w:sz="4" w:space="0" w:color="auto"/>
              <w:left w:val="nil"/>
              <w:bottom w:val="single" w:sz="4" w:space="0" w:color="auto"/>
              <w:right w:val="single" w:sz="4" w:space="0" w:color="auto"/>
            </w:tcBorders>
            <w:shd w:val="clear" w:color="auto" w:fill="auto"/>
            <w:vAlign w:val="center"/>
          </w:tcPr>
          <w:p w:rsidR="008B3BD3" w:rsidRPr="000B29CF" w:rsidRDefault="008B3BD3" w:rsidP="001A4965">
            <w:pPr>
              <w:spacing w:after="0" w:line="240" w:lineRule="auto"/>
              <w:ind w:right="57"/>
              <w:contextualSpacing/>
              <w:jc w:val="right"/>
              <w:rPr>
                <w:rFonts w:cstheme="minorHAnsi"/>
                <w:b/>
                <w:bCs/>
                <w:color w:val="000000"/>
              </w:rPr>
            </w:pPr>
            <w:r w:rsidRPr="000B29CF">
              <w:rPr>
                <w:rFonts w:cstheme="minorHAnsi"/>
                <w:b/>
                <w:bCs/>
                <w:color w:val="000000"/>
              </w:rPr>
              <w:t>87 665 546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0B29CF" w:rsidRDefault="008B3BD3" w:rsidP="001A4965">
            <w:pPr>
              <w:spacing w:after="0" w:line="240" w:lineRule="auto"/>
              <w:ind w:right="57"/>
              <w:contextualSpacing/>
              <w:jc w:val="right"/>
              <w:rPr>
                <w:rFonts w:cstheme="minorHAnsi"/>
                <w:b/>
                <w:bCs/>
                <w:color w:val="000000"/>
              </w:rPr>
            </w:pPr>
            <w:r w:rsidRPr="000B29CF">
              <w:rPr>
                <w:rFonts w:cstheme="minorHAnsi"/>
                <w:b/>
                <w:bCs/>
                <w:color w:val="000000"/>
              </w:rPr>
              <w:t>79 901 791</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B3BD3" w:rsidRPr="00343C22" w:rsidRDefault="008B3BD3" w:rsidP="008B3BD3">
            <w:pPr>
              <w:spacing w:after="0" w:line="240" w:lineRule="auto"/>
              <w:contextualSpacing/>
              <w:jc w:val="right"/>
              <w:rPr>
                <w:rFonts w:cstheme="minorHAnsi"/>
                <w:color w:val="000000"/>
                <w:lang w:eastAsia="cs-CZ"/>
              </w:rPr>
            </w:pPr>
          </w:p>
        </w:tc>
      </w:tr>
    </w:tbl>
    <w:p w:rsidR="008B3BD3" w:rsidRPr="000B29CF" w:rsidRDefault="008B3BD3" w:rsidP="008B3BD3">
      <w:pPr>
        <w:spacing w:after="0" w:line="240" w:lineRule="auto"/>
        <w:contextualSpacing/>
        <w:rPr>
          <w:rFonts w:cstheme="minorHAnsi"/>
          <w:iCs/>
          <w:sz w:val="20"/>
          <w:szCs w:val="20"/>
        </w:rPr>
      </w:pPr>
      <w:r w:rsidRPr="000B29CF">
        <w:rPr>
          <w:rFonts w:cstheme="minorHAnsi"/>
          <w:b/>
          <w:bCs/>
          <w:iCs/>
          <w:sz w:val="20"/>
          <w:szCs w:val="20"/>
        </w:rPr>
        <w:t>Zdroj:</w:t>
      </w:r>
      <w:r w:rsidRPr="000B29CF">
        <w:rPr>
          <w:rFonts w:cstheme="minorHAnsi"/>
          <w:iCs/>
          <w:sz w:val="20"/>
          <w:szCs w:val="20"/>
        </w:rPr>
        <w:t xml:space="preserve"> SFDI, MS2014+</w:t>
      </w:r>
      <w:r w:rsidR="00A35F3D">
        <w:rPr>
          <w:rFonts w:cstheme="minorHAnsi"/>
          <w:iCs/>
          <w:sz w:val="20"/>
          <w:szCs w:val="20"/>
        </w:rPr>
        <w:t>;</w:t>
      </w:r>
      <w:r w:rsidRPr="000B29CF">
        <w:rPr>
          <w:rFonts w:cstheme="minorHAnsi"/>
          <w:iCs/>
          <w:sz w:val="20"/>
          <w:szCs w:val="20"/>
        </w:rPr>
        <w:t xml:space="preserve"> vlastní zpracování NKÚ</w:t>
      </w:r>
      <w:r w:rsidR="009B4C70" w:rsidRPr="000B29CF">
        <w:rPr>
          <w:rFonts w:cstheme="minorHAnsi"/>
          <w:iCs/>
          <w:sz w:val="20"/>
          <w:szCs w:val="20"/>
        </w:rPr>
        <w:t>.</w:t>
      </w:r>
    </w:p>
    <w:p w:rsidR="001F5620" w:rsidRPr="000B29CF" w:rsidRDefault="001F5620" w:rsidP="000B29CF">
      <w:pPr>
        <w:spacing w:after="0" w:line="240" w:lineRule="auto"/>
        <w:ind w:left="284" w:hanging="284"/>
        <w:contextualSpacing/>
        <w:rPr>
          <w:rFonts w:cstheme="minorHAnsi"/>
          <w:iCs/>
        </w:rPr>
      </w:pPr>
      <w:r w:rsidRPr="00A35F3D">
        <w:rPr>
          <w:rFonts w:cstheme="minorHAnsi"/>
          <w:iCs/>
          <w:color w:val="000000"/>
          <w:lang w:eastAsia="cs-CZ"/>
        </w:rPr>
        <w:t xml:space="preserve">* </w:t>
      </w:r>
      <w:r w:rsidR="00A35F3D">
        <w:rPr>
          <w:rFonts w:cstheme="minorHAnsi"/>
          <w:iCs/>
          <w:color w:val="000000"/>
          <w:lang w:eastAsia="cs-CZ"/>
        </w:rPr>
        <w:tab/>
      </w:r>
      <w:r w:rsidRPr="000B29CF">
        <w:rPr>
          <w:rFonts w:cstheme="minorHAnsi"/>
          <w:iCs/>
        </w:rPr>
        <w:t xml:space="preserve">Jednotkové náklady bez započtení nákladů na rekonstrukci lávky pro pěší a cyklisty. </w:t>
      </w:r>
    </w:p>
    <w:p w:rsidR="008B3BD3" w:rsidRPr="00343C22" w:rsidRDefault="008B3BD3" w:rsidP="008B3BD3">
      <w:pPr>
        <w:spacing w:after="0" w:line="240" w:lineRule="auto"/>
        <w:contextualSpacing/>
        <w:rPr>
          <w:rFonts w:cstheme="minorHAnsi"/>
          <w:i/>
          <w:sz w:val="12"/>
          <w:szCs w:val="12"/>
        </w:rPr>
      </w:pPr>
    </w:p>
    <w:p w:rsidR="008B3BD3" w:rsidRPr="00343C22" w:rsidRDefault="008B3BD3" w:rsidP="008B3BD3">
      <w:pPr>
        <w:spacing w:after="0" w:line="240" w:lineRule="auto"/>
        <w:contextualSpacing/>
        <w:rPr>
          <w:rFonts w:cstheme="minorHAnsi"/>
        </w:rPr>
      </w:pPr>
      <w:r w:rsidRPr="00343C22">
        <w:rPr>
          <w:rFonts w:cstheme="minorHAnsi"/>
        </w:rPr>
        <w:t>Legenda tabulek:</w:t>
      </w:r>
    </w:p>
    <w:tbl>
      <w:tblPr>
        <w:tblW w:w="7655" w:type="dxa"/>
        <w:tblInd w:w="-5" w:type="dxa"/>
        <w:tblCellMar>
          <w:left w:w="70" w:type="dxa"/>
          <w:right w:w="70" w:type="dxa"/>
        </w:tblCellMar>
        <w:tblLook w:val="04A0" w:firstRow="1" w:lastRow="0" w:firstColumn="1" w:lastColumn="0" w:noHBand="0" w:noVBand="1"/>
      </w:tblPr>
      <w:tblGrid>
        <w:gridCol w:w="545"/>
        <w:gridCol w:w="7110"/>
      </w:tblGrid>
      <w:tr w:rsidR="008B3BD3" w:rsidRPr="00343C22" w:rsidTr="000B29CF">
        <w:trPr>
          <w:trHeight w:val="283"/>
        </w:trPr>
        <w:tc>
          <w:tcPr>
            <w:tcW w:w="545" w:type="dxa"/>
            <w:tcBorders>
              <w:top w:val="single" w:sz="4" w:space="0" w:color="auto"/>
              <w:left w:val="single" w:sz="4" w:space="0" w:color="auto"/>
              <w:bottom w:val="single" w:sz="4" w:space="0" w:color="auto"/>
              <w:right w:val="single" w:sz="4" w:space="0" w:color="auto"/>
            </w:tcBorders>
            <w:shd w:val="clear" w:color="auto" w:fill="006666"/>
            <w:noWrap/>
            <w:vAlign w:val="center"/>
            <w:hideMark/>
          </w:tcPr>
          <w:p w:rsidR="008B3BD3" w:rsidRPr="00343C22" w:rsidRDefault="008B3BD3" w:rsidP="008B3BD3">
            <w:pPr>
              <w:spacing w:after="0" w:line="240" w:lineRule="auto"/>
              <w:contextualSpacing/>
              <w:jc w:val="center"/>
              <w:rPr>
                <w:rFonts w:cstheme="minorHAnsi"/>
                <w:color w:val="000000"/>
                <w:lang w:eastAsia="cs-CZ"/>
              </w:rPr>
            </w:pPr>
            <w:r w:rsidRPr="00940E28">
              <w:rPr>
                <w:rFonts w:cstheme="minorHAnsi"/>
                <w:color w:val="FFFFFF" w:themeColor="background1"/>
                <w:lang w:eastAsia="cs-CZ"/>
              </w:rPr>
              <w:t>1</w:t>
            </w:r>
          </w:p>
        </w:tc>
        <w:tc>
          <w:tcPr>
            <w:tcW w:w="7110" w:type="dxa"/>
            <w:tcBorders>
              <w:top w:val="single" w:sz="4" w:space="0" w:color="auto"/>
              <w:left w:val="nil"/>
              <w:bottom w:val="single" w:sz="4" w:space="0" w:color="auto"/>
              <w:right w:val="single" w:sz="4" w:space="0" w:color="000000"/>
            </w:tcBorders>
            <w:shd w:val="clear" w:color="auto" w:fill="auto"/>
            <w:noWrap/>
            <w:vAlign w:val="center"/>
            <w:hideMark/>
          </w:tcPr>
          <w:p w:rsidR="008B3BD3" w:rsidRPr="00343C22" w:rsidRDefault="008B3BD3" w:rsidP="008B3BD3">
            <w:pPr>
              <w:spacing w:after="0" w:line="240" w:lineRule="auto"/>
              <w:contextualSpacing/>
              <w:rPr>
                <w:rFonts w:cstheme="minorHAnsi"/>
                <w:color w:val="000000"/>
                <w:lang w:eastAsia="cs-CZ"/>
              </w:rPr>
            </w:pPr>
            <w:r w:rsidRPr="00343C22">
              <w:rPr>
                <w:rFonts w:cstheme="minorHAnsi"/>
                <w:color w:val="000000"/>
                <w:lang w:eastAsia="cs-CZ"/>
              </w:rPr>
              <w:t>Projekt je účelný/hospodárný</w:t>
            </w:r>
          </w:p>
        </w:tc>
      </w:tr>
      <w:tr w:rsidR="008B3BD3" w:rsidRPr="00343C22" w:rsidTr="000B29CF">
        <w:trPr>
          <w:trHeight w:val="283"/>
        </w:trPr>
        <w:tc>
          <w:tcPr>
            <w:tcW w:w="545" w:type="dxa"/>
            <w:tcBorders>
              <w:top w:val="nil"/>
              <w:left w:val="single" w:sz="4" w:space="0" w:color="auto"/>
              <w:bottom w:val="single" w:sz="4" w:space="0" w:color="auto"/>
              <w:right w:val="single" w:sz="4" w:space="0" w:color="auto"/>
            </w:tcBorders>
            <w:shd w:val="clear" w:color="auto" w:fill="00CC99"/>
            <w:noWrap/>
            <w:vAlign w:val="center"/>
            <w:hideMark/>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2</w:t>
            </w:r>
          </w:p>
        </w:tc>
        <w:tc>
          <w:tcPr>
            <w:tcW w:w="7110" w:type="dxa"/>
            <w:tcBorders>
              <w:top w:val="single" w:sz="4" w:space="0" w:color="auto"/>
              <w:left w:val="nil"/>
              <w:bottom w:val="single" w:sz="4" w:space="0" w:color="auto"/>
              <w:right w:val="single" w:sz="4" w:space="0" w:color="auto"/>
            </w:tcBorders>
            <w:shd w:val="clear" w:color="auto" w:fill="auto"/>
            <w:noWrap/>
            <w:vAlign w:val="center"/>
            <w:hideMark/>
          </w:tcPr>
          <w:p w:rsidR="008B3BD3" w:rsidRPr="00343C22" w:rsidRDefault="008B3BD3" w:rsidP="008B3BD3">
            <w:pPr>
              <w:spacing w:after="0" w:line="240" w:lineRule="auto"/>
              <w:contextualSpacing/>
              <w:rPr>
                <w:rFonts w:cstheme="minorHAnsi"/>
                <w:color w:val="000000"/>
                <w:lang w:eastAsia="cs-CZ"/>
              </w:rPr>
            </w:pPr>
            <w:r w:rsidRPr="00343C22">
              <w:rPr>
                <w:rFonts w:cstheme="minorHAnsi"/>
                <w:color w:val="000000"/>
                <w:lang w:eastAsia="cs-CZ"/>
              </w:rPr>
              <w:t>Projekt je účelný s mírnými nedostatky</w:t>
            </w:r>
            <w:r w:rsidR="00A35F3D">
              <w:rPr>
                <w:rFonts w:cstheme="minorHAnsi"/>
                <w:color w:val="000000"/>
                <w:lang w:eastAsia="cs-CZ"/>
              </w:rPr>
              <w:t xml:space="preserve"> </w:t>
            </w:r>
            <w:r w:rsidRPr="00343C22">
              <w:rPr>
                <w:rFonts w:cstheme="minorHAnsi"/>
                <w:color w:val="000000"/>
                <w:lang w:eastAsia="cs-CZ"/>
              </w:rPr>
              <w:t>/</w:t>
            </w:r>
            <w:r w:rsidR="00A35F3D">
              <w:rPr>
                <w:rFonts w:cstheme="minorHAnsi"/>
                <w:color w:val="000000"/>
                <w:lang w:eastAsia="cs-CZ"/>
              </w:rPr>
              <w:t xml:space="preserve"> </w:t>
            </w:r>
            <w:r w:rsidRPr="00343C22">
              <w:rPr>
                <w:rFonts w:cstheme="minorHAnsi"/>
                <w:color w:val="000000"/>
                <w:lang w:eastAsia="cs-CZ"/>
              </w:rPr>
              <w:t>hospodárný s mírnými nedostatky</w:t>
            </w:r>
          </w:p>
        </w:tc>
      </w:tr>
      <w:tr w:rsidR="008B3BD3" w:rsidRPr="00343C22" w:rsidTr="000B29CF">
        <w:trPr>
          <w:trHeight w:val="283"/>
        </w:trPr>
        <w:tc>
          <w:tcPr>
            <w:tcW w:w="545" w:type="dxa"/>
            <w:tcBorders>
              <w:top w:val="nil"/>
              <w:left w:val="single" w:sz="4" w:space="0" w:color="auto"/>
              <w:bottom w:val="single" w:sz="4" w:space="0" w:color="auto"/>
              <w:right w:val="single" w:sz="4" w:space="0" w:color="auto"/>
            </w:tcBorders>
            <w:shd w:val="clear" w:color="auto" w:fill="FFC000"/>
            <w:noWrap/>
            <w:vAlign w:val="center"/>
            <w:hideMark/>
          </w:tcPr>
          <w:p w:rsidR="008B3BD3" w:rsidRPr="00343C22" w:rsidRDefault="008B3BD3" w:rsidP="008B3BD3">
            <w:pPr>
              <w:spacing w:after="0" w:line="240" w:lineRule="auto"/>
              <w:contextualSpacing/>
              <w:jc w:val="center"/>
              <w:rPr>
                <w:rFonts w:cstheme="minorHAnsi"/>
                <w:color w:val="000000"/>
                <w:lang w:eastAsia="cs-CZ"/>
              </w:rPr>
            </w:pPr>
            <w:r w:rsidRPr="00343C22">
              <w:rPr>
                <w:rFonts w:cstheme="minorHAnsi"/>
                <w:color w:val="000000"/>
                <w:lang w:eastAsia="cs-CZ"/>
              </w:rPr>
              <w:t>3</w:t>
            </w:r>
          </w:p>
        </w:tc>
        <w:tc>
          <w:tcPr>
            <w:tcW w:w="7110" w:type="dxa"/>
            <w:tcBorders>
              <w:top w:val="single" w:sz="4" w:space="0" w:color="auto"/>
              <w:left w:val="nil"/>
              <w:bottom w:val="single" w:sz="4" w:space="0" w:color="auto"/>
              <w:right w:val="single" w:sz="4" w:space="0" w:color="auto"/>
            </w:tcBorders>
            <w:shd w:val="clear" w:color="auto" w:fill="auto"/>
            <w:noWrap/>
            <w:vAlign w:val="center"/>
            <w:hideMark/>
          </w:tcPr>
          <w:p w:rsidR="008B3BD3" w:rsidRPr="00343C22" w:rsidRDefault="008B3BD3" w:rsidP="008B3BD3">
            <w:pPr>
              <w:spacing w:after="0" w:line="240" w:lineRule="auto"/>
              <w:contextualSpacing/>
              <w:rPr>
                <w:rFonts w:cstheme="minorHAnsi"/>
                <w:color w:val="000000"/>
                <w:lang w:eastAsia="cs-CZ"/>
              </w:rPr>
            </w:pPr>
            <w:r w:rsidRPr="00343C22">
              <w:rPr>
                <w:rFonts w:cstheme="minorHAnsi"/>
                <w:color w:val="000000"/>
                <w:lang w:eastAsia="cs-CZ"/>
              </w:rPr>
              <w:t>Projekt je účelný pouze omezeně</w:t>
            </w:r>
            <w:r w:rsidR="00A35F3D">
              <w:rPr>
                <w:rFonts w:cstheme="minorHAnsi"/>
                <w:color w:val="000000"/>
                <w:lang w:eastAsia="cs-CZ"/>
              </w:rPr>
              <w:t xml:space="preserve"> </w:t>
            </w:r>
            <w:r w:rsidRPr="00343C22">
              <w:rPr>
                <w:rFonts w:cstheme="minorHAnsi"/>
                <w:color w:val="000000"/>
                <w:lang w:eastAsia="cs-CZ"/>
              </w:rPr>
              <w:t>/</w:t>
            </w:r>
            <w:r w:rsidR="00A35F3D">
              <w:rPr>
                <w:rFonts w:cstheme="minorHAnsi"/>
                <w:color w:val="000000"/>
                <w:lang w:eastAsia="cs-CZ"/>
              </w:rPr>
              <w:t xml:space="preserve"> </w:t>
            </w:r>
            <w:r w:rsidRPr="00343C22">
              <w:rPr>
                <w:rFonts w:cstheme="minorHAnsi"/>
                <w:color w:val="000000"/>
                <w:lang w:eastAsia="cs-CZ"/>
              </w:rPr>
              <w:t>hospodárný pouze omezeně</w:t>
            </w:r>
          </w:p>
        </w:tc>
      </w:tr>
      <w:tr w:rsidR="008B3BD3" w:rsidRPr="00343C22" w:rsidTr="000B29CF">
        <w:trPr>
          <w:trHeight w:val="283"/>
        </w:trPr>
        <w:tc>
          <w:tcPr>
            <w:tcW w:w="545" w:type="dxa"/>
            <w:tcBorders>
              <w:top w:val="nil"/>
              <w:left w:val="single" w:sz="4" w:space="0" w:color="auto"/>
              <w:bottom w:val="single" w:sz="4" w:space="0" w:color="auto"/>
              <w:right w:val="single" w:sz="4" w:space="0" w:color="auto"/>
            </w:tcBorders>
            <w:shd w:val="clear" w:color="auto" w:fill="C00000"/>
            <w:noWrap/>
            <w:vAlign w:val="center"/>
            <w:hideMark/>
          </w:tcPr>
          <w:p w:rsidR="008B3BD3" w:rsidRPr="00343C22" w:rsidRDefault="008B3BD3" w:rsidP="008B3BD3">
            <w:pPr>
              <w:spacing w:after="0" w:line="240" w:lineRule="auto"/>
              <w:contextualSpacing/>
              <w:jc w:val="center"/>
              <w:rPr>
                <w:rFonts w:cstheme="minorHAnsi"/>
                <w:color w:val="000000"/>
                <w:lang w:eastAsia="cs-CZ"/>
              </w:rPr>
            </w:pPr>
            <w:r w:rsidRPr="00940E28">
              <w:rPr>
                <w:rFonts w:cstheme="minorHAnsi"/>
                <w:color w:val="FFFFFF" w:themeColor="background1"/>
                <w:lang w:eastAsia="cs-CZ"/>
              </w:rPr>
              <w:t>4</w:t>
            </w:r>
          </w:p>
        </w:tc>
        <w:tc>
          <w:tcPr>
            <w:tcW w:w="7110" w:type="dxa"/>
            <w:tcBorders>
              <w:top w:val="single" w:sz="4" w:space="0" w:color="auto"/>
              <w:left w:val="nil"/>
              <w:bottom w:val="single" w:sz="4" w:space="0" w:color="auto"/>
              <w:right w:val="single" w:sz="4" w:space="0" w:color="000000"/>
            </w:tcBorders>
            <w:shd w:val="clear" w:color="auto" w:fill="auto"/>
            <w:noWrap/>
            <w:vAlign w:val="center"/>
            <w:hideMark/>
          </w:tcPr>
          <w:p w:rsidR="008B3BD3" w:rsidRPr="00343C22" w:rsidRDefault="008B3BD3" w:rsidP="008B3BD3">
            <w:pPr>
              <w:spacing w:after="0" w:line="240" w:lineRule="auto"/>
              <w:contextualSpacing/>
              <w:rPr>
                <w:rFonts w:cstheme="minorHAnsi"/>
                <w:color w:val="000000"/>
                <w:lang w:eastAsia="cs-CZ"/>
              </w:rPr>
            </w:pPr>
            <w:r w:rsidRPr="00343C22">
              <w:rPr>
                <w:rFonts w:cstheme="minorHAnsi"/>
                <w:color w:val="000000"/>
                <w:lang w:eastAsia="cs-CZ"/>
              </w:rPr>
              <w:t>Projekt je neúčelný/nehospodárný</w:t>
            </w:r>
          </w:p>
        </w:tc>
      </w:tr>
    </w:tbl>
    <w:p w:rsidR="008B3BD3" w:rsidRPr="00343C22" w:rsidRDefault="008B3BD3" w:rsidP="008B3BD3">
      <w:pPr>
        <w:spacing w:after="0" w:line="240" w:lineRule="auto"/>
        <w:contextualSpacing/>
        <w:rPr>
          <w:rFonts w:cstheme="minorHAnsi"/>
        </w:rPr>
      </w:pPr>
    </w:p>
    <w:p w:rsidR="008B3BD3" w:rsidRPr="00340F7A" w:rsidRDefault="008B3BD3" w:rsidP="008B3BD3">
      <w:pPr>
        <w:spacing w:after="0" w:line="240" w:lineRule="auto"/>
        <w:contextualSpacing/>
        <w:rPr>
          <w:rFonts w:cstheme="minorHAnsi"/>
          <w:b/>
        </w:rPr>
      </w:pPr>
    </w:p>
    <w:p w:rsidR="00CA5FAF" w:rsidRDefault="00CA5FAF" w:rsidP="008B3BD3">
      <w:pPr>
        <w:spacing w:after="0" w:line="240" w:lineRule="auto"/>
        <w:contextualSpacing/>
        <w:rPr>
          <w:rFonts w:cstheme="minorHAnsi"/>
        </w:rPr>
      </w:pPr>
    </w:p>
    <w:p w:rsidR="008B3BD3" w:rsidRDefault="008B3BD3" w:rsidP="008B3BD3">
      <w:pPr>
        <w:pStyle w:val="Titulek"/>
        <w:spacing w:after="0"/>
        <w:jc w:val="right"/>
        <w:rPr>
          <w:rFonts w:asciiTheme="minorHAnsi" w:hAnsiTheme="minorHAnsi" w:cstheme="minorHAnsi"/>
          <w:b/>
          <w:sz w:val="24"/>
          <w:szCs w:val="24"/>
        </w:rPr>
      </w:pPr>
      <w:r w:rsidRPr="00343C22">
        <w:rPr>
          <w:rFonts w:asciiTheme="minorHAnsi" w:hAnsiTheme="minorHAnsi" w:cstheme="minorHAnsi"/>
          <w:b/>
          <w:sz w:val="24"/>
          <w:szCs w:val="24"/>
        </w:rPr>
        <w:t xml:space="preserve">Příloha č. </w:t>
      </w:r>
      <w:r>
        <w:rPr>
          <w:rFonts w:asciiTheme="minorHAnsi" w:hAnsiTheme="minorHAnsi" w:cstheme="minorHAnsi"/>
          <w:b/>
          <w:sz w:val="24"/>
          <w:szCs w:val="24"/>
        </w:rPr>
        <w:t>3</w:t>
      </w:r>
    </w:p>
    <w:p w:rsidR="008B3BD3" w:rsidRDefault="008B3BD3" w:rsidP="0030176A">
      <w:pPr>
        <w:jc w:val="both"/>
      </w:pPr>
    </w:p>
    <w:p w:rsidR="0030176A" w:rsidRDefault="0030176A" w:rsidP="0030176A">
      <w:pPr>
        <w:jc w:val="both"/>
        <w:rPr>
          <w:sz w:val="24"/>
          <w:szCs w:val="24"/>
        </w:rPr>
      </w:pPr>
    </w:p>
    <w:p w:rsidR="0030176A" w:rsidRDefault="0030176A" w:rsidP="0030176A">
      <w:pPr>
        <w:jc w:val="both"/>
        <w:rPr>
          <w:sz w:val="24"/>
          <w:szCs w:val="24"/>
        </w:rPr>
      </w:pPr>
    </w:p>
    <w:p w:rsidR="007E7316" w:rsidRDefault="0030176A" w:rsidP="000B29CF">
      <w:pPr>
        <w:rPr>
          <w:rFonts w:cstheme="minorHAnsi"/>
          <w:sz w:val="24"/>
          <w:szCs w:val="24"/>
        </w:rPr>
      </w:pPr>
      <w:r w:rsidRPr="00797431">
        <w:rPr>
          <w:sz w:val="24"/>
          <w:szCs w:val="24"/>
        </w:rPr>
        <w:t>Kontrolované projekty – základní informace, zjištěné nedostatky a jejich</w:t>
      </w:r>
      <w:r>
        <w:rPr>
          <w:sz w:val="24"/>
          <w:szCs w:val="24"/>
        </w:rPr>
        <w:t xml:space="preserve"> </w:t>
      </w:r>
      <w:r>
        <w:rPr>
          <w:rFonts w:cstheme="minorHAnsi"/>
          <w:sz w:val="24"/>
          <w:szCs w:val="24"/>
        </w:rPr>
        <w:t xml:space="preserve">vyhodnocení </w:t>
      </w:r>
    </w:p>
    <w:p w:rsidR="008B3BD3" w:rsidRDefault="0030176A" w:rsidP="000B29CF">
      <w:r>
        <w:rPr>
          <w:rFonts w:cstheme="minorHAnsi"/>
          <w:sz w:val="24"/>
          <w:szCs w:val="24"/>
        </w:rPr>
        <w:t xml:space="preserve">(elektronická příloha dostupná </w:t>
      </w:r>
      <w:r w:rsidR="00C5748A" w:rsidRPr="007E7316">
        <w:rPr>
          <w:sz w:val="24"/>
          <w:szCs w:val="24"/>
        </w:rPr>
        <w:t>zde</w:t>
      </w:r>
      <w:r w:rsidR="007E7316">
        <w:rPr>
          <w:sz w:val="24"/>
          <w:szCs w:val="24"/>
        </w:rPr>
        <w:t xml:space="preserve">: </w:t>
      </w:r>
      <w:r w:rsidR="007E7316">
        <w:rPr>
          <w:sz w:val="24"/>
          <w:szCs w:val="24"/>
        </w:rPr>
        <w:br/>
      </w:r>
      <w:hyperlink r:id="rId54" w:history="1">
        <w:r w:rsidR="007E7316" w:rsidRPr="006E1759">
          <w:rPr>
            <w:rStyle w:val="Hypertextovodkaz"/>
          </w:rPr>
          <w:t>https://www.nku.cz/assets/kon-zavery/k24001-priloha3.html</w:t>
        </w:r>
      </w:hyperlink>
      <w:r w:rsidR="00314CF0">
        <w:rPr>
          <w:rFonts w:eastAsia="Arial Unicode MS" w:cstheme="minorHAnsi"/>
          <w:bCs/>
          <w:sz w:val="24"/>
          <w:szCs w:val="24"/>
          <w:lang w:eastAsia="cs-CZ"/>
        </w:rPr>
        <w:t>)</w:t>
      </w:r>
    </w:p>
    <w:p w:rsidR="008B3BD3" w:rsidRDefault="008B3BD3" w:rsidP="0030176A">
      <w:pPr>
        <w:jc w:val="both"/>
      </w:pPr>
    </w:p>
    <w:p w:rsidR="00A35F3D" w:rsidRDefault="00A35F3D">
      <w:r>
        <w:br w:type="page"/>
      </w:r>
    </w:p>
    <w:p w:rsidR="008B3BD3" w:rsidRDefault="008B3BD3" w:rsidP="008B3BD3"/>
    <w:p w:rsidR="008B3BD3" w:rsidRPr="0030176A" w:rsidRDefault="008B3BD3" w:rsidP="0030176A">
      <w:pPr>
        <w:pStyle w:val="Titulek"/>
        <w:spacing w:after="0"/>
        <w:contextualSpacing/>
        <w:jc w:val="right"/>
        <w:rPr>
          <w:rFonts w:asciiTheme="minorHAnsi" w:hAnsiTheme="minorHAnsi" w:cstheme="minorHAnsi"/>
          <w:i w:val="0"/>
          <w:color w:val="auto"/>
          <w:sz w:val="24"/>
          <w:szCs w:val="24"/>
        </w:rPr>
      </w:pPr>
      <w:r w:rsidRPr="0030176A">
        <w:rPr>
          <w:rFonts w:asciiTheme="minorHAnsi" w:hAnsiTheme="minorHAnsi" w:cstheme="minorHAnsi"/>
          <w:b/>
          <w:sz w:val="24"/>
          <w:szCs w:val="24"/>
        </w:rPr>
        <w:t>Příloha č. 4</w:t>
      </w:r>
    </w:p>
    <w:p w:rsidR="008B3BD3" w:rsidRPr="0030176A" w:rsidRDefault="008B3BD3" w:rsidP="0030176A">
      <w:pPr>
        <w:spacing w:after="0" w:line="240" w:lineRule="auto"/>
        <w:contextualSpacing/>
        <w:rPr>
          <w:rFonts w:cstheme="minorHAnsi"/>
          <w:sz w:val="24"/>
          <w:szCs w:val="24"/>
        </w:rPr>
      </w:pPr>
    </w:p>
    <w:p w:rsidR="0030176A" w:rsidRPr="0030176A" w:rsidRDefault="0030176A" w:rsidP="0030176A">
      <w:pPr>
        <w:spacing w:after="0" w:line="240" w:lineRule="auto"/>
        <w:ind w:left="-5" w:right="-12"/>
        <w:contextualSpacing/>
        <w:jc w:val="both"/>
        <w:rPr>
          <w:rFonts w:cstheme="minorHAnsi"/>
          <w:b/>
          <w:sz w:val="24"/>
          <w:szCs w:val="24"/>
        </w:rPr>
      </w:pPr>
      <w:r w:rsidRPr="0030176A">
        <w:rPr>
          <w:rFonts w:cstheme="minorHAnsi"/>
          <w:b/>
          <w:sz w:val="24"/>
          <w:szCs w:val="24"/>
        </w:rPr>
        <w:t xml:space="preserve">Pomůcka pro vyhodnocení účelnosti a hospodárnosti použití peněžních prostředků určených na podporu projektů kontrolovaných v rámci kontrolní akce č. 24/01 </w:t>
      </w:r>
      <w:r w:rsidR="00A35F3D">
        <w:rPr>
          <w:rFonts w:cstheme="minorHAnsi"/>
          <w:b/>
          <w:sz w:val="24"/>
          <w:szCs w:val="24"/>
        </w:rPr>
        <w:t xml:space="preserve">– </w:t>
      </w:r>
      <w:r w:rsidRPr="0030176A">
        <w:rPr>
          <w:rFonts w:cstheme="minorHAnsi"/>
          <w:b/>
          <w:sz w:val="24"/>
          <w:szCs w:val="24"/>
        </w:rPr>
        <w:t>Peněžní prostředky státu a Evropské unie určené na výstavbu a rekonstrukce komunikací pro pěší</w:t>
      </w:r>
    </w:p>
    <w:p w:rsidR="0030176A" w:rsidRPr="00F64246" w:rsidRDefault="0030176A" w:rsidP="0030176A">
      <w:pPr>
        <w:spacing w:after="0" w:line="240" w:lineRule="auto"/>
        <w:ind w:left="2"/>
        <w:contextualSpacing/>
        <w:rPr>
          <w:rFonts w:cstheme="minorHAnsi"/>
          <w:sz w:val="12"/>
          <w:szCs w:val="12"/>
        </w:rPr>
      </w:pPr>
    </w:p>
    <w:p w:rsidR="0030176A" w:rsidRPr="0030176A" w:rsidRDefault="0030176A" w:rsidP="0030176A">
      <w:pPr>
        <w:spacing w:after="0" w:line="240" w:lineRule="auto"/>
        <w:ind w:left="2"/>
        <w:contextualSpacing/>
        <w:jc w:val="both"/>
        <w:rPr>
          <w:rFonts w:cstheme="minorHAnsi"/>
          <w:sz w:val="12"/>
          <w:szCs w:val="12"/>
        </w:rPr>
      </w:pPr>
    </w:p>
    <w:p w:rsidR="0030176A" w:rsidRPr="0030176A" w:rsidRDefault="0030176A" w:rsidP="0030176A">
      <w:pPr>
        <w:pStyle w:val="Nadpis1"/>
        <w:spacing w:before="0" w:after="0"/>
        <w:contextualSpacing/>
        <w:jc w:val="both"/>
        <w:rPr>
          <w:rFonts w:asciiTheme="minorHAnsi" w:hAnsiTheme="minorHAnsi" w:cstheme="minorHAnsi"/>
          <w:sz w:val="24"/>
          <w:szCs w:val="24"/>
        </w:rPr>
      </w:pPr>
      <w:r w:rsidRPr="0030176A">
        <w:rPr>
          <w:rFonts w:asciiTheme="minorHAnsi" w:hAnsiTheme="minorHAnsi" w:cstheme="minorHAnsi"/>
          <w:sz w:val="24"/>
          <w:szCs w:val="24"/>
        </w:rPr>
        <w:t>1. Vyhodnocení účelnosti</w:t>
      </w:r>
    </w:p>
    <w:p w:rsidR="0030176A" w:rsidRPr="0030176A" w:rsidRDefault="0030176A" w:rsidP="0030176A">
      <w:pPr>
        <w:spacing w:after="0" w:line="240" w:lineRule="auto"/>
        <w:contextualSpacing/>
        <w:jc w:val="both"/>
        <w:rPr>
          <w:rFonts w:cstheme="minorHAnsi"/>
          <w:sz w:val="24"/>
          <w:szCs w:val="24"/>
        </w:rPr>
      </w:pPr>
    </w:p>
    <w:p w:rsidR="0030176A" w:rsidRPr="0030176A" w:rsidRDefault="0030176A" w:rsidP="0030176A">
      <w:pPr>
        <w:spacing w:after="0" w:line="240" w:lineRule="auto"/>
        <w:ind w:right="91"/>
        <w:contextualSpacing/>
        <w:jc w:val="both"/>
        <w:rPr>
          <w:rFonts w:cstheme="minorHAnsi"/>
          <w:sz w:val="24"/>
          <w:szCs w:val="24"/>
        </w:rPr>
      </w:pPr>
    </w:p>
    <w:tbl>
      <w:tblPr>
        <w:tblStyle w:val="TableGrid"/>
        <w:tblW w:w="9060" w:type="dxa"/>
        <w:tblInd w:w="7" w:type="dxa"/>
        <w:tblCellMar>
          <w:top w:w="54" w:type="dxa"/>
          <w:left w:w="108" w:type="dxa"/>
          <w:right w:w="57" w:type="dxa"/>
        </w:tblCellMar>
        <w:tblLook w:val="04A0" w:firstRow="1" w:lastRow="0" w:firstColumn="1" w:lastColumn="0" w:noHBand="0" w:noVBand="1"/>
      </w:tblPr>
      <w:tblGrid>
        <w:gridCol w:w="2823"/>
        <w:gridCol w:w="6237"/>
      </w:tblGrid>
      <w:tr w:rsidR="0030176A" w:rsidRPr="0030176A" w:rsidTr="00314CF0">
        <w:trPr>
          <w:trHeight w:val="575"/>
        </w:trPr>
        <w:tc>
          <w:tcPr>
            <w:tcW w:w="2823" w:type="dxa"/>
            <w:tcBorders>
              <w:top w:val="single" w:sz="4" w:space="0" w:color="000000"/>
              <w:left w:val="single" w:sz="4" w:space="0" w:color="000000"/>
              <w:bottom w:val="single" w:sz="4" w:space="0" w:color="000000"/>
              <w:right w:val="single" w:sz="4" w:space="0" w:color="000000"/>
            </w:tcBorders>
            <w:shd w:val="clear" w:color="auto" w:fill="E5F1FF"/>
            <w:vAlign w:val="center"/>
          </w:tcPr>
          <w:p w:rsidR="0030176A" w:rsidRPr="0030176A" w:rsidRDefault="0030176A" w:rsidP="0030176A">
            <w:pPr>
              <w:ind w:right="111"/>
              <w:contextualSpacing/>
              <w:jc w:val="both"/>
              <w:rPr>
                <w:rFonts w:cstheme="minorHAnsi"/>
                <w:sz w:val="24"/>
                <w:szCs w:val="24"/>
              </w:rPr>
            </w:pPr>
            <w:r w:rsidRPr="0030176A">
              <w:rPr>
                <w:rFonts w:cstheme="minorHAnsi"/>
                <w:b/>
                <w:sz w:val="24"/>
                <w:szCs w:val="24"/>
              </w:rPr>
              <w:t>Stupeň účelnosti projektu</w:t>
            </w:r>
          </w:p>
        </w:tc>
        <w:tc>
          <w:tcPr>
            <w:tcW w:w="6237" w:type="dxa"/>
            <w:tcBorders>
              <w:top w:val="single" w:sz="4" w:space="0" w:color="000000"/>
              <w:left w:val="single" w:sz="4" w:space="0" w:color="000000"/>
              <w:bottom w:val="single" w:sz="4" w:space="0" w:color="000000"/>
              <w:right w:val="single" w:sz="4" w:space="0" w:color="000000"/>
            </w:tcBorders>
            <w:shd w:val="clear" w:color="auto" w:fill="E5F1FF"/>
            <w:vAlign w:val="center"/>
          </w:tcPr>
          <w:p w:rsidR="0030176A" w:rsidRPr="0030176A" w:rsidRDefault="0030176A" w:rsidP="0030176A">
            <w:pPr>
              <w:ind w:right="109"/>
              <w:contextualSpacing/>
              <w:jc w:val="both"/>
              <w:rPr>
                <w:rFonts w:cstheme="minorHAnsi"/>
                <w:sz w:val="24"/>
                <w:szCs w:val="24"/>
              </w:rPr>
            </w:pPr>
            <w:r w:rsidRPr="0030176A">
              <w:rPr>
                <w:rFonts w:cstheme="minorHAnsi"/>
                <w:b/>
                <w:sz w:val="24"/>
                <w:szCs w:val="24"/>
              </w:rPr>
              <w:t xml:space="preserve">Vymezení stupně účelnosti </w:t>
            </w:r>
          </w:p>
        </w:tc>
      </w:tr>
      <w:tr w:rsidR="0030176A" w:rsidRPr="0030176A" w:rsidTr="00F65365">
        <w:trPr>
          <w:trHeight w:val="796"/>
        </w:trPr>
        <w:tc>
          <w:tcPr>
            <w:tcW w:w="2823" w:type="dxa"/>
            <w:tcBorders>
              <w:top w:val="single" w:sz="4" w:space="0" w:color="000000"/>
              <w:left w:val="single" w:sz="4" w:space="0" w:color="000000"/>
              <w:bottom w:val="single" w:sz="4" w:space="0" w:color="000000"/>
              <w:right w:val="single" w:sz="4" w:space="0" w:color="000000"/>
            </w:tcBorders>
            <w:vAlign w:val="center"/>
          </w:tcPr>
          <w:p w:rsidR="0030176A" w:rsidRPr="0030176A" w:rsidRDefault="0030176A" w:rsidP="00F64246">
            <w:pPr>
              <w:pStyle w:val="Odstavecseseznamem"/>
              <w:numPr>
                <w:ilvl w:val="0"/>
                <w:numId w:val="19"/>
              </w:numPr>
              <w:ind w:left="306" w:right="112" w:hanging="284"/>
              <w:rPr>
                <w:rFonts w:cstheme="minorHAnsi"/>
                <w:b/>
                <w:sz w:val="24"/>
                <w:szCs w:val="24"/>
              </w:rPr>
            </w:pPr>
            <w:r w:rsidRPr="0030176A">
              <w:rPr>
                <w:rFonts w:cstheme="minorHAnsi"/>
                <w:b/>
                <w:sz w:val="24"/>
                <w:szCs w:val="24"/>
              </w:rPr>
              <w:t>Projekt je účelný</w:t>
            </w:r>
          </w:p>
        </w:tc>
        <w:tc>
          <w:tcPr>
            <w:tcW w:w="6237" w:type="dxa"/>
            <w:tcBorders>
              <w:top w:val="single" w:sz="4" w:space="0" w:color="000000"/>
              <w:left w:val="single" w:sz="4" w:space="0" w:color="000000"/>
              <w:bottom w:val="single" w:sz="4" w:space="0" w:color="000000"/>
              <w:right w:val="single" w:sz="4" w:space="0" w:color="000000"/>
            </w:tcBorders>
            <w:shd w:val="clear" w:color="auto" w:fill="auto"/>
          </w:tcPr>
          <w:p w:rsidR="0030176A" w:rsidRPr="0030176A" w:rsidRDefault="0030176A" w:rsidP="0030176A">
            <w:pPr>
              <w:ind w:right="109"/>
              <w:contextualSpacing/>
              <w:jc w:val="both"/>
              <w:rPr>
                <w:rFonts w:cstheme="minorHAnsi"/>
                <w:b/>
                <w:sz w:val="24"/>
                <w:szCs w:val="24"/>
              </w:rPr>
            </w:pPr>
            <w:r w:rsidRPr="0030176A">
              <w:rPr>
                <w:rFonts w:cstheme="minorHAnsi"/>
                <w:b/>
                <w:sz w:val="24"/>
                <w:szCs w:val="24"/>
              </w:rPr>
              <w:t xml:space="preserve">Projekt netrpí žádnými nedostatky, popř. jen drobnými nedostatky bez vlivu na splnění stanovených cílů a dosažení očekávaných výsledků/přínosů projektu. Projekt prokazatelně přináší významné zvýšení bezpečnosti </w:t>
            </w:r>
            <w:r w:rsidR="006B5EF6">
              <w:rPr>
                <w:rFonts w:cstheme="minorHAnsi"/>
                <w:b/>
                <w:sz w:val="24"/>
                <w:szCs w:val="24"/>
              </w:rPr>
              <w:br/>
            </w:r>
            <w:r w:rsidRPr="0030176A">
              <w:rPr>
                <w:rFonts w:cstheme="minorHAnsi"/>
                <w:b/>
                <w:sz w:val="24"/>
                <w:szCs w:val="24"/>
              </w:rPr>
              <w:t xml:space="preserve">a mobility chodců v porovnání s původním stavem. Projekt zajistil </w:t>
            </w:r>
            <w:r w:rsidR="00D23CE5" w:rsidRPr="0030176A">
              <w:rPr>
                <w:rFonts w:cstheme="minorHAnsi"/>
                <w:b/>
                <w:sz w:val="24"/>
                <w:szCs w:val="24"/>
              </w:rPr>
              <w:t>v</w:t>
            </w:r>
            <w:r w:rsidR="00D23CE5">
              <w:rPr>
                <w:rFonts w:cstheme="minorHAnsi"/>
                <w:b/>
                <w:sz w:val="24"/>
                <w:szCs w:val="24"/>
              </w:rPr>
              <w:t xml:space="preserve"> </w:t>
            </w:r>
            <w:r w:rsidR="00D23CE5" w:rsidRPr="0030176A">
              <w:rPr>
                <w:rFonts w:cstheme="minorHAnsi"/>
                <w:b/>
                <w:sz w:val="24"/>
                <w:szCs w:val="24"/>
              </w:rPr>
              <w:t>řešeném úseku a v jeho bezprostřední blízkosti</w:t>
            </w:r>
            <w:r w:rsidR="00D23CE5">
              <w:rPr>
                <w:rFonts w:cstheme="minorHAnsi"/>
                <w:b/>
                <w:sz w:val="24"/>
                <w:szCs w:val="24"/>
              </w:rPr>
              <w:t xml:space="preserve"> </w:t>
            </w:r>
            <w:r w:rsidRPr="0030176A">
              <w:rPr>
                <w:rFonts w:cstheme="minorHAnsi"/>
                <w:b/>
                <w:sz w:val="24"/>
                <w:szCs w:val="24"/>
              </w:rPr>
              <w:t xml:space="preserve">odstranění všech kritických míst a tam, kde to </w:t>
            </w:r>
            <w:r w:rsidR="00D23CE5">
              <w:rPr>
                <w:rFonts w:cstheme="minorHAnsi"/>
                <w:b/>
                <w:sz w:val="24"/>
                <w:szCs w:val="24"/>
              </w:rPr>
              <w:t>bylo</w:t>
            </w:r>
            <w:r w:rsidRPr="0030176A">
              <w:rPr>
                <w:rFonts w:cstheme="minorHAnsi"/>
                <w:b/>
                <w:sz w:val="24"/>
                <w:szCs w:val="24"/>
              </w:rPr>
              <w:t xml:space="preserve"> možné</w:t>
            </w:r>
            <w:r w:rsidR="00D23CE5">
              <w:rPr>
                <w:rFonts w:cstheme="minorHAnsi"/>
                <w:b/>
                <w:sz w:val="24"/>
                <w:szCs w:val="24"/>
              </w:rPr>
              <w:t>,</w:t>
            </w:r>
            <w:r w:rsidRPr="0030176A">
              <w:rPr>
                <w:rFonts w:cstheme="minorHAnsi"/>
                <w:b/>
                <w:sz w:val="24"/>
                <w:szCs w:val="24"/>
              </w:rPr>
              <w:t xml:space="preserve"> i</w:t>
            </w:r>
            <w:r w:rsidR="00D23CE5">
              <w:rPr>
                <w:rFonts w:cstheme="minorHAnsi"/>
                <w:b/>
                <w:sz w:val="24"/>
                <w:szCs w:val="24"/>
              </w:rPr>
              <w:t> </w:t>
            </w:r>
            <w:r w:rsidRPr="0030176A">
              <w:rPr>
                <w:rFonts w:cstheme="minorHAnsi"/>
                <w:b/>
                <w:sz w:val="24"/>
                <w:szCs w:val="24"/>
              </w:rPr>
              <w:t>problematických míst</w:t>
            </w:r>
            <w:r w:rsidRPr="0030176A">
              <w:rPr>
                <w:rStyle w:val="Znakapoznpodarou"/>
                <w:rFonts w:cstheme="minorHAnsi"/>
                <w:b/>
                <w:sz w:val="24"/>
                <w:szCs w:val="24"/>
              </w:rPr>
              <w:footnoteReference w:id="36"/>
            </w:r>
            <w:r w:rsidRPr="0030176A">
              <w:rPr>
                <w:rFonts w:cstheme="minorHAnsi"/>
                <w:b/>
                <w:sz w:val="24"/>
                <w:szCs w:val="24"/>
              </w:rPr>
              <w:t>.</w:t>
            </w:r>
          </w:p>
          <w:p w:rsidR="0030176A" w:rsidRPr="00F64246" w:rsidRDefault="0030176A" w:rsidP="0030176A">
            <w:pPr>
              <w:ind w:right="104"/>
              <w:contextualSpacing/>
              <w:jc w:val="both"/>
              <w:rPr>
                <w:rFonts w:cstheme="minorHAnsi"/>
                <w:sz w:val="12"/>
                <w:szCs w:val="12"/>
              </w:rPr>
            </w:pPr>
          </w:p>
          <w:p w:rsidR="0030176A" w:rsidRPr="0030176A" w:rsidRDefault="0030176A" w:rsidP="0030176A">
            <w:pPr>
              <w:pStyle w:val="Odstavecseseznamem"/>
              <w:numPr>
                <w:ilvl w:val="0"/>
                <w:numId w:val="20"/>
              </w:numPr>
              <w:ind w:left="321" w:right="104" w:hanging="284"/>
              <w:jc w:val="both"/>
              <w:rPr>
                <w:rFonts w:cstheme="minorHAnsi"/>
                <w:sz w:val="24"/>
                <w:szCs w:val="24"/>
              </w:rPr>
            </w:pPr>
            <w:r w:rsidRPr="0030176A">
              <w:rPr>
                <w:rFonts w:cstheme="minorHAnsi"/>
                <w:sz w:val="24"/>
                <w:szCs w:val="24"/>
              </w:rPr>
              <w:t>Cíle projektu vedou (nebo mají předpoklad vést) k naplnění cílů příslušné výzvy a programu, popř. cílů stanovených koncepčními dokumenty. Je prokázána potřebnost projektu a jeho přínos pro plnění těchto cílů. Výsledky/přínosy projektu jsou měřitelné, popř. je lze alespoň objektivně vyhodnotit a prokázat.</w:t>
            </w:r>
          </w:p>
          <w:p w:rsidR="0030176A" w:rsidRPr="0030176A" w:rsidRDefault="0030176A" w:rsidP="0030176A">
            <w:pPr>
              <w:pStyle w:val="Odstavecseseznamem"/>
              <w:numPr>
                <w:ilvl w:val="0"/>
                <w:numId w:val="20"/>
              </w:numPr>
              <w:ind w:left="321" w:right="104" w:hanging="284"/>
              <w:jc w:val="both"/>
              <w:rPr>
                <w:rFonts w:cstheme="minorHAnsi"/>
                <w:sz w:val="24"/>
                <w:szCs w:val="24"/>
              </w:rPr>
            </w:pPr>
            <w:r w:rsidRPr="0030176A">
              <w:rPr>
                <w:rFonts w:cstheme="minorHAnsi"/>
                <w:sz w:val="24"/>
                <w:szCs w:val="24"/>
              </w:rPr>
              <w:t xml:space="preserve">Řešení zvýšení bezpečnosti a mobility je komplexní </w:t>
            </w:r>
            <w:r w:rsidR="006B5EF6">
              <w:rPr>
                <w:rFonts w:cstheme="minorHAnsi"/>
                <w:sz w:val="24"/>
                <w:szCs w:val="24"/>
              </w:rPr>
              <w:br/>
            </w:r>
            <w:r w:rsidRPr="0030176A">
              <w:rPr>
                <w:rFonts w:cstheme="minorHAnsi"/>
                <w:sz w:val="24"/>
                <w:szCs w:val="24"/>
              </w:rPr>
              <w:t>a v</w:t>
            </w:r>
            <w:r w:rsidR="005E7E7C">
              <w:rPr>
                <w:rFonts w:cstheme="minorHAnsi"/>
                <w:sz w:val="24"/>
                <w:szCs w:val="24"/>
              </w:rPr>
              <w:t xml:space="preserve"> </w:t>
            </w:r>
            <w:r w:rsidRPr="0030176A">
              <w:rPr>
                <w:rFonts w:cstheme="minorHAnsi"/>
                <w:sz w:val="24"/>
                <w:szCs w:val="24"/>
              </w:rPr>
              <w:t>rámci dané trasy odstraňuje všechna kritická místa. Řeší i problematická místa a přístupy k objektům a službám občanské vybavenosti (zastávky veřejné dopravy, úřady, obchody apod.) v blízkosti dané trasy.</w:t>
            </w:r>
          </w:p>
          <w:p w:rsidR="0030176A" w:rsidRPr="0030176A" w:rsidRDefault="0030176A" w:rsidP="0030176A">
            <w:pPr>
              <w:pStyle w:val="Odstavecseseznamem"/>
              <w:numPr>
                <w:ilvl w:val="0"/>
                <w:numId w:val="20"/>
              </w:numPr>
              <w:ind w:left="321" w:right="104" w:hanging="284"/>
              <w:jc w:val="both"/>
              <w:rPr>
                <w:rFonts w:cstheme="minorHAnsi"/>
                <w:sz w:val="24"/>
                <w:szCs w:val="24"/>
              </w:rPr>
            </w:pPr>
            <w:r w:rsidRPr="0030176A">
              <w:rPr>
                <w:rFonts w:cstheme="minorHAnsi"/>
                <w:sz w:val="24"/>
                <w:szCs w:val="24"/>
              </w:rPr>
              <w:t>Je dosaženo všech stanovených cílů a očekávaných výsledků/přínosů</w:t>
            </w:r>
            <w:r w:rsidRPr="0030176A">
              <w:rPr>
                <w:rStyle w:val="Znakapoznpodarou"/>
                <w:rFonts w:cstheme="minorHAnsi"/>
                <w:sz w:val="24"/>
                <w:szCs w:val="24"/>
              </w:rPr>
              <w:footnoteReference w:id="37"/>
            </w:r>
            <w:r w:rsidR="00D23CE5">
              <w:rPr>
                <w:rFonts w:cstheme="minorHAnsi"/>
                <w:sz w:val="24"/>
                <w:szCs w:val="24"/>
              </w:rPr>
              <w:t xml:space="preserve"> </w:t>
            </w:r>
            <w:r w:rsidR="00D23CE5" w:rsidRPr="0030176A">
              <w:rPr>
                <w:rFonts w:cstheme="minorHAnsi"/>
                <w:sz w:val="24"/>
                <w:szCs w:val="24"/>
              </w:rPr>
              <w:t>projektu</w:t>
            </w:r>
            <w:r w:rsidRPr="0030176A">
              <w:rPr>
                <w:rFonts w:cstheme="minorHAnsi"/>
                <w:sz w:val="24"/>
                <w:szCs w:val="24"/>
              </w:rPr>
              <w:t xml:space="preserve">. Realizací projektu jsou odstraněny všechny nedostatky, které jí měly být odstraněny. Splnění cílů projektu je možno ověřit </w:t>
            </w:r>
            <w:r w:rsidR="006B5EF6">
              <w:rPr>
                <w:rFonts w:cstheme="minorHAnsi"/>
                <w:sz w:val="24"/>
                <w:szCs w:val="24"/>
              </w:rPr>
              <w:br/>
            </w:r>
            <w:r w:rsidRPr="0030176A">
              <w:rPr>
                <w:rFonts w:cstheme="minorHAnsi"/>
                <w:sz w:val="24"/>
                <w:szCs w:val="24"/>
              </w:rPr>
              <w:t xml:space="preserve">(z dokladů, popř. </w:t>
            </w:r>
            <w:r w:rsidR="0092477F">
              <w:rPr>
                <w:rFonts w:cstheme="minorHAnsi"/>
                <w:sz w:val="24"/>
                <w:szCs w:val="24"/>
              </w:rPr>
              <w:t>kontrolou na místě</w:t>
            </w:r>
            <w:r w:rsidRPr="0030176A">
              <w:rPr>
                <w:rFonts w:cstheme="minorHAnsi"/>
                <w:sz w:val="24"/>
                <w:szCs w:val="24"/>
              </w:rPr>
              <w:t xml:space="preserve">). </w:t>
            </w:r>
          </w:p>
          <w:p w:rsidR="0030176A" w:rsidRPr="0030176A" w:rsidRDefault="0030176A" w:rsidP="0030176A">
            <w:pPr>
              <w:pStyle w:val="Odstavecseseznamem"/>
              <w:numPr>
                <w:ilvl w:val="0"/>
                <w:numId w:val="20"/>
              </w:numPr>
              <w:ind w:left="321" w:right="104" w:hanging="284"/>
              <w:jc w:val="both"/>
              <w:rPr>
                <w:rFonts w:cstheme="minorHAnsi"/>
                <w:sz w:val="24"/>
                <w:szCs w:val="24"/>
              </w:rPr>
            </w:pPr>
            <w:r w:rsidRPr="0030176A">
              <w:rPr>
                <w:rFonts w:cstheme="minorHAnsi"/>
                <w:sz w:val="24"/>
                <w:szCs w:val="24"/>
              </w:rPr>
              <w:lastRenderedPageBreak/>
              <w:t xml:space="preserve">Projekt byl realizován v souladu s podmínkami pro poskytnutí podpory, zejména byly dodrženy požadavky na způsobilost výdajů (podpora nebyla použita na proplacení výdajů, které neměly být zařazeny mezi </w:t>
            </w:r>
            <w:r w:rsidR="00A73F6C">
              <w:rPr>
                <w:rFonts w:cstheme="minorHAnsi"/>
                <w:sz w:val="24"/>
                <w:szCs w:val="24"/>
              </w:rPr>
              <w:t>uznatelné</w:t>
            </w:r>
            <w:r w:rsidR="00B76919">
              <w:rPr>
                <w:rFonts w:cstheme="minorHAnsi"/>
                <w:sz w:val="24"/>
                <w:szCs w:val="24"/>
              </w:rPr>
              <w:t>/</w:t>
            </w:r>
            <w:r w:rsidRPr="0030176A">
              <w:rPr>
                <w:rFonts w:cstheme="minorHAnsi"/>
                <w:sz w:val="24"/>
                <w:szCs w:val="24"/>
              </w:rPr>
              <w:t>způsobilé). Podpora mj. nebyla použita pro vybudování nebo rekonstrukci ploch určených pro parkování vozidel. Jednalo se prokazatelně o výstavbu nebo rekonstrukci, nikoliv opravu komunikace pro pěší</w:t>
            </w:r>
            <w:r w:rsidRPr="0030176A">
              <w:rPr>
                <w:rStyle w:val="Znakapoznpodarou"/>
                <w:rFonts w:cstheme="minorHAnsi"/>
                <w:sz w:val="24"/>
                <w:szCs w:val="24"/>
              </w:rPr>
              <w:footnoteReference w:id="38"/>
            </w:r>
            <w:r w:rsidRPr="0030176A">
              <w:rPr>
                <w:rFonts w:cstheme="minorHAnsi"/>
                <w:sz w:val="24"/>
                <w:szCs w:val="24"/>
              </w:rPr>
              <w:t>.</w:t>
            </w:r>
          </w:p>
          <w:p w:rsidR="0030176A" w:rsidRPr="0030176A" w:rsidRDefault="0030176A" w:rsidP="0030176A">
            <w:pPr>
              <w:pStyle w:val="Odstavecseseznamem"/>
              <w:numPr>
                <w:ilvl w:val="0"/>
                <w:numId w:val="20"/>
              </w:numPr>
              <w:ind w:left="321" w:right="104" w:hanging="284"/>
              <w:jc w:val="both"/>
              <w:rPr>
                <w:rFonts w:cstheme="minorHAnsi"/>
                <w:sz w:val="24"/>
                <w:szCs w:val="24"/>
              </w:rPr>
            </w:pPr>
            <w:r w:rsidRPr="0030176A">
              <w:rPr>
                <w:rFonts w:cstheme="minorHAnsi"/>
                <w:sz w:val="24"/>
                <w:szCs w:val="24"/>
              </w:rPr>
              <w:t>Vybudovaná nebo rekonstruovaná komunikace pro pěší splňuje následující základní parametry pro bezbariérové užívání staveb (dle vyhlášky č. 398/2009 Sb.):</w:t>
            </w:r>
          </w:p>
          <w:p w:rsidR="0030176A" w:rsidRPr="0030176A" w:rsidRDefault="0030176A" w:rsidP="0030176A">
            <w:pPr>
              <w:numPr>
                <w:ilvl w:val="0"/>
                <w:numId w:val="18"/>
              </w:numPr>
              <w:ind w:left="604" w:right="104" w:hanging="219"/>
              <w:contextualSpacing/>
              <w:jc w:val="both"/>
              <w:rPr>
                <w:rFonts w:cstheme="minorHAnsi"/>
                <w:sz w:val="24"/>
                <w:szCs w:val="24"/>
              </w:rPr>
            </w:pPr>
            <w:r w:rsidRPr="0030176A">
              <w:rPr>
                <w:rFonts w:cstheme="minorHAnsi"/>
                <w:sz w:val="24"/>
                <w:szCs w:val="24"/>
              </w:rPr>
              <w:t xml:space="preserve">komunikace má rovný, pevný povrch, upravený proti skluzu; </w:t>
            </w:r>
          </w:p>
          <w:p w:rsidR="0030176A" w:rsidRPr="0030176A" w:rsidRDefault="0030176A" w:rsidP="0030176A">
            <w:pPr>
              <w:numPr>
                <w:ilvl w:val="0"/>
                <w:numId w:val="18"/>
              </w:numPr>
              <w:ind w:left="604" w:right="104" w:hanging="219"/>
              <w:contextualSpacing/>
              <w:jc w:val="both"/>
              <w:rPr>
                <w:rFonts w:cstheme="minorHAnsi"/>
                <w:sz w:val="24"/>
                <w:szCs w:val="24"/>
              </w:rPr>
            </w:pPr>
            <w:r w:rsidRPr="0030176A">
              <w:rPr>
                <w:rFonts w:cstheme="minorHAnsi"/>
                <w:sz w:val="24"/>
                <w:szCs w:val="24"/>
              </w:rPr>
              <w:t xml:space="preserve">šířka komunikace je min. 1 500 mm, v místě zúžení min. 900 mm (případné zúžení je jen lokální a důvodné, např. u technického vybavení komunikací); </w:t>
            </w:r>
          </w:p>
          <w:p w:rsidR="0030176A" w:rsidRPr="0030176A" w:rsidRDefault="0030176A" w:rsidP="0030176A">
            <w:pPr>
              <w:numPr>
                <w:ilvl w:val="0"/>
                <w:numId w:val="18"/>
              </w:numPr>
              <w:ind w:left="604" w:right="104" w:hanging="219"/>
              <w:contextualSpacing/>
              <w:jc w:val="both"/>
              <w:rPr>
                <w:rFonts w:cstheme="minorHAnsi"/>
                <w:sz w:val="24"/>
                <w:szCs w:val="24"/>
              </w:rPr>
            </w:pPr>
            <w:r w:rsidRPr="0030176A">
              <w:rPr>
                <w:rFonts w:cstheme="minorHAnsi"/>
                <w:sz w:val="24"/>
                <w:szCs w:val="24"/>
              </w:rPr>
              <w:t>výškové rozdíly na komunikaci nejsou vyšší než 20 mm (mj. vstupy do vozovky na přechodech a místech pro přecházení);</w:t>
            </w:r>
          </w:p>
          <w:p w:rsidR="0030176A" w:rsidRPr="0030176A" w:rsidRDefault="0030176A" w:rsidP="0030176A">
            <w:pPr>
              <w:numPr>
                <w:ilvl w:val="0"/>
                <w:numId w:val="18"/>
              </w:numPr>
              <w:ind w:left="604" w:right="104" w:hanging="219"/>
              <w:contextualSpacing/>
              <w:jc w:val="both"/>
              <w:rPr>
                <w:rFonts w:cstheme="minorHAnsi"/>
                <w:sz w:val="24"/>
                <w:szCs w:val="24"/>
              </w:rPr>
            </w:pPr>
            <w:r w:rsidRPr="0030176A">
              <w:rPr>
                <w:rFonts w:cstheme="minorHAnsi"/>
                <w:sz w:val="24"/>
                <w:szCs w:val="24"/>
              </w:rPr>
              <w:t>příčný a podélný sklon komunikace zjevně nepřekračuje stanovené maximální hodnoty;</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součástí komunikace jsou přirozené, popř. umělé vodicí linie a další hmatné prvky pro nevidomé a slabozraké v celé délce řešené trasy;</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přerušení přirozené vod</w:t>
            </w:r>
            <w:r w:rsidR="00314CF0">
              <w:rPr>
                <w:rFonts w:cstheme="minorHAnsi"/>
                <w:sz w:val="24"/>
                <w:szCs w:val="24"/>
              </w:rPr>
              <w:t>i</w:t>
            </w:r>
            <w:r w:rsidRPr="0030176A">
              <w:rPr>
                <w:rFonts w:cstheme="minorHAnsi"/>
                <w:sz w:val="24"/>
                <w:szCs w:val="24"/>
              </w:rPr>
              <w:t>cí linie v délce větší než 8 m je doplněno umělou vod</w:t>
            </w:r>
            <w:r w:rsidR="00314CF0">
              <w:rPr>
                <w:rFonts w:cstheme="minorHAnsi"/>
                <w:sz w:val="24"/>
                <w:szCs w:val="24"/>
              </w:rPr>
              <w:t>i</w:t>
            </w:r>
            <w:r w:rsidRPr="0030176A">
              <w:rPr>
                <w:rFonts w:cstheme="minorHAnsi"/>
                <w:sz w:val="24"/>
                <w:szCs w:val="24"/>
              </w:rPr>
              <w:t>cí linií, umělá vodicí linie navazuje na přirozenou vodicí linii;</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v průchozím prostoru podél vodicí linie nejsou umístěny žádné překážky (např. mobiliář, sloupy, předzahrádky restaurací apod.);</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nebezpečná místa (např. vstupy na schodiště, přechody a místa pro přecházení apod.) jsou označena kontrastním varovným pásem s hmatnými prvky;</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přechody pro chodce mají sníženou chodníkovou nástupní hranu a jsou vybaveny signálním a</w:t>
            </w:r>
            <w:r w:rsidR="009E4529">
              <w:rPr>
                <w:rFonts w:cstheme="minorHAnsi"/>
                <w:sz w:val="24"/>
                <w:szCs w:val="24"/>
              </w:rPr>
              <w:t xml:space="preserve"> </w:t>
            </w:r>
            <w:r w:rsidRPr="0030176A">
              <w:rPr>
                <w:rFonts w:cstheme="minorHAnsi"/>
                <w:sz w:val="24"/>
                <w:szCs w:val="24"/>
              </w:rPr>
              <w:t xml:space="preserve">varovným pásem, popř. vodicím pásem přechodu; </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 xml:space="preserve">přechody pro chodce bez řízení světelnou signalizací </w:t>
            </w:r>
            <w:r w:rsidR="006B5EF6">
              <w:rPr>
                <w:rFonts w:cstheme="minorHAnsi"/>
                <w:sz w:val="24"/>
                <w:szCs w:val="24"/>
              </w:rPr>
              <w:br/>
            </w:r>
            <w:r w:rsidRPr="0030176A">
              <w:rPr>
                <w:rFonts w:cstheme="minorHAnsi"/>
                <w:sz w:val="24"/>
                <w:szCs w:val="24"/>
              </w:rPr>
              <w:t>a místa pro přecházení jsou nejvíce přes dva protisměrné jízdní pruhy, jejich délka je nejvýše 7 m, popř. je vybudován ochranný ostrůvek;</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t>přechody se světelnou signalizací jsou vybaveny akustickou signalizací;</w:t>
            </w:r>
          </w:p>
          <w:p w:rsidR="0030176A" w:rsidRPr="0030176A" w:rsidRDefault="0030176A" w:rsidP="0030176A">
            <w:pPr>
              <w:numPr>
                <w:ilvl w:val="0"/>
                <w:numId w:val="18"/>
              </w:numPr>
              <w:ind w:left="604" w:hanging="219"/>
              <w:contextualSpacing/>
              <w:jc w:val="both"/>
              <w:rPr>
                <w:rFonts w:cstheme="minorHAnsi"/>
                <w:sz w:val="24"/>
                <w:szCs w:val="24"/>
              </w:rPr>
            </w:pPr>
            <w:r w:rsidRPr="0030176A">
              <w:rPr>
                <w:rFonts w:cstheme="minorHAnsi"/>
                <w:sz w:val="24"/>
                <w:szCs w:val="24"/>
              </w:rPr>
              <w:lastRenderedPageBreak/>
              <w:t>přístup přes vozovku k nástupišti veřejné dopravy je zajištěn po přechodu pro chodce.</w:t>
            </w:r>
          </w:p>
        </w:tc>
      </w:tr>
      <w:tr w:rsidR="0030176A" w:rsidRPr="0030176A" w:rsidTr="00314CF0">
        <w:trPr>
          <w:trHeight w:val="575"/>
        </w:trPr>
        <w:tc>
          <w:tcPr>
            <w:tcW w:w="28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F64246" w:rsidRDefault="0030176A" w:rsidP="00F64246">
            <w:pPr>
              <w:pStyle w:val="Odstavecseseznamem"/>
              <w:numPr>
                <w:ilvl w:val="0"/>
                <w:numId w:val="19"/>
              </w:numPr>
              <w:ind w:left="306" w:right="111" w:hanging="284"/>
              <w:rPr>
                <w:rFonts w:cstheme="minorHAnsi"/>
                <w:b/>
                <w:sz w:val="24"/>
                <w:szCs w:val="24"/>
              </w:rPr>
            </w:pPr>
            <w:r w:rsidRPr="00F64246">
              <w:rPr>
                <w:rFonts w:cstheme="minorHAnsi"/>
                <w:b/>
                <w:sz w:val="24"/>
                <w:szCs w:val="24"/>
              </w:rPr>
              <w:lastRenderedPageBreak/>
              <w:t>Projekt je účelný s mírnými nedostatky</w:t>
            </w:r>
          </w:p>
        </w:tc>
        <w:tc>
          <w:tcPr>
            <w:tcW w:w="62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30176A" w:rsidRDefault="0030176A" w:rsidP="0030176A">
            <w:pPr>
              <w:ind w:right="109"/>
              <w:contextualSpacing/>
              <w:jc w:val="both"/>
              <w:rPr>
                <w:rFonts w:cstheme="minorHAnsi"/>
                <w:b/>
                <w:sz w:val="24"/>
                <w:szCs w:val="24"/>
              </w:rPr>
            </w:pPr>
            <w:r w:rsidRPr="0030176A">
              <w:rPr>
                <w:rFonts w:cstheme="minorHAnsi"/>
                <w:b/>
                <w:sz w:val="24"/>
                <w:szCs w:val="24"/>
              </w:rPr>
              <w:t>Projekt trpí nedostatky, které nejsou významné a nemají podstatný vliv na plnění jeho cílů a očekávaných výsledků/přínosů. Projekt prokazatelně přináší zvýšení bezpečnosti a mobility chodců v</w:t>
            </w:r>
            <w:r w:rsidR="00971DD8">
              <w:rPr>
                <w:rFonts w:cstheme="minorHAnsi"/>
                <w:b/>
                <w:sz w:val="24"/>
                <w:szCs w:val="24"/>
              </w:rPr>
              <w:t xml:space="preserve"> </w:t>
            </w:r>
            <w:r w:rsidRPr="0030176A">
              <w:rPr>
                <w:rFonts w:cstheme="minorHAnsi"/>
                <w:b/>
                <w:sz w:val="24"/>
                <w:szCs w:val="24"/>
              </w:rPr>
              <w:t>porovnání s</w:t>
            </w:r>
            <w:r w:rsidR="00971DD8">
              <w:rPr>
                <w:rFonts w:cstheme="minorHAnsi"/>
                <w:b/>
                <w:sz w:val="24"/>
                <w:szCs w:val="24"/>
              </w:rPr>
              <w:t xml:space="preserve"> </w:t>
            </w:r>
            <w:r w:rsidRPr="0030176A">
              <w:rPr>
                <w:rFonts w:cstheme="minorHAnsi"/>
                <w:b/>
                <w:sz w:val="24"/>
                <w:szCs w:val="24"/>
              </w:rPr>
              <w:t xml:space="preserve">původním stavem. Projekt zajistil odstranění všech kritických míst </w:t>
            </w:r>
            <w:r w:rsidR="006B5EF6">
              <w:rPr>
                <w:rFonts w:cstheme="minorHAnsi"/>
                <w:b/>
                <w:sz w:val="24"/>
                <w:szCs w:val="24"/>
              </w:rPr>
              <w:br/>
            </w:r>
            <w:r w:rsidRPr="0030176A">
              <w:rPr>
                <w:rFonts w:cstheme="minorHAnsi"/>
                <w:b/>
                <w:sz w:val="24"/>
                <w:szCs w:val="24"/>
              </w:rPr>
              <w:t>a problematických míst s významně negativním vlivem na bezpečnost a mobilitu chodců v</w:t>
            </w:r>
            <w:r w:rsidR="00971DD8">
              <w:rPr>
                <w:rFonts w:cstheme="minorHAnsi"/>
                <w:b/>
                <w:sz w:val="24"/>
                <w:szCs w:val="24"/>
              </w:rPr>
              <w:t xml:space="preserve"> </w:t>
            </w:r>
            <w:r w:rsidRPr="0030176A">
              <w:rPr>
                <w:rFonts w:cstheme="minorHAnsi"/>
                <w:b/>
                <w:sz w:val="24"/>
                <w:szCs w:val="24"/>
              </w:rPr>
              <w:t>řešeném úseku a v jeho bezprostřední blízkosti.</w:t>
            </w:r>
          </w:p>
          <w:p w:rsidR="0030176A" w:rsidRPr="00F64246" w:rsidRDefault="0030176A" w:rsidP="0030176A">
            <w:pPr>
              <w:ind w:right="109"/>
              <w:contextualSpacing/>
              <w:jc w:val="both"/>
              <w:rPr>
                <w:rFonts w:cstheme="minorHAnsi"/>
                <w:sz w:val="12"/>
                <w:szCs w:val="12"/>
              </w:rPr>
            </w:pPr>
          </w:p>
          <w:p w:rsidR="0030176A" w:rsidRPr="0030176A" w:rsidRDefault="0030176A" w:rsidP="0030176A">
            <w:pPr>
              <w:pStyle w:val="Odstavecseseznamem"/>
              <w:numPr>
                <w:ilvl w:val="0"/>
                <w:numId w:val="21"/>
              </w:numPr>
              <w:ind w:left="321" w:right="109" w:hanging="284"/>
              <w:jc w:val="both"/>
              <w:rPr>
                <w:rFonts w:cstheme="minorHAnsi"/>
                <w:sz w:val="24"/>
                <w:szCs w:val="24"/>
              </w:rPr>
            </w:pPr>
            <w:r w:rsidRPr="0030176A">
              <w:rPr>
                <w:rFonts w:cstheme="minorHAnsi"/>
                <w:sz w:val="24"/>
                <w:szCs w:val="24"/>
              </w:rPr>
              <w:t xml:space="preserve">Projekt je v souladu s cíli programu a výzvy, popř. s cíli stanovenými koncepčními dokumenty a jeho realizace prokazatelně přináší zlepšení stávajícího stavu. Potřebnost projektu je zjevná, ale významnost jeho přínosů pro zvýšení bezpečnosti a mobility chodců u některých jeho částí není prokázána, resp. není zřejmá významnost tohoto zvýšení. </w:t>
            </w:r>
          </w:p>
          <w:p w:rsidR="0030176A" w:rsidRPr="0030176A" w:rsidRDefault="0030176A" w:rsidP="0030176A">
            <w:pPr>
              <w:pStyle w:val="Odstavecseseznamem"/>
              <w:numPr>
                <w:ilvl w:val="0"/>
                <w:numId w:val="21"/>
              </w:numPr>
              <w:ind w:left="321" w:right="109" w:hanging="284"/>
              <w:jc w:val="both"/>
              <w:rPr>
                <w:rFonts w:cstheme="minorHAnsi"/>
                <w:sz w:val="24"/>
                <w:szCs w:val="24"/>
              </w:rPr>
            </w:pPr>
            <w:r w:rsidRPr="0030176A">
              <w:rPr>
                <w:rFonts w:cstheme="minorHAnsi"/>
                <w:sz w:val="24"/>
                <w:szCs w:val="24"/>
              </w:rPr>
              <w:t xml:space="preserve">Řešení zvýšení bezpečnosti a mobility je komplexní </w:t>
            </w:r>
            <w:r w:rsidR="006B5EF6">
              <w:rPr>
                <w:rFonts w:cstheme="minorHAnsi"/>
                <w:sz w:val="24"/>
                <w:szCs w:val="24"/>
              </w:rPr>
              <w:br/>
            </w:r>
            <w:r w:rsidRPr="0030176A">
              <w:rPr>
                <w:rFonts w:cstheme="minorHAnsi"/>
                <w:sz w:val="24"/>
                <w:szCs w:val="24"/>
              </w:rPr>
              <w:t xml:space="preserve">a </w:t>
            </w:r>
            <w:r w:rsidR="00D23CE5" w:rsidRPr="0030176A">
              <w:rPr>
                <w:rFonts w:cstheme="minorHAnsi"/>
                <w:sz w:val="24"/>
                <w:szCs w:val="24"/>
              </w:rPr>
              <w:t xml:space="preserve">projekt </w:t>
            </w:r>
            <w:r w:rsidRPr="0030176A">
              <w:rPr>
                <w:rFonts w:cstheme="minorHAnsi"/>
                <w:sz w:val="24"/>
                <w:szCs w:val="24"/>
              </w:rPr>
              <w:t>v rámci dané trasy nevynechává žádná kritická místa ani problematická místa s významným vlivem na zajištění bezpečnosti a mobility chodců. Některé nedostatky ale odstraňuje jen částečně. Vliv těchto přetrvávajících nedostatků na bezpečnost a mobilitu chodců není významný.</w:t>
            </w:r>
          </w:p>
          <w:p w:rsidR="0030176A" w:rsidRPr="0030176A" w:rsidRDefault="0030176A" w:rsidP="0030176A">
            <w:pPr>
              <w:pStyle w:val="Odstavecseseznamem"/>
              <w:numPr>
                <w:ilvl w:val="0"/>
                <w:numId w:val="21"/>
              </w:numPr>
              <w:ind w:left="321" w:right="109" w:hanging="284"/>
              <w:jc w:val="both"/>
              <w:rPr>
                <w:rFonts w:cstheme="minorHAnsi"/>
                <w:sz w:val="24"/>
                <w:szCs w:val="24"/>
              </w:rPr>
            </w:pPr>
            <w:r w:rsidRPr="0030176A">
              <w:rPr>
                <w:rFonts w:cstheme="minorHAnsi"/>
                <w:sz w:val="24"/>
                <w:szCs w:val="24"/>
              </w:rPr>
              <w:t xml:space="preserve">Realizací projektu bylo dosaženo stanovených cílů </w:t>
            </w:r>
            <w:r w:rsidR="006B5EF6">
              <w:rPr>
                <w:rFonts w:cstheme="minorHAnsi"/>
                <w:sz w:val="24"/>
                <w:szCs w:val="24"/>
              </w:rPr>
              <w:br/>
            </w:r>
            <w:r w:rsidRPr="0030176A">
              <w:rPr>
                <w:rFonts w:cstheme="minorHAnsi"/>
                <w:sz w:val="24"/>
                <w:szCs w:val="24"/>
              </w:rPr>
              <w:t>a očekávaných výsledků/přínosů s mírnými nedostatky</w:t>
            </w:r>
            <w:r w:rsidRPr="0030176A">
              <w:rPr>
                <w:rStyle w:val="Znakapoznpodarou"/>
                <w:rFonts w:cstheme="minorHAnsi"/>
                <w:sz w:val="24"/>
                <w:szCs w:val="24"/>
              </w:rPr>
              <w:footnoteReference w:id="39"/>
            </w:r>
            <w:r w:rsidRPr="0030176A">
              <w:rPr>
                <w:rFonts w:cstheme="minorHAnsi"/>
                <w:sz w:val="24"/>
                <w:szCs w:val="24"/>
              </w:rPr>
              <w:t>. Dosažení některých cílů a očekávaných výsledků/přínosů není zcela prokázáno.</w:t>
            </w:r>
          </w:p>
          <w:p w:rsidR="0030176A" w:rsidRPr="0030176A" w:rsidRDefault="0030176A" w:rsidP="0030176A">
            <w:pPr>
              <w:pStyle w:val="Odstavecseseznamem"/>
              <w:numPr>
                <w:ilvl w:val="0"/>
                <w:numId w:val="21"/>
              </w:numPr>
              <w:ind w:left="321" w:right="109" w:hanging="284"/>
              <w:jc w:val="both"/>
              <w:rPr>
                <w:rFonts w:cstheme="minorHAnsi"/>
                <w:sz w:val="24"/>
                <w:szCs w:val="24"/>
              </w:rPr>
            </w:pPr>
            <w:r w:rsidRPr="0030176A">
              <w:rPr>
                <w:rFonts w:cstheme="minorHAnsi"/>
                <w:sz w:val="24"/>
                <w:szCs w:val="24"/>
              </w:rPr>
              <w:t>Projekt byl realizován v</w:t>
            </w:r>
            <w:r w:rsidR="00EC5FB4">
              <w:rPr>
                <w:rFonts w:cstheme="minorHAnsi"/>
                <w:sz w:val="24"/>
                <w:szCs w:val="24"/>
              </w:rPr>
              <w:t xml:space="preserve"> </w:t>
            </w:r>
            <w:r w:rsidRPr="0030176A">
              <w:rPr>
                <w:rFonts w:cstheme="minorHAnsi"/>
                <w:sz w:val="24"/>
                <w:szCs w:val="24"/>
              </w:rPr>
              <w:t>souladu s podmínkami pro poskytnutí podpory, požadavky na způsobilost výdajů byly dodrženy s drobnými nedostatky, které neměly vliv na dosažení cílů projektu. Podpora nebyla použita pro vybudování nebo rekonstrukci ploch určených pro parkování vozidel. Jednalo se o výstavbu nebo rekonstrukci, nikoliv opravu komunikace pro pěší.</w:t>
            </w:r>
          </w:p>
          <w:p w:rsidR="0030176A" w:rsidRPr="0030176A" w:rsidRDefault="0030176A" w:rsidP="0030176A">
            <w:pPr>
              <w:pStyle w:val="Odstavecseseznamem"/>
              <w:numPr>
                <w:ilvl w:val="0"/>
                <w:numId w:val="21"/>
              </w:numPr>
              <w:ind w:left="321" w:right="104" w:hanging="284"/>
              <w:jc w:val="both"/>
              <w:rPr>
                <w:rFonts w:cstheme="minorHAnsi"/>
                <w:sz w:val="24"/>
                <w:szCs w:val="24"/>
              </w:rPr>
            </w:pPr>
            <w:r w:rsidRPr="0030176A">
              <w:rPr>
                <w:rFonts w:cstheme="minorHAnsi"/>
                <w:sz w:val="24"/>
                <w:szCs w:val="24"/>
              </w:rPr>
              <w:t>Vybudovaná nebo rekonstruovaná komunikace pro pěší splňuje základní parametry pro bezbariérové užívání staveb (dle vyhlášky č. 398/2009 Sb.) s</w:t>
            </w:r>
            <w:r w:rsidR="00971DD8">
              <w:rPr>
                <w:rFonts w:cstheme="minorHAnsi"/>
                <w:sz w:val="24"/>
                <w:szCs w:val="24"/>
              </w:rPr>
              <w:t xml:space="preserve"> </w:t>
            </w:r>
            <w:r w:rsidRPr="0030176A">
              <w:rPr>
                <w:rFonts w:cstheme="minorHAnsi"/>
                <w:sz w:val="24"/>
                <w:szCs w:val="24"/>
              </w:rPr>
              <w:t>drobnými odchylkami, které nemají významně negativní vliv na bezpečnost a mobilitu chodců.</w:t>
            </w:r>
          </w:p>
        </w:tc>
      </w:tr>
      <w:tr w:rsidR="0030176A" w:rsidRPr="0030176A" w:rsidTr="00314CF0">
        <w:trPr>
          <w:trHeight w:val="575"/>
        </w:trPr>
        <w:tc>
          <w:tcPr>
            <w:tcW w:w="28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F64246" w:rsidRDefault="0030176A" w:rsidP="00F64246">
            <w:pPr>
              <w:pStyle w:val="Odstavecseseznamem"/>
              <w:numPr>
                <w:ilvl w:val="0"/>
                <w:numId w:val="19"/>
              </w:numPr>
              <w:ind w:left="306" w:right="111" w:hanging="284"/>
              <w:rPr>
                <w:rFonts w:cstheme="minorHAnsi"/>
                <w:b/>
                <w:sz w:val="24"/>
                <w:szCs w:val="24"/>
              </w:rPr>
            </w:pPr>
            <w:r w:rsidRPr="00F64246">
              <w:rPr>
                <w:rFonts w:cstheme="minorHAnsi"/>
                <w:b/>
                <w:sz w:val="24"/>
                <w:szCs w:val="24"/>
              </w:rPr>
              <w:lastRenderedPageBreak/>
              <w:t>Projekt je účelný pouze omezeně</w:t>
            </w:r>
          </w:p>
        </w:tc>
        <w:tc>
          <w:tcPr>
            <w:tcW w:w="62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30176A" w:rsidRDefault="0030176A" w:rsidP="0030176A">
            <w:pPr>
              <w:ind w:right="109"/>
              <w:contextualSpacing/>
              <w:jc w:val="both"/>
              <w:rPr>
                <w:rFonts w:cstheme="minorHAnsi"/>
                <w:b/>
                <w:sz w:val="24"/>
                <w:szCs w:val="24"/>
              </w:rPr>
            </w:pPr>
            <w:r w:rsidRPr="0030176A">
              <w:rPr>
                <w:rFonts w:cstheme="minorHAnsi"/>
                <w:b/>
                <w:sz w:val="24"/>
                <w:szCs w:val="24"/>
              </w:rPr>
              <w:t>Projekt (popř. některé jeho části) trpí nedostatky, které způsobují nebo mohou způsobit nižší úroveň plnění jeho cílů a očekávaných výsledků/přínosů, popř. neplnění některých z nich. Projekt prokazatelně přináší alespoň dílčí zvýšení bezpečnosti a mobility chodců v</w:t>
            </w:r>
            <w:r w:rsidR="00971DD8">
              <w:rPr>
                <w:rFonts w:cstheme="minorHAnsi"/>
                <w:b/>
                <w:sz w:val="24"/>
                <w:szCs w:val="24"/>
              </w:rPr>
              <w:t xml:space="preserve"> </w:t>
            </w:r>
            <w:r w:rsidRPr="0030176A">
              <w:rPr>
                <w:rFonts w:cstheme="minorHAnsi"/>
                <w:b/>
                <w:sz w:val="24"/>
                <w:szCs w:val="24"/>
              </w:rPr>
              <w:t>porovnání s</w:t>
            </w:r>
            <w:r w:rsidR="00971DD8">
              <w:rPr>
                <w:rFonts w:cstheme="minorHAnsi"/>
                <w:b/>
                <w:sz w:val="24"/>
                <w:szCs w:val="24"/>
              </w:rPr>
              <w:t xml:space="preserve"> </w:t>
            </w:r>
            <w:r w:rsidRPr="0030176A">
              <w:rPr>
                <w:rFonts w:cstheme="minorHAnsi"/>
                <w:b/>
                <w:sz w:val="24"/>
                <w:szCs w:val="24"/>
              </w:rPr>
              <w:t>původním stavem. Projekt zajistil alespoň dílčí řešení všech kritických míst v řešeném úseku a jeho bezprostřední blízkosti, některá problematická místa nebyla řešena.</w:t>
            </w:r>
          </w:p>
          <w:p w:rsidR="0030176A" w:rsidRPr="00F64246" w:rsidRDefault="0030176A" w:rsidP="0030176A">
            <w:pPr>
              <w:ind w:right="104"/>
              <w:contextualSpacing/>
              <w:jc w:val="both"/>
              <w:rPr>
                <w:rFonts w:cstheme="minorHAnsi"/>
                <w:b/>
                <w:sz w:val="12"/>
                <w:szCs w:val="12"/>
              </w:rPr>
            </w:pPr>
          </w:p>
          <w:p w:rsidR="0030176A" w:rsidRPr="0030176A" w:rsidRDefault="0030176A" w:rsidP="0030176A">
            <w:pPr>
              <w:pStyle w:val="Odstavecseseznamem"/>
              <w:numPr>
                <w:ilvl w:val="0"/>
                <w:numId w:val="22"/>
              </w:numPr>
              <w:ind w:left="321" w:right="109" w:hanging="321"/>
              <w:jc w:val="both"/>
              <w:rPr>
                <w:rFonts w:cstheme="minorHAnsi"/>
                <w:sz w:val="24"/>
                <w:szCs w:val="24"/>
              </w:rPr>
            </w:pPr>
            <w:r w:rsidRPr="0030176A">
              <w:rPr>
                <w:rFonts w:cstheme="minorHAnsi"/>
                <w:sz w:val="24"/>
                <w:szCs w:val="24"/>
              </w:rPr>
              <w:t xml:space="preserve">Projekt je v souladu s cíli programu a výzvy, popř. s cíli stanovenými koncepčními dokumenty, ale jeho realizace přináší jen částečné zlepšení </w:t>
            </w:r>
            <w:r w:rsidR="002C49E3">
              <w:rPr>
                <w:rFonts w:cstheme="minorHAnsi"/>
                <w:sz w:val="24"/>
                <w:szCs w:val="24"/>
              </w:rPr>
              <w:t>původního</w:t>
            </w:r>
            <w:r w:rsidRPr="0030176A">
              <w:rPr>
                <w:rFonts w:cstheme="minorHAnsi"/>
                <w:sz w:val="24"/>
                <w:szCs w:val="24"/>
              </w:rPr>
              <w:t xml:space="preserve"> stavu. Vedle těchto cílů projekt řeší i další</w:t>
            </w:r>
            <w:r w:rsidR="002C49E3">
              <w:rPr>
                <w:rFonts w:cstheme="minorHAnsi"/>
                <w:sz w:val="24"/>
                <w:szCs w:val="24"/>
              </w:rPr>
              <w:t>,</w:t>
            </w:r>
            <w:r w:rsidRPr="0030176A">
              <w:rPr>
                <w:rFonts w:cstheme="minorHAnsi"/>
                <w:sz w:val="24"/>
                <w:szCs w:val="24"/>
              </w:rPr>
              <w:t xml:space="preserve"> dodatečné požadavky příjemce podpory (např. atraktivita, nadstandardní technické či umělecké řešení, vzhled obce atd.). Potřebnost projektu nebo některých jeho částí </w:t>
            </w:r>
            <w:r w:rsidR="006B5EF6">
              <w:rPr>
                <w:rFonts w:cstheme="minorHAnsi"/>
                <w:sz w:val="24"/>
                <w:szCs w:val="24"/>
              </w:rPr>
              <w:br/>
            </w:r>
            <w:r w:rsidRPr="0030176A">
              <w:rPr>
                <w:rFonts w:cstheme="minorHAnsi"/>
                <w:sz w:val="24"/>
                <w:szCs w:val="24"/>
              </w:rPr>
              <w:t xml:space="preserve">a významnost jeho přínosů pro zvýšení bezpečnosti </w:t>
            </w:r>
            <w:r w:rsidR="006B5EF6">
              <w:rPr>
                <w:rFonts w:cstheme="minorHAnsi"/>
                <w:sz w:val="24"/>
                <w:szCs w:val="24"/>
              </w:rPr>
              <w:br/>
            </w:r>
            <w:r w:rsidRPr="0030176A">
              <w:rPr>
                <w:rFonts w:cstheme="minorHAnsi"/>
                <w:sz w:val="24"/>
                <w:szCs w:val="24"/>
              </w:rPr>
              <w:t xml:space="preserve">a mobility chodců nejsou zcela prokázány. </w:t>
            </w:r>
          </w:p>
          <w:p w:rsidR="0030176A" w:rsidRPr="0030176A" w:rsidRDefault="0030176A" w:rsidP="0030176A">
            <w:pPr>
              <w:pStyle w:val="Odstavecseseznamem"/>
              <w:numPr>
                <w:ilvl w:val="0"/>
                <w:numId w:val="22"/>
              </w:numPr>
              <w:ind w:left="321" w:right="109" w:hanging="284"/>
              <w:jc w:val="both"/>
              <w:rPr>
                <w:rFonts w:cstheme="minorHAnsi"/>
                <w:sz w:val="24"/>
                <w:szCs w:val="24"/>
              </w:rPr>
            </w:pPr>
            <w:r w:rsidRPr="0030176A">
              <w:rPr>
                <w:rFonts w:cstheme="minorHAnsi"/>
                <w:sz w:val="24"/>
                <w:szCs w:val="24"/>
              </w:rPr>
              <w:t xml:space="preserve">Řešení zvýšení bezpečnosti a mobility není komplexní </w:t>
            </w:r>
            <w:r w:rsidR="006B5EF6">
              <w:rPr>
                <w:rFonts w:cstheme="minorHAnsi"/>
                <w:sz w:val="24"/>
                <w:szCs w:val="24"/>
              </w:rPr>
              <w:br/>
            </w:r>
            <w:r w:rsidRPr="0030176A">
              <w:rPr>
                <w:rFonts w:cstheme="minorHAnsi"/>
                <w:sz w:val="24"/>
                <w:szCs w:val="24"/>
              </w:rPr>
              <w:t>a v rámci dané trasy zůstávají některá problematická místa, a to bez náležitého zdůvodnění. Projekt řeší především jednu z oblastí (např. původní komunikace pro pěší již zajišťovala oddělení chodců od ostatního dopravního provozu a její rekonstrukce nepřináší další významnější zvýšení bezpečnosti, jen zlepšení podmínek pro bezbariérové užívání staveb).</w:t>
            </w:r>
          </w:p>
          <w:p w:rsidR="0030176A" w:rsidRPr="0030176A" w:rsidRDefault="0030176A" w:rsidP="0030176A">
            <w:pPr>
              <w:pStyle w:val="Odstavecseseznamem"/>
              <w:numPr>
                <w:ilvl w:val="0"/>
                <w:numId w:val="22"/>
              </w:numPr>
              <w:ind w:left="321" w:right="109" w:hanging="284"/>
              <w:jc w:val="both"/>
              <w:rPr>
                <w:rFonts w:cstheme="minorHAnsi"/>
                <w:sz w:val="24"/>
                <w:szCs w:val="24"/>
              </w:rPr>
            </w:pPr>
            <w:r w:rsidRPr="0030176A">
              <w:rPr>
                <w:rFonts w:cstheme="minorHAnsi"/>
                <w:sz w:val="24"/>
                <w:szCs w:val="24"/>
              </w:rPr>
              <w:t xml:space="preserve">Realizací projektu bylo pouze částečně dosaženo jeho cílů a očekávaných výsledků/přínosů. Neodstraněny zůstávají některé nedostatky negativně ovlivňující bezpečnost </w:t>
            </w:r>
            <w:r w:rsidR="006B5EF6">
              <w:rPr>
                <w:rFonts w:cstheme="minorHAnsi"/>
                <w:sz w:val="24"/>
                <w:szCs w:val="24"/>
              </w:rPr>
              <w:br/>
            </w:r>
            <w:r w:rsidRPr="0030176A">
              <w:rPr>
                <w:rFonts w:cstheme="minorHAnsi"/>
                <w:sz w:val="24"/>
                <w:szCs w:val="24"/>
              </w:rPr>
              <w:t xml:space="preserve">a mobilitu chodců. </w:t>
            </w:r>
          </w:p>
          <w:p w:rsidR="0030176A" w:rsidRPr="0030176A" w:rsidRDefault="0030176A" w:rsidP="0030176A">
            <w:pPr>
              <w:pStyle w:val="Odstavecseseznamem"/>
              <w:numPr>
                <w:ilvl w:val="0"/>
                <w:numId w:val="22"/>
              </w:numPr>
              <w:ind w:left="321" w:right="104" w:hanging="284"/>
              <w:jc w:val="both"/>
              <w:rPr>
                <w:rFonts w:cstheme="minorHAnsi"/>
                <w:sz w:val="24"/>
                <w:szCs w:val="24"/>
              </w:rPr>
            </w:pPr>
            <w:r w:rsidRPr="0030176A">
              <w:rPr>
                <w:rFonts w:cstheme="minorHAnsi"/>
                <w:sz w:val="24"/>
                <w:szCs w:val="24"/>
              </w:rPr>
              <w:t>Při realizaci projektu nebyly dodrženy některé podmínky pro poskytnutí podpory, způsobilost některých výdajů nebyla zcela prokázána. Nedostatky ale nebrání alespoň částečnému dosažení cílů a očekávaných výsledků/přínosů projektu.</w:t>
            </w:r>
          </w:p>
          <w:p w:rsidR="0030176A" w:rsidRPr="0030176A" w:rsidRDefault="0030176A" w:rsidP="0030176A">
            <w:pPr>
              <w:pStyle w:val="Odstavecseseznamem"/>
              <w:numPr>
                <w:ilvl w:val="0"/>
                <w:numId w:val="22"/>
              </w:numPr>
              <w:ind w:left="321" w:right="104" w:hanging="284"/>
              <w:jc w:val="both"/>
              <w:rPr>
                <w:rFonts w:cstheme="minorHAnsi"/>
                <w:sz w:val="24"/>
                <w:szCs w:val="24"/>
              </w:rPr>
            </w:pPr>
            <w:r w:rsidRPr="0030176A">
              <w:rPr>
                <w:rFonts w:cstheme="minorHAnsi"/>
                <w:sz w:val="24"/>
                <w:szCs w:val="24"/>
              </w:rPr>
              <w:t>Vybudovaná nebo rekonstruovaná komunikace pro pěší splňuje základní parametry pro bezbariérové užívání staveb (dle vyhlášky č. 398/2009 Sb.) s odchylkami, které mohou negativně ovlivnit bezpečnost a mobilitu chodců.</w:t>
            </w:r>
          </w:p>
        </w:tc>
      </w:tr>
      <w:tr w:rsidR="0030176A" w:rsidRPr="0030176A" w:rsidTr="00F65365">
        <w:trPr>
          <w:trHeight w:val="1079"/>
        </w:trPr>
        <w:tc>
          <w:tcPr>
            <w:tcW w:w="2823" w:type="dxa"/>
            <w:tcBorders>
              <w:top w:val="single" w:sz="4" w:space="0" w:color="000000"/>
              <w:left w:val="single" w:sz="4" w:space="0" w:color="000000"/>
              <w:bottom w:val="single" w:sz="4" w:space="0" w:color="000000"/>
              <w:right w:val="single" w:sz="4" w:space="0" w:color="000000"/>
            </w:tcBorders>
            <w:vAlign w:val="center"/>
          </w:tcPr>
          <w:p w:rsidR="0030176A" w:rsidRPr="00F64246" w:rsidRDefault="0030176A" w:rsidP="00F64246">
            <w:pPr>
              <w:pStyle w:val="Odstavecseseznamem"/>
              <w:numPr>
                <w:ilvl w:val="0"/>
                <w:numId w:val="19"/>
              </w:numPr>
              <w:ind w:left="306" w:right="112" w:hanging="284"/>
              <w:rPr>
                <w:rFonts w:cstheme="minorHAnsi"/>
                <w:b/>
                <w:sz w:val="24"/>
                <w:szCs w:val="24"/>
              </w:rPr>
            </w:pPr>
            <w:r w:rsidRPr="00F64246">
              <w:rPr>
                <w:rFonts w:cstheme="minorHAnsi"/>
                <w:b/>
                <w:sz w:val="24"/>
                <w:szCs w:val="24"/>
              </w:rPr>
              <w:t>Projekt je neúčelný</w:t>
            </w:r>
          </w:p>
        </w:tc>
        <w:tc>
          <w:tcPr>
            <w:tcW w:w="6237" w:type="dxa"/>
            <w:tcBorders>
              <w:top w:val="single" w:sz="4" w:space="0" w:color="000000"/>
              <w:left w:val="single" w:sz="4" w:space="0" w:color="000000"/>
              <w:bottom w:val="single" w:sz="4" w:space="0" w:color="000000"/>
              <w:right w:val="single" w:sz="4" w:space="0" w:color="000000"/>
            </w:tcBorders>
          </w:tcPr>
          <w:p w:rsidR="0030176A" w:rsidRPr="0030176A" w:rsidRDefault="0030176A" w:rsidP="0030176A">
            <w:pPr>
              <w:ind w:right="109"/>
              <w:contextualSpacing/>
              <w:jc w:val="both"/>
              <w:rPr>
                <w:rFonts w:cstheme="minorHAnsi"/>
                <w:b/>
                <w:sz w:val="24"/>
                <w:szCs w:val="24"/>
              </w:rPr>
            </w:pPr>
            <w:r w:rsidRPr="0030176A">
              <w:rPr>
                <w:rFonts w:cstheme="minorHAnsi"/>
                <w:b/>
                <w:sz w:val="24"/>
                <w:szCs w:val="24"/>
              </w:rPr>
              <w:t>Projekt trpí závažnými nedostatky, které ohrožují plnění jeho cílů a dosažení jeho očekávaných výsledků/přínosů, popř. byl neúčelný od samého počátku</w:t>
            </w:r>
            <w:r w:rsidRPr="0030176A">
              <w:rPr>
                <w:rStyle w:val="Znakapoznpodarou"/>
                <w:rFonts w:cstheme="minorHAnsi"/>
                <w:b/>
                <w:sz w:val="24"/>
                <w:szCs w:val="24"/>
              </w:rPr>
              <w:footnoteReference w:id="40"/>
            </w:r>
            <w:r w:rsidRPr="0030176A">
              <w:rPr>
                <w:rFonts w:cstheme="minorHAnsi"/>
                <w:b/>
                <w:sz w:val="24"/>
                <w:szCs w:val="24"/>
              </w:rPr>
              <w:t>. Projekt nepřináší zvýšení bezpečnosti a mobility chodců v</w:t>
            </w:r>
            <w:r w:rsidR="00971DD8">
              <w:rPr>
                <w:rFonts w:cstheme="minorHAnsi"/>
                <w:b/>
                <w:sz w:val="24"/>
                <w:szCs w:val="24"/>
              </w:rPr>
              <w:t xml:space="preserve"> </w:t>
            </w:r>
            <w:r w:rsidRPr="0030176A">
              <w:rPr>
                <w:rFonts w:cstheme="minorHAnsi"/>
                <w:b/>
                <w:sz w:val="24"/>
                <w:szCs w:val="24"/>
              </w:rPr>
              <w:t xml:space="preserve">porovnání </w:t>
            </w:r>
            <w:r w:rsidR="00971DD8">
              <w:rPr>
                <w:rFonts w:cstheme="minorHAnsi"/>
                <w:b/>
                <w:sz w:val="24"/>
                <w:szCs w:val="24"/>
              </w:rPr>
              <w:br/>
            </w:r>
            <w:r w:rsidRPr="0030176A">
              <w:rPr>
                <w:rFonts w:cstheme="minorHAnsi"/>
                <w:b/>
                <w:sz w:val="24"/>
                <w:szCs w:val="24"/>
              </w:rPr>
              <w:t>s</w:t>
            </w:r>
            <w:r w:rsidR="00971DD8">
              <w:rPr>
                <w:rFonts w:cstheme="minorHAnsi"/>
                <w:b/>
                <w:sz w:val="24"/>
                <w:szCs w:val="24"/>
              </w:rPr>
              <w:t xml:space="preserve"> </w:t>
            </w:r>
            <w:r w:rsidRPr="0030176A">
              <w:rPr>
                <w:rFonts w:cstheme="minorHAnsi"/>
                <w:b/>
                <w:sz w:val="24"/>
                <w:szCs w:val="24"/>
              </w:rPr>
              <w:t>původním stavem nebo jsou jeho přínosy v</w:t>
            </w:r>
            <w:r w:rsidR="00971DD8">
              <w:rPr>
                <w:rFonts w:cstheme="minorHAnsi"/>
                <w:b/>
                <w:sz w:val="24"/>
                <w:szCs w:val="24"/>
              </w:rPr>
              <w:t xml:space="preserve"> </w:t>
            </w:r>
            <w:r w:rsidRPr="0030176A">
              <w:rPr>
                <w:rFonts w:cstheme="minorHAnsi"/>
                <w:b/>
                <w:sz w:val="24"/>
                <w:szCs w:val="24"/>
              </w:rPr>
              <w:t>těchto oblastech neprůkazné. Projekt se vůbec nezabýval odstraněním některých kritických míst v</w:t>
            </w:r>
            <w:r w:rsidR="009E4529">
              <w:rPr>
                <w:rFonts w:cstheme="minorHAnsi"/>
                <w:b/>
                <w:sz w:val="24"/>
                <w:szCs w:val="24"/>
              </w:rPr>
              <w:t xml:space="preserve"> </w:t>
            </w:r>
            <w:r w:rsidRPr="0030176A">
              <w:rPr>
                <w:rFonts w:cstheme="minorHAnsi"/>
                <w:b/>
                <w:sz w:val="24"/>
                <w:szCs w:val="24"/>
              </w:rPr>
              <w:t xml:space="preserve">řešeném úseku </w:t>
            </w:r>
            <w:r w:rsidR="006B5EF6">
              <w:rPr>
                <w:rFonts w:cstheme="minorHAnsi"/>
                <w:b/>
                <w:sz w:val="24"/>
                <w:szCs w:val="24"/>
              </w:rPr>
              <w:br/>
            </w:r>
            <w:r w:rsidRPr="0030176A">
              <w:rPr>
                <w:rFonts w:cstheme="minorHAnsi"/>
                <w:b/>
                <w:sz w:val="24"/>
                <w:szCs w:val="24"/>
              </w:rPr>
              <w:lastRenderedPageBreak/>
              <w:t>a jeho bezprostřední blízkosti. Při realizaci projektu byly závažně porušeny podmínky poskytnutí podpory (např. se jednalo o opravu, nikoliv rekonstrukci).</w:t>
            </w:r>
          </w:p>
        </w:tc>
      </w:tr>
    </w:tbl>
    <w:p w:rsidR="0030176A" w:rsidRPr="0030176A" w:rsidRDefault="0030176A" w:rsidP="000B29CF">
      <w:pPr>
        <w:spacing w:after="0" w:line="240" w:lineRule="auto"/>
        <w:ind w:right="91"/>
        <w:contextualSpacing/>
        <w:jc w:val="both"/>
        <w:rPr>
          <w:rFonts w:cstheme="minorHAnsi"/>
          <w:sz w:val="24"/>
          <w:szCs w:val="24"/>
        </w:rPr>
      </w:pPr>
    </w:p>
    <w:p w:rsidR="00F64246" w:rsidRPr="0030176A" w:rsidRDefault="00F64246" w:rsidP="0030176A">
      <w:pPr>
        <w:spacing w:after="0" w:line="240" w:lineRule="auto"/>
        <w:ind w:right="91"/>
        <w:contextualSpacing/>
        <w:jc w:val="both"/>
        <w:rPr>
          <w:rFonts w:cstheme="minorHAnsi"/>
          <w:sz w:val="24"/>
          <w:szCs w:val="24"/>
        </w:rPr>
      </w:pPr>
    </w:p>
    <w:p w:rsidR="0030176A" w:rsidRPr="0030176A" w:rsidRDefault="002C49E3" w:rsidP="000B29CF">
      <w:pPr>
        <w:pStyle w:val="Nadpis1"/>
        <w:suppressAutoHyphens w:val="0"/>
        <w:overflowPunct/>
        <w:autoSpaceDE/>
        <w:autoSpaceDN/>
        <w:adjustRightInd/>
        <w:spacing w:before="0" w:after="0"/>
        <w:contextualSpacing/>
        <w:jc w:val="both"/>
        <w:textAlignment w:val="auto"/>
        <w:rPr>
          <w:rFonts w:asciiTheme="minorHAnsi" w:hAnsiTheme="minorHAnsi" w:cstheme="minorHAnsi"/>
          <w:b w:val="0"/>
          <w:sz w:val="24"/>
          <w:szCs w:val="24"/>
        </w:rPr>
      </w:pPr>
      <w:r>
        <w:rPr>
          <w:rFonts w:asciiTheme="minorHAnsi" w:hAnsiTheme="minorHAnsi" w:cstheme="minorHAnsi"/>
          <w:sz w:val="24"/>
          <w:szCs w:val="24"/>
        </w:rPr>
        <w:t xml:space="preserve">2. </w:t>
      </w:r>
      <w:r w:rsidR="0030176A" w:rsidRPr="0030176A">
        <w:rPr>
          <w:rFonts w:asciiTheme="minorHAnsi" w:hAnsiTheme="minorHAnsi" w:cstheme="minorHAnsi"/>
          <w:sz w:val="24"/>
          <w:szCs w:val="24"/>
        </w:rPr>
        <w:t>Vyhodnocení hospodárnosti</w:t>
      </w:r>
    </w:p>
    <w:p w:rsidR="0030176A" w:rsidRPr="0030176A" w:rsidRDefault="0030176A" w:rsidP="0030176A">
      <w:pPr>
        <w:spacing w:after="0" w:line="240" w:lineRule="auto"/>
        <w:ind w:right="91"/>
        <w:contextualSpacing/>
        <w:jc w:val="both"/>
        <w:rPr>
          <w:rFonts w:cstheme="minorHAnsi"/>
          <w:sz w:val="24"/>
          <w:szCs w:val="24"/>
        </w:rPr>
      </w:pPr>
    </w:p>
    <w:tbl>
      <w:tblPr>
        <w:tblStyle w:val="TableGrid"/>
        <w:tblW w:w="9060" w:type="dxa"/>
        <w:tblInd w:w="7" w:type="dxa"/>
        <w:tblCellMar>
          <w:top w:w="54" w:type="dxa"/>
          <w:left w:w="108" w:type="dxa"/>
          <w:right w:w="57" w:type="dxa"/>
        </w:tblCellMar>
        <w:tblLook w:val="04A0" w:firstRow="1" w:lastRow="0" w:firstColumn="1" w:lastColumn="0" w:noHBand="0" w:noVBand="1"/>
      </w:tblPr>
      <w:tblGrid>
        <w:gridCol w:w="2823"/>
        <w:gridCol w:w="6237"/>
      </w:tblGrid>
      <w:tr w:rsidR="0030176A" w:rsidRPr="0030176A" w:rsidTr="00314CF0">
        <w:trPr>
          <w:trHeight w:val="576"/>
        </w:trPr>
        <w:tc>
          <w:tcPr>
            <w:tcW w:w="2823" w:type="dxa"/>
            <w:tcBorders>
              <w:top w:val="single" w:sz="4" w:space="0" w:color="000000"/>
              <w:left w:val="single" w:sz="4" w:space="0" w:color="000000"/>
              <w:bottom w:val="single" w:sz="4" w:space="0" w:color="000000"/>
              <w:right w:val="single" w:sz="4" w:space="0" w:color="000000"/>
            </w:tcBorders>
            <w:shd w:val="clear" w:color="auto" w:fill="E5F1FF"/>
            <w:vAlign w:val="center"/>
          </w:tcPr>
          <w:p w:rsidR="0030176A" w:rsidRPr="0030176A" w:rsidRDefault="0030176A" w:rsidP="00F64246">
            <w:pPr>
              <w:ind w:right="61"/>
              <w:contextualSpacing/>
              <w:rPr>
                <w:rFonts w:cstheme="minorHAnsi"/>
                <w:sz w:val="24"/>
                <w:szCs w:val="24"/>
              </w:rPr>
            </w:pPr>
            <w:r w:rsidRPr="0030176A">
              <w:rPr>
                <w:rFonts w:cstheme="minorHAnsi"/>
                <w:b/>
                <w:sz w:val="24"/>
                <w:szCs w:val="24"/>
              </w:rPr>
              <w:t>Stupeň hospodárnosti projektu</w:t>
            </w:r>
          </w:p>
        </w:tc>
        <w:tc>
          <w:tcPr>
            <w:tcW w:w="6237" w:type="dxa"/>
            <w:tcBorders>
              <w:top w:val="single" w:sz="4" w:space="0" w:color="000000"/>
              <w:left w:val="single" w:sz="4" w:space="0" w:color="000000"/>
              <w:bottom w:val="single" w:sz="4" w:space="0" w:color="000000"/>
              <w:right w:val="single" w:sz="4" w:space="0" w:color="000000"/>
            </w:tcBorders>
            <w:shd w:val="clear" w:color="auto" w:fill="E5F1FF"/>
            <w:vAlign w:val="center"/>
          </w:tcPr>
          <w:p w:rsidR="0030176A" w:rsidRPr="0030176A" w:rsidRDefault="0030176A" w:rsidP="0030176A">
            <w:pPr>
              <w:ind w:right="57"/>
              <w:contextualSpacing/>
              <w:jc w:val="both"/>
              <w:rPr>
                <w:rFonts w:cstheme="minorHAnsi"/>
                <w:sz w:val="24"/>
                <w:szCs w:val="24"/>
              </w:rPr>
            </w:pPr>
            <w:r w:rsidRPr="0030176A">
              <w:rPr>
                <w:rFonts w:cstheme="minorHAnsi"/>
                <w:b/>
                <w:sz w:val="24"/>
                <w:szCs w:val="24"/>
              </w:rPr>
              <w:t>Definice stupně hospodárnosti</w:t>
            </w:r>
          </w:p>
        </w:tc>
      </w:tr>
      <w:tr w:rsidR="0030176A" w:rsidRPr="0030176A" w:rsidTr="00314CF0">
        <w:trPr>
          <w:trHeight w:val="645"/>
        </w:trPr>
        <w:tc>
          <w:tcPr>
            <w:tcW w:w="2823" w:type="dxa"/>
            <w:tcBorders>
              <w:top w:val="single" w:sz="4" w:space="0" w:color="000000"/>
              <w:left w:val="single" w:sz="4" w:space="0" w:color="000000"/>
              <w:bottom w:val="single" w:sz="4" w:space="0" w:color="000000"/>
              <w:right w:val="single" w:sz="4" w:space="0" w:color="000000"/>
            </w:tcBorders>
            <w:vAlign w:val="center"/>
          </w:tcPr>
          <w:p w:rsidR="0030176A" w:rsidRPr="00F64246" w:rsidRDefault="0030176A" w:rsidP="00F64246">
            <w:pPr>
              <w:pStyle w:val="Odstavecseseznamem"/>
              <w:numPr>
                <w:ilvl w:val="0"/>
                <w:numId w:val="25"/>
              </w:numPr>
              <w:ind w:left="306" w:right="57" w:hanging="284"/>
              <w:rPr>
                <w:rFonts w:cstheme="minorHAnsi"/>
                <w:sz w:val="24"/>
                <w:szCs w:val="24"/>
              </w:rPr>
            </w:pPr>
            <w:r w:rsidRPr="00F64246">
              <w:rPr>
                <w:rFonts w:cstheme="minorHAnsi"/>
                <w:b/>
                <w:sz w:val="24"/>
                <w:szCs w:val="24"/>
              </w:rPr>
              <w:t>Projekt je hospodárný</w:t>
            </w:r>
          </w:p>
        </w:tc>
        <w:tc>
          <w:tcPr>
            <w:tcW w:w="6237" w:type="dxa"/>
            <w:tcBorders>
              <w:top w:val="single" w:sz="4" w:space="0" w:color="000000"/>
              <w:left w:val="single" w:sz="4" w:space="0" w:color="000000"/>
              <w:bottom w:val="single" w:sz="4" w:space="0" w:color="000000"/>
              <w:right w:val="single" w:sz="4" w:space="0" w:color="000000"/>
            </w:tcBorders>
          </w:tcPr>
          <w:p w:rsidR="0030176A" w:rsidRPr="0030176A" w:rsidRDefault="0030176A" w:rsidP="0030176A">
            <w:pPr>
              <w:contextualSpacing/>
              <w:jc w:val="both"/>
              <w:rPr>
                <w:rFonts w:cstheme="minorHAnsi"/>
                <w:b/>
                <w:sz w:val="24"/>
                <w:szCs w:val="24"/>
              </w:rPr>
            </w:pPr>
            <w:r w:rsidRPr="0030176A">
              <w:rPr>
                <w:rFonts w:cstheme="minorHAnsi"/>
                <w:b/>
                <w:sz w:val="24"/>
                <w:szCs w:val="24"/>
              </w:rPr>
              <w:t>Projekt byl (je) realizován v rozsahu a kvalitě obvyklé</w:t>
            </w:r>
            <w:r w:rsidRPr="0030176A">
              <w:rPr>
                <w:rStyle w:val="Znakapoznpodarou"/>
                <w:rFonts w:cstheme="minorHAnsi"/>
                <w:b/>
                <w:sz w:val="24"/>
                <w:szCs w:val="24"/>
              </w:rPr>
              <w:footnoteReference w:id="41"/>
            </w:r>
            <w:r w:rsidRPr="0030176A">
              <w:rPr>
                <w:rFonts w:cstheme="minorHAnsi"/>
                <w:b/>
                <w:sz w:val="24"/>
                <w:szCs w:val="24"/>
              </w:rPr>
              <w:t xml:space="preserve"> pro daný typ stavby. Jednotkové náklady projektu významně nepřekračují ceny obvyklé</w:t>
            </w:r>
            <w:r w:rsidRPr="0030176A">
              <w:rPr>
                <w:rStyle w:val="Znakapoznpodarou"/>
                <w:rFonts w:cstheme="minorHAnsi"/>
                <w:b/>
                <w:sz w:val="24"/>
                <w:szCs w:val="24"/>
              </w:rPr>
              <w:footnoteReference w:id="42"/>
            </w:r>
            <w:r w:rsidRPr="0030176A">
              <w:rPr>
                <w:rFonts w:cstheme="minorHAnsi"/>
                <w:b/>
                <w:sz w:val="24"/>
                <w:szCs w:val="24"/>
              </w:rPr>
              <w:t>, resp. překročení je způsobeno objektivními důvody</w:t>
            </w:r>
            <w:r w:rsidRPr="0030176A">
              <w:rPr>
                <w:rStyle w:val="Znakapoznpodarou"/>
                <w:rFonts w:cstheme="minorHAnsi"/>
                <w:b/>
                <w:sz w:val="24"/>
                <w:szCs w:val="24"/>
              </w:rPr>
              <w:footnoteReference w:id="43"/>
            </w:r>
            <w:r w:rsidRPr="0030176A">
              <w:rPr>
                <w:rFonts w:cstheme="minorHAnsi"/>
                <w:b/>
                <w:sz w:val="24"/>
                <w:szCs w:val="24"/>
              </w:rPr>
              <w:t>. Z podpory byly hrazeny pouze náklady prokazatelně splňující podmínky způsobilosti výdajů.</w:t>
            </w:r>
          </w:p>
          <w:p w:rsidR="0030176A" w:rsidRPr="00F64246" w:rsidRDefault="0030176A" w:rsidP="0030176A">
            <w:pPr>
              <w:contextualSpacing/>
              <w:jc w:val="both"/>
              <w:rPr>
                <w:rFonts w:cstheme="minorHAnsi"/>
                <w:sz w:val="12"/>
                <w:szCs w:val="12"/>
              </w:rPr>
            </w:pPr>
          </w:p>
          <w:p w:rsidR="0030176A" w:rsidRPr="00F64246" w:rsidRDefault="0030176A" w:rsidP="00F64246">
            <w:pPr>
              <w:pStyle w:val="Odstavecseseznamem"/>
              <w:numPr>
                <w:ilvl w:val="0"/>
                <w:numId w:val="23"/>
              </w:numPr>
              <w:ind w:left="321"/>
              <w:jc w:val="both"/>
              <w:rPr>
                <w:rFonts w:cstheme="minorHAnsi"/>
                <w:sz w:val="24"/>
                <w:szCs w:val="24"/>
              </w:rPr>
            </w:pPr>
            <w:r w:rsidRPr="0030176A">
              <w:rPr>
                <w:rFonts w:cstheme="minorHAnsi"/>
                <w:sz w:val="24"/>
                <w:szCs w:val="24"/>
              </w:rPr>
              <w:t xml:space="preserve">Projekt je řešen z obvyklých, pro daný typ stavby standardních materiálů a bez objektivně neodůvodněných finančně náročných stavebně-technických prvků (specifická konstrukční řešení, použití cenově náročných technologií </w:t>
            </w:r>
            <w:r w:rsidR="006B5EF6">
              <w:rPr>
                <w:rFonts w:cstheme="minorHAnsi"/>
                <w:sz w:val="24"/>
                <w:szCs w:val="24"/>
              </w:rPr>
              <w:br/>
            </w:r>
            <w:r w:rsidRPr="0030176A">
              <w:rPr>
                <w:rFonts w:cstheme="minorHAnsi"/>
                <w:sz w:val="24"/>
                <w:szCs w:val="24"/>
              </w:rPr>
              <w:t xml:space="preserve">a materiálů apod.). </w:t>
            </w:r>
          </w:p>
          <w:p w:rsidR="0030176A" w:rsidRPr="00F64246" w:rsidRDefault="0030176A" w:rsidP="00F64246">
            <w:pPr>
              <w:pStyle w:val="Odstavecseseznamem"/>
              <w:numPr>
                <w:ilvl w:val="0"/>
                <w:numId w:val="23"/>
              </w:numPr>
              <w:ind w:left="321"/>
              <w:jc w:val="both"/>
              <w:rPr>
                <w:rFonts w:cstheme="minorHAnsi"/>
                <w:sz w:val="24"/>
                <w:szCs w:val="24"/>
              </w:rPr>
            </w:pPr>
            <w:bookmarkStart w:id="25" w:name="_Hlk161135295"/>
            <w:r w:rsidRPr="0030176A">
              <w:rPr>
                <w:rFonts w:cstheme="minorHAnsi"/>
                <w:sz w:val="24"/>
                <w:szCs w:val="24"/>
              </w:rPr>
              <w:t xml:space="preserve">Cena za stavební práce byla ověřena na trhu zadáním veřejných zakázek v dostatečně konkurenčním prostředí </w:t>
            </w:r>
            <w:bookmarkEnd w:id="25"/>
            <w:r w:rsidRPr="0030176A">
              <w:rPr>
                <w:rFonts w:cstheme="minorHAnsi"/>
                <w:sz w:val="24"/>
                <w:szCs w:val="24"/>
              </w:rPr>
              <w:t>(např. nabídku podali a byli hodnoceni min. 3 dodavatelé).</w:t>
            </w:r>
          </w:p>
          <w:p w:rsidR="0030176A" w:rsidRPr="00F64246" w:rsidRDefault="0030176A" w:rsidP="0030176A">
            <w:pPr>
              <w:pStyle w:val="Odstavecseseznamem"/>
              <w:numPr>
                <w:ilvl w:val="0"/>
                <w:numId w:val="23"/>
              </w:numPr>
              <w:ind w:left="321"/>
              <w:jc w:val="both"/>
              <w:rPr>
                <w:rFonts w:cstheme="minorHAnsi"/>
                <w:sz w:val="24"/>
                <w:szCs w:val="24"/>
              </w:rPr>
            </w:pPr>
            <w:bookmarkStart w:id="26" w:name="_Hlk161135405"/>
            <w:r w:rsidRPr="0030176A">
              <w:rPr>
                <w:rFonts w:cstheme="minorHAnsi"/>
                <w:sz w:val="24"/>
                <w:szCs w:val="24"/>
              </w:rPr>
              <w:t>Změny v průběhu výstavby nezvyšovaly bez objektivních důvodů způsobilé výdaje</w:t>
            </w:r>
            <w:r w:rsidR="002C49E3">
              <w:rPr>
                <w:rFonts w:cstheme="minorHAnsi"/>
                <w:sz w:val="24"/>
                <w:szCs w:val="24"/>
              </w:rPr>
              <w:t xml:space="preserve"> </w:t>
            </w:r>
            <w:r w:rsidR="00B76919">
              <w:rPr>
                <w:rFonts w:cstheme="minorHAnsi"/>
                <w:sz w:val="24"/>
                <w:szCs w:val="24"/>
              </w:rPr>
              <w:t>/</w:t>
            </w:r>
            <w:r w:rsidR="002C49E3">
              <w:rPr>
                <w:rFonts w:cstheme="minorHAnsi"/>
                <w:sz w:val="24"/>
                <w:szCs w:val="24"/>
              </w:rPr>
              <w:t xml:space="preserve"> </w:t>
            </w:r>
            <w:r w:rsidR="00B76919">
              <w:rPr>
                <w:rFonts w:cstheme="minorHAnsi"/>
                <w:sz w:val="24"/>
                <w:szCs w:val="24"/>
              </w:rPr>
              <w:t>uznatelné náklady</w:t>
            </w:r>
            <w:r w:rsidRPr="0030176A">
              <w:rPr>
                <w:rFonts w:cstheme="minorHAnsi"/>
                <w:sz w:val="24"/>
                <w:szCs w:val="24"/>
              </w:rPr>
              <w:t xml:space="preserve"> projektu, popř. nesnižovaly cenu na úkor rozsahu, obsahu a kvality stavby </w:t>
            </w:r>
            <w:bookmarkEnd w:id="26"/>
            <w:r w:rsidRPr="0030176A">
              <w:rPr>
                <w:rFonts w:cstheme="minorHAnsi"/>
                <w:sz w:val="24"/>
                <w:szCs w:val="24"/>
              </w:rPr>
              <w:t xml:space="preserve">(např. použití méně kvalitních materiálů, neprovedení některých součástí stavby atd.). </w:t>
            </w:r>
          </w:p>
        </w:tc>
      </w:tr>
      <w:tr w:rsidR="0030176A" w:rsidRPr="0030176A" w:rsidTr="00314CF0">
        <w:trPr>
          <w:trHeight w:val="576"/>
        </w:trPr>
        <w:tc>
          <w:tcPr>
            <w:tcW w:w="28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F64246" w:rsidRDefault="0030176A" w:rsidP="00F64246">
            <w:pPr>
              <w:pStyle w:val="Odstavecseseznamem"/>
              <w:numPr>
                <w:ilvl w:val="0"/>
                <w:numId w:val="25"/>
              </w:numPr>
              <w:ind w:left="306" w:hanging="284"/>
              <w:rPr>
                <w:rFonts w:cstheme="minorHAnsi"/>
                <w:b/>
                <w:sz w:val="24"/>
                <w:szCs w:val="24"/>
              </w:rPr>
            </w:pPr>
            <w:r w:rsidRPr="00F64246">
              <w:rPr>
                <w:rFonts w:cstheme="minorHAnsi"/>
                <w:b/>
                <w:sz w:val="24"/>
                <w:szCs w:val="24"/>
              </w:rPr>
              <w:t>Projekt je hospodárný s mírnými nedostatky</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30176A" w:rsidRPr="0030176A" w:rsidRDefault="0030176A" w:rsidP="0030176A">
            <w:pPr>
              <w:ind w:right="57"/>
              <w:contextualSpacing/>
              <w:jc w:val="both"/>
              <w:rPr>
                <w:rFonts w:cstheme="minorHAnsi"/>
                <w:b/>
                <w:sz w:val="24"/>
                <w:szCs w:val="24"/>
              </w:rPr>
            </w:pPr>
            <w:r w:rsidRPr="0030176A">
              <w:rPr>
                <w:rFonts w:cstheme="minorHAnsi"/>
                <w:b/>
                <w:sz w:val="24"/>
                <w:szCs w:val="24"/>
              </w:rPr>
              <w:t xml:space="preserve">Některá z kritérií uvedených v 1. stupni škály hospodárnosti nejsou zcela naplněna. Některé skutečnosti nejsou náležitě prokázány. Nedostatky ale nejsou významné a nezpůsobují podstatné snížení hospodárnosti použití podpory. </w:t>
            </w:r>
          </w:p>
          <w:p w:rsidR="0030176A" w:rsidRPr="00F64246" w:rsidRDefault="0030176A" w:rsidP="0030176A">
            <w:pPr>
              <w:ind w:right="57"/>
              <w:contextualSpacing/>
              <w:jc w:val="both"/>
              <w:rPr>
                <w:rFonts w:cstheme="minorHAnsi"/>
                <w:sz w:val="12"/>
                <w:szCs w:val="12"/>
              </w:rPr>
            </w:pPr>
          </w:p>
          <w:p w:rsidR="0030176A" w:rsidRPr="0030176A" w:rsidRDefault="0030176A" w:rsidP="0030176A">
            <w:pPr>
              <w:pStyle w:val="Odstavecseseznamem"/>
              <w:numPr>
                <w:ilvl w:val="0"/>
                <w:numId w:val="24"/>
              </w:numPr>
              <w:ind w:left="321"/>
              <w:jc w:val="both"/>
              <w:rPr>
                <w:rFonts w:cstheme="minorHAnsi"/>
                <w:sz w:val="24"/>
                <w:szCs w:val="24"/>
              </w:rPr>
            </w:pPr>
            <w:r w:rsidRPr="0030176A">
              <w:rPr>
                <w:rFonts w:cstheme="minorHAnsi"/>
                <w:sz w:val="24"/>
                <w:szCs w:val="24"/>
              </w:rPr>
              <w:t>Jednotkové náklady projektu, popř. některých jeho částí překračují ceny obvyklé, aniž by bylo toto překročení vysvětleno objektivními důvody, resp. důvody relevantními ve vztahu k</w:t>
            </w:r>
            <w:r w:rsidR="00971DD8">
              <w:rPr>
                <w:rFonts w:cstheme="minorHAnsi"/>
                <w:sz w:val="24"/>
                <w:szCs w:val="24"/>
              </w:rPr>
              <w:t xml:space="preserve"> </w:t>
            </w:r>
            <w:r w:rsidRPr="0030176A">
              <w:rPr>
                <w:rFonts w:cstheme="minorHAnsi"/>
                <w:sz w:val="24"/>
                <w:szCs w:val="24"/>
              </w:rPr>
              <w:t xml:space="preserve">cílům projektu (např. použití finančně </w:t>
            </w:r>
            <w:r w:rsidRPr="0030176A">
              <w:rPr>
                <w:rFonts w:cstheme="minorHAnsi"/>
                <w:sz w:val="24"/>
                <w:szCs w:val="24"/>
              </w:rPr>
              <w:lastRenderedPageBreak/>
              <w:t>nákladných materiálů a stavebně-technických prvků, řešení nadstandardních požadavků investora, neodůvodněně vysoké náklady na vyvolané investice atd.). Nedostatky ale významně nenavyšují způsobilé výdaje</w:t>
            </w:r>
            <w:r w:rsidR="002C49E3">
              <w:rPr>
                <w:rFonts w:cstheme="minorHAnsi"/>
                <w:sz w:val="24"/>
                <w:szCs w:val="24"/>
              </w:rPr>
              <w:t xml:space="preserve"> </w:t>
            </w:r>
            <w:r w:rsidR="00B76919">
              <w:rPr>
                <w:rFonts w:cstheme="minorHAnsi"/>
                <w:sz w:val="24"/>
                <w:szCs w:val="24"/>
              </w:rPr>
              <w:t>/</w:t>
            </w:r>
            <w:r w:rsidR="002C49E3">
              <w:rPr>
                <w:rFonts w:cstheme="minorHAnsi"/>
                <w:sz w:val="24"/>
                <w:szCs w:val="24"/>
              </w:rPr>
              <w:t xml:space="preserve"> </w:t>
            </w:r>
            <w:r w:rsidR="00B76919">
              <w:rPr>
                <w:rFonts w:cstheme="minorHAnsi"/>
                <w:sz w:val="24"/>
                <w:szCs w:val="24"/>
              </w:rPr>
              <w:t>uznatelné náklady</w:t>
            </w:r>
            <w:r w:rsidRPr="0030176A">
              <w:rPr>
                <w:rFonts w:cstheme="minorHAnsi"/>
                <w:sz w:val="24"/>
                <w:szCs w:val="24"/>
              </w:rPr>
              <w:t xml:space="preserve"> projektu</w:t>
            </w:r>
            <w:r w:rsidRPr="0030176A">
              <w:rPr>
                <w:rStyle w:val="Znakapoznpodarou"/>
                <w:rFonts w:cstheme="minorHAnsi"/>
                <w:sz w:val="24"/>
                <w:szCs w:val="24"/>
              </w:rPr>
              <w:footnoteReference w:id="44"/>
            </w:r>
            <w:r w:rsidRPr="0030176A">
              <w:rPr>
                <w:rFonts w:cstheme="minorHAnsi"/>
                <w:sz w:val="24"/>
                <w:szCs w:val="24"/>
              </w:rPr>
              <w:t>.</w:t>
            </w:r>
          </w:p>
          <w:p w:rsidR="0030176A" w:rsidRPr="0030176A" w:rsidRDefault="0030176A" w:rsidP="0030176A">
            <w:pPr>
              <w:pStyle w:val="Odstavecseseznamem"/>
              <w:numPr>
                <w:ilvl w:val="0"/>
                <w:numId w:val="24"/>
              </w:numPr>
              <w:ind w:left="321"/>
              <w:jc w:val="both"/>
              <w:rPr>
                <w:rFonts w:cstheme="minorHAnsi"/>
                <w:sz w:val="24"/>
                <w:szCs w:val="24"/>
              </w:rPr>
            </w:pPr>
            <w:r w:rsidRPr="0030176A">
              <w:rPr>
                <w:rFonts w:cstheme="minorHAnsi"/>
                <w:sz w:val="24"/>
                <w:szCs w:val="24"/>
              </w:rPr>
              <w:t xml:space="preserve">Změny v průběhu výstavby měnící rozsah nebo obsah projektu nebo způsobující nárůst jeho způsobilých </w:t>
            </w:r>
            <w:r w:rsidR="00791133">
              <w:rPr>
                <w:rFonts w:cstheme="minorHAnsi"/>
                <w:sz w:val="24"/>
                <w:szCs w:val="24"/>
              </w:rPr>
              <w:br/>
            </w:r>
            <w:r w:rsidRPr="0030176A">
              <w:rPr>
                <w:rFonts w:cstheme="minorHAnsi"/>
                <w:sz w:val="24"/>
                <w:szCs w:val="24"/>
              </w:rPr>
              <w:t>výdajů</w:t>
            </w:r>
            <w:r w:rsidR="002C49E3">
              <w:rPr>
                <w:rFonts w:cstheme="minorHAnsi"/>
                <w:sz w:val="24"/>
                <w:szCs w:val="24"/>
              </w:rPr>
              <w:t xml:space="preserve"> </w:t>
            </w:r>
            <w:r w:rsidR="00B76919">
              <w:rPr>
                <w:rFonts w:cstheme="minorHAnsi"/>
                <w:sz w:val="24"/>
                <w:szCs w:val="24"/>
              </w:rPr>
              <w:t>/</w:t>
            </w:r>
            <w:r w:rsidR="002C49E3">
              <w:rPr>
                <w:rFonts w:cstheme="minorHAnsi"/>
                <w:sz w:val="24"/>
                <w:szCs w:val="24"/>
              </w:rPr>
              <w:t xml:space="preserve"> </w:t>
            </w:r>
            <w:r w:rsidR="00B76919">
              <w:rPr>
                <w:rFonts w:cstheme="minorHAnsi"/>
                <w:sz w:val="24"/>
                <w:szCs w:val="24"/>
              </w:rPr>
              <w:t>uznatelných nákladů</w:t>
            </w:r>
            <w:r w:rsidRPr="0030176A">
              <w:rPr>
                <w:rFonts w:cstheme="minorHAnsi"/>
                <w:sz w:val="24"/>
                <w:szCs w:val="24"/>
              </w:rPr>
              <w:t xml:space="preserve"> nejsou náležitě odůvodněny, je však zřejmá jejich nezbytnost pro realizaci projektu. </w:t>
            </w:r>
            <w:r w:rsidR="00791133">
              <w:rPr>
                <w:rFonts w:cstheme="minorHAnsi"/>
                <w:sz w:val="24"/>
                <w:szCs w:val="24"/>
              </w:rPr>
              <w:t>Co do r</w:t>
            </w:r>
            <w:r w:rsidRPr="0030176A">
              <w:rPr>
                <w:rFonts w:cstheme="minorHAnsi"/>
                <w:sz w:val="24"/>
                <w:szCs w:val="24"/>
              </w:rPr>
              <w:t>ozsah</w:t>
            </w:r>
            <w:r w:rsidR="00791133">
              <w:rPr>
                <w:rFonts w:cstheme="minorHAnsi"/>
                <w:sz w:val="24"/>
                <w:szCs w:val="24"/>
              </w:rPr>
              <w:t>u</w:t>
            </w:r>
            <w:r w:rsidRPr="0030176A">
              <w:rPr>
                <w:rFonts w:cstheme="minorHAnsi"/>
                <w:sz w:val="24"/>
                <w:szCs w:val="24"/>
              </w:rPr>
              <w:t>, obsah</w:t>
            </w:r>
            <w:r w:rsidR="00791133">
              <w:rPr>
                <w:rFonts w:cstheme="minorHAnsi"/>
                <w:sz w:val="24"/>
                <w:szCs w:val="24"/>
              </w:rPr>
              <w:t>u</w:t>
            </w:r>
            <w:r w:rsidRPr="0030176A">
              <w:rPr>
                <w:rFonts w:cstheme="minorHAnsi"/>
                <w:sz w:val="24"/>
                <w:szCs w:val="24"/>
              </w:rPr>
              <w:t xml:space="preserve"> a finanční</w:t>
            </w:r>
            <w:r w:rsidR="00791133">
              <w:rPr>
                <w:rFonts w:cstheme="minorHAnsi"/>
                <w:sz w:val="24"/>
                <w:szCs w:val="24"/>
              </w:rPr>
              <w:t>ho</w:t>
            </w:r>
            <w:r w:rsidRPr="0030176A">
              <w:rPr>
                <w:rFonts w:cstheme="minorHAnsi"/>
                <w:sz w:val="24"/>
                <w:szCs w:val="24"/>
              </w:rPr>
              <w:t xml:space="preserve"> objem</w:t>
            </w:r>
            <w:r w:rsidR="00791133">
              <w:rPr>
                <w:rFonts w:cstheme="minorHAnsi"/>
                <w:sz w:val="24"/>
                <w:szCs w:val="24"/>
              </w:rPr>
              <w:t>u nejsou</w:t>
            </w:r>
            <w:r w:rsidRPr="0030176A">
              <w:rPr>
                <w:rFonts w:cstheme="minorHAnsi"/>
                <w:sz w:val="24"/>
                <w:szCs w:val="24"/>
              </w:rPr>
              <w:t xml:space="preserve"> t</w:t>
            </w:r>
            <w:r w:rsidR="00791133">
              <w:rPr>
                <w:rFonts w:cstheme="minorHAnsi"/>
                <w:sz w:val="24"/>
                <w:szCs w:val="24"/>
              </w:rPr>
              <w:t>yto</w:t>
            </w:r>
            <w:r w:rsidRPr="0030176A">
              <w:rPr>
                <w:rFonts w:cstheme="minorHAnsi"/>
                <w:sz w:val="24"/>
                <w:szCs w:val="24"/>
              </w:rPr>
              <w:t xml:space="preserve"> změn</w:t>
            </w:r>
            <w:r w:rsidR="00791133">
              <w:rPr>
                <w:rFonts w:cstheme="minorHAnsi"/>
                <w:sz w:val="24"/>
                <w:szCs w:val="24"/>
              </w:rPr>
              <w:t>y</w:t>
            </w:r>
            <w:r w:rsidRPr="0030176A">
              <w:rPr>
                <w:rFonts w:cstheme="minorHAnsi"/>
                <w:sz w:val="24"/>
                <w:szCs w:val="24"/>
              </w:rPr>
              <w:t xml:space="preserve"> významn</w:t>
            </w:r>
            <w:r w:rsidR="00791133">
              <w:rPr>
                <w:rFonts w:cstheme="minorHAnsi"/>
                <w:sz w:val="24"/>
                <w:szCs w:val="24"/>
              </w:rPr>
              <w:t>é</w:t>
            </w:r>
            <w:r w:rsidRPr="0030176A">
              <w:rPr>
                <w:rStyle w:val="Znakapoznpodarou"/>
                <w:rFonts w:cstheme="minorHAnsi"/>
                <w:sz w:val="24"/>
                <w:szCs w:val="24"/>
              </w:rPr>
              <w:footnoteReference w:id="45"/>
            </w:r>
            <w:r w:rsidRPr="0030176A">
              <w:rPr>
                <w:rFonts w:cstheme="minorHAnsi"/>
                <w:sz w:val="24"/>
                <w:szCs w:val="24"/>
              </w:rPr>
              <w:t>.</w:t>
            </w:r>
          </w:p>
          <w:p w:rsidR="0030176A" w:rsidRPr="0030176A" w:rsidRDefault="0030176A" w:rsidP="0030176A">
            <w:pPr>
              <w:pStyle w:val="Odstavecseseznamem"/>
              <w:numPr>
                <w:ilvl w:val="0"/>
                <w:numId w:val="24"/>
              </w:numPr>
              <w:ind w:left="321"/>
              <w:jc w:val="both"/>
              <w:rPr>
                <w:rFonts w:cstheme="minorHAnsi"/>
                <w:sz w:val="24"/>
                <w:szCs w:val="24"/>
              </w:rPr>
            </w:pPr>
            <w:r w:rsidRPr="0030176A">
              <w:rPr>
                <w:rFonts w:cstheme="minorHAnsi"/>
                <w:sz w:val="24"/>
                <w:szCs w:val="24"/>
              </w:rPr>
              <w:t>Cena za stavební práce nebyla ověřena na trhu zadáním veřejn</w:t>
            </w:r>
            <w:r w:rsidR="002C49E3">
              <w:rPr>
                <w:rFonts w:cstheme="minorHAnsi"/>
                <w:sz w:val="24"/>
                <w:szCs w:val="24"/>
              </w:rPr>
              <w:t>é</w:t>
            </w:r>
            <w:r w:rsidRPr="0030176A">
              <w:rPr>
                <w:rFonts w:cstheme="minorHAnsi"/>
                <w:sz w:val="24"/>
                <w:szCs w:val="24"/>
              </w:rPr>
              <w:t xml:space="preserve"> zakáz</w:t>
            </w:r>
            <w:r w:rsidR="002C49E3">
              <w:rPr>
                <w:rFonts w:cstheme="minorHAnsi"/>
                <w:sz w:val="24"/>
                <w:szCs w:val="24"/>
              </w:rPr>
              <w:t>ky</w:t>
            </w:r>
            <w:r w:rsidRPr="0030176A">
              <w:rPr>
                <w:rFonts w:cstheme="minorHAnsi"/>
                <w:sz w:val="24"/>
                <w:szCs w:val="24"/>
              </w:rPr>
              <w:t xml:space="preserve"> v</w:t>
            </w:r>
            <w:r w:rsidR="002C49E3">
              <w:rPr>
                <w:rFonts w:cstheme="minorHAnsi"/>
                <w:sz w:val="24"/>
                <w:szCs w:val="24"/>
              </w:rPr>
              <w:t xml:space="preserve"> </w:t>
            </w:r>
            <w:r w:rsidRPr="0030176A">
              <w:rPr>
                <w:rFonts w:cstheme="minorHAnsi"/>
                <w:sz w:val="24"/>
                <w:szCs w:val="24"/>
              </w:rPr>
              <w:t>dostatečně konkurenčním prostředí (např. nabídku podali a byli hodnoceni méně než 3</w:t>
            </w:r>
            <w:r w:rsidR="002C49E3">
              <w:rPr>
                <w:rFonts w:cstheme="minorHAnsi"/>
                <w:sz w:val="24"/>
                <w:szCs w:val="24"/>
              </w:rPr>
              <w:t> </w:t>
            </w:r>
            <w:r w:rsidRPr="0030176A">
              <w:rPr>
                <w:rFonts w:cstheme="minorHAnsi"/>
                <w:sz w:val="24"/>
                <w:szCs w:val="24"/>
              </w:rPr>
              <w:t xml:space="preserve">dodavatelé). </w:t>
            </w:r>
          </w:p>
        </w:tc>
      </w:tr>
      <w:tr w:rsidR="0030176A" w:rsidRPr="0030176A" w:rsidTr="00314CF0">
        <w:trPr>
          <w:trHeight w:val="576"/>
        </w:trPr>
        <w:tc>
          <w:tcPr>
            <w:tcW w:w="28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30176A" w:rsidRDefault="0030176A" w:rsidP="000B29CF">
            <w:pPr>
              <w:ind w:left="306" w:hanging="284"/>
              <w:contextualSpacing/>
              <w:rPr>
                <w:rFonts w:cstheme="minorHAnsi"/>
                <w:b/>
                <w:sz w:val="24"/>
                <w:szCs w:val="24"/>
              </w:rPr>
            </w:pPr>
            <w:r w:rsidRPr="0030176A">
              <w:rPr>
                <w:rFonts w:cstheme="minorHAnsi"/>
                <w:b/>
                <w:sz w:val="24"/>
                <w:szCs w:val="24"/>
              </w:rPr>
              <w:lastRenderedPageBreak/>
              <w:t>3.</w:t>
            </w:r>
            <w:r w:rsidR="00F64246">
              <w:rPr>
                <w:rFonts w:cstheme="minorHAnsi"/>
                <w:b/>
                <w:sz w:val="24"/>
                <w:szCs w:val="24"/>
              </w:rPr>
              <w:t xml:space="preserve"> </w:t>
            </w:r>
            <w:r w:rsidR="001A4965">
              <w:rPr>
                <w:rFonts w:cstheme="minorHAnsi"/>
                <w:b/>
                <w:sz w:val="24"/>
                <w:szCs w:val="24"/>
              </w:rPr>
              <w:tab/>
            </w:r>
            <w:r w:rsidRPr="0030176A">
              <w:rPr>
                <w:rFonts w:cstheme="minorHAnsi"/>
                <w:b/>
                <w:sz w:val="24"/>
                <w:szCs w:val="24"/>
              </w:rPr>
              <w:t>Projekt je hospodárný pouze omezeně</w:t>
            </w:r>
          </w:p>
        </w:tc>
        <w:tc>
          <w:tcPr>
            <w:tcW w:w="62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176A" w:rsidRPr="0030176A" w:rsidRDefault="0030176A" w:rsidP="0030176A">
            <w:pPr>
              <w:ind w:right="57"/>
              <w:contextualSpacing/>
              <w:jc w:val="both"/>
              <w:rPr>
                <w:rFonts w:cstheme="minorHAnsi"/>
                <w:b/>
                <w:sz w:val="24"/>
                <w:szCs w:val="24"/>
              </w:rPr>
            </w:pPr>
            <w:r w:rsidRPr="0030176A">
              <w:rPr>
                <w:rFonts w:cstheme="minorHAnsi"/>
                <w:b/>
                <w:sz w:val="24"/>
                <w:szCs w:val="24"/>
              </w:rPr>
              <w:t xml:space="preserve">Projekt (popř. některé jeho části) trpí nedostatky, popř. větším počtem nedostatků, které </w:t>
            </w:r>
            <w:r w:rsidR="002C49E3">
              <w:rPr>
                <w:rFonts w:cstheme="minorHAnsi"/>
                <w:b/>
                <w:sz w:val="24"/>
                <w:szCs w:val="24"/>
              </w:rPr>
              <w:t>v součtu</w:t>
            </w:r>
            <w:r w:rsidRPr="0030176A">
              <w:rPr>
                <w:rFonts w:cstheme="minorHAnsi"/>
                <w:b/>
                <w:sz w:val="24"/>
                <w:szCs w:val="24"/>
              </w:rPr>
              <w:t xml:space="preserve"> významně snižují hospodárnost použití podpory v</w:t>
            </w:r>
            <w:r w:rsidR="00971DD8">
              <w:rPr>
                <w:rFonts w:cstheme="minorHAnsi"/>
                <w:b/>
                <w:sz w:val="24"/>
                <w:szCs w:val="24"/>
              </w:rPr>
              <w:t xml:space="preserve"> </w:t>
            </w:r>
            <w:r w:rsidRPr="0030176A">
              <w:rPr>
                <w:rFonts w:cstheme="minorHAnsi"/>
                <w:b/>
                <w:sz w:val="24"/>
                <w:szCs w:val="24"/>
              </w:rPr>
              <w:t>porovnání s</w:t>
            </w:r>
            <w:r w:rsidR="00971DD8">
              <w:rPr>
                <w:rFonts w:cstheme="minorHAnsi"/>
                <w:b/>
                <w:sz w:val="24"/>
                <w:szCs w:val="24"/>
              </w:rPr>
              <w:t xml:space="preserve"> </w:t>
            </w:r>
            <w:r w:rsidRPr="0030176A">
              <w:rPr>
                <w:rFonts w:cstheme="minorHAnsi"/>
                <w:b/>
                <w:sz w:val="24"/>
                <w:szCs w:val="24"/>
              </w:rPr>
              <w:t xml:space="preserve">jinými obdobnými projekty. Pro zařazení projektu do 3. stupně škály hospodárnosti je rozhodující závažnost a četnost zjištěných nedostatků. </w:t>
            </w:r>
          </w:p>
        </w:tc>
      </w:tr>
      <w:tr w:rsidR="0030176A" w:rsidRPr="0030176A" w:rsidTr="00314CF0">
        <w:trPr>
          <w:trHeight w:val="645"/>
        </w:trPr>
        <w:tc>
          <w:tcPr>
            <w:tcW w:w="2823" w:type="dxa"/>
            <w:tcBorders>
              <w:top w:val="single" w:sz="4" w:space="0" w:color="000000"/>
              <w:left w:val="single" w:sz="4" w:space="0" w:color="000000"/>
              <w:bottom w:val="single" w:sz="4" w:space="0" w:color="000000"/>
              <w:right w:val="single" w:sz="4" w:space="0" w:color="000000"/>
            </w:tcBorders>
            <w:vAlign w:val="center"/>
          </w:tcPr>
          <w:p w:rsidR="0030176A" w:rsidRPr="004615A2" w:rsidRDefault="00F64246" w:rsidP="004615A2">
            <w:pPr>
              <w:ind w:left="306" w:right="57" w:hanging="306"/>
              <w:rPr>
                <w:rFonts w:cstheme="minorHAnsi"/>
                <w:b/>
                <w:sz w:val="24"/>
                <w:szCs w:val="24"/>
              </w:rPr>
            </w:pPr>
            <w:r w:rsidRPr="004615A2">
              <w:rPr>
                <w:rFonts w:cstheme="minorHAnsi"/>
                <w:b/>
                <w:sz w:val="24"/>
                <w:szCs w:val="24"/>
              </w:rPr>
              <w:t xml:space="preserve">4. </w:t>
            </w:r>
            <w:r w:rsidR="001A4965">
              <w:rPr>
                <w:rFonts w:cstheme="minorHAnsi"/>
                <w:b/>
                <w:sz w:val="24"/>
                <w:szCs w:val="24"/>
              </w:rPr>
              <w:tab/>
            </w:r>
            <w:r w:rsidR="0030176A" w:rsidRPr="004615A2">
              <w:rPr>
                <w:rFonts w:cstheme="minorHAnsi"/>
                <w:b/>
                <w:sz w:val="24"/>
                <w:szCs w:val="24"/>
              </w:rPr>
              <w:t>Projekt je nehospodárný</w:t>
            </w:r>
          </w:p>
        </w:tc>
        <w:tc>
          <w:tcPr>
            <w:tcW w:w="6237" w:type="dxa"/>
            <w:tcBorders>
              <w:top w:val="single" w:sz="4" w:space="0" w:color="000000"/>
              <w:left w:val="single" w:sz="4" w:space="0" w:color="000000"/>
              <w:bottom w:val="single" w:sz="4" w:space="0" w:color="000000"/>
              <w:right w:val="single" w:sz="4" w:space="0" w:color="000000"/>
            </w:tcBorders>
          </w:tcPr>
          <w:p w:rsidR="0030176A" w:rsidRPr="0030176A" w:rsidRDefault="0030176A" w:rsidP="0030176A">
            <w:pPr>
              <w:contextualSpacing/>
              <w:jc w:val="both"/>
              <w:rPr>
                <w:rFonts w:cstheme="minorHAnsi"/>
                <w:b/>
                <w:sz w:val="24"/>
                <w:szCs w:val="24"/>
              </w:rPr>
            </w:pPr>
            <w:r w:rsidRPr="0030176A">
              <w:rPr>
                <w:rFonts w:cstheme="minorHAnsi"/>
                <w:b/>
                <w:sz w:val="24"/>
                <w:szCs w:val="24"/>
              </w:rPr>
              <w:t xml:space="preserve">Projekt trpí závažnými nedostatky, popř. velkým počtem nedostatků, které </w:t>
            </w:r>
            <w:r w:rsidR="002C49E3">
              <w:rPr>
                <w:rFonts w:cstheme="minorHAnsi"/>
                <w:b/>
                <w:sz w:val="24"/>
                <w:szCs w:val="24"/>
              </w:rPr>
              <w:t>v součtu</w:t>
            </w:r>
            <w:r w:rsidRPr="0030176A">
              <w:rPr>
                <w:rFonts w:cstheme="minorHAnsi"/>
                <w:b/>
                <w:sz w:val="24"/>
                <w:szCs w:val="24"/>
              </w:rPr>
              <w:t xml:space="preserve"> velmi významně snižují hospodárnost použití podpory v</w:t>
            </w:r>
            <w:r w:rsidR="00971DD8">
              <w:rPr>
                <w:rFonts w:cstheme="minorHAnsi"/>
                <w:b/>
                <w:sz w:val="24"/>
                <w:szCs w:val="24"/>
              </w:rPr>
              <w:t xml:space="preserve"> </w:t>
            </w:r>
            <w:r w:rsidRPr="0030176A">
              <w:rPr>
                <w:rFonts w:cstheme="minorHAnsi"/>
                <w:b/>
                <w:sz w:val="24"/>
                <w:szCs w:val="24"/>
              </w:rPr>
              <w:t>porovnání s</w:t>
            </w:r>
            <w:r w:rsidR="00971DD8">
              <w:rPr>
                <w:rFonts w:cstheme="minorHAnsi"/>
                <w:b/>
                <w:sz w:val="24"/>
                <w:szCs w:val="24"/>
              </w:rPr>
              <w:t xml:space="preserve"> </w:t>
            </w:r>
            <w:r w:rsidRPr="0030176A">
              <w:rPr>
                <w:rFonts w:cstheme="minorHAnsi"/>
                <w:b/>
                <w:sz w:val="24"/>
                <w:szCs w:val="24"/>
              </w:rPr>
              <w:t>jinými obdobnými projekty. Pro zařazení projektu do 4. stupně škály hospodárnosti je rozhodující závažnost a četnost zjištěných nedostatků</w:t>
            </w:r>
            <w:r w:rsidRPr="0030176A">
              <w:rPr>
                <w:rStyle w:val="Znakapoznpodarou"/>
                <w:rFonts w:cstheme="minorHAnsi"/>
                <w:b/>
                <w:sz w:val="24"/>
                <w:szCs w:val="24"/>
              </w:rPr>
              <w:footnoteReference w:id="46"/>
            </w:r>
            <w:r w:rsidRPr="0030176A">
              <w:rPr>
                <w:rFonts w:cstheme="minorHAnsi"/>
                <w:b/>
                <w:sz w:val="24"/>
                <w:szCs w:val="24"/>
              </w:rPr>
              <w:t>. Projekt byl vyhodnocen jako neúčelný (byl zařazen do 4. stupně škály účelnosti).</w:t>
            </w:r>
            <w:r w:rsidRPr="0030176A">
              <w:rPr>
                <w:rFonts w:cstheme="minorHAnsi"/>
                <w:sz w:val="24"/>
                <w:szCs w:val="24"/>
              </w:rPr>
              <w:t xml:space="preserve"> </w:t>
            </w:r>
          </w:p>
        </w:tc>
      </w:tr>
    </w:tbl>
    <w:p w:rsidR="0030176A" w:rsidRPr="0030176A" w:rsidRDefault="0030176A" w:rsidP="0030176A">
      <w:pPr>
        <w:spacing w:after="0" w:line="240" w:lineRule="auto"/>
        <w:ind w:left="24" w:right="91"/>
        <w:contextualSpacing/>
        <w:jc w:val="both"/>
        <w:rPr>
          <w:rFonts w:cstheme="minorHAnsi"/>
          <w:sz w:val="24"/>
          <w:szCs w:val="24"/>
        </w:rPr>
      </w:pPr>
      <w:bookmarkStart w:id="27" w:name="_GoBack"/>
      <w:bookmarkEnd w:id="27"/>
    </w:p>
    <w:sectPr w:rsidR="0030176A" w:rsidRPr="0030176A" w:rsidSect="00191FA0">
      <w:footerReference w:type="default" r:id="rId55"/>
      <w:pgSz w:w="11906" w:h="16838"/>
      <w:pgMar w:top="1417" w:right="1417" w:bottom="1417" w:left="1417"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F1636B5" w16cex:dateUtc="2024-11-18T16:41:00Z"/>
  <w16cex:commentExtensible w16cex:durableId="10755ACE" w16cex:dateUtc="2024-11-19T10:2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5E07" w:rsidRDefault="00BF5E07" w:rsidP="00742A7E">
      <w:pPr>
        <w:spacing w:after="0" w:line="240" w:lineRule="auto"/>
      </w:pPr>
      <w:r>
        <w:separator/>
      </w:r>
    </w:p>
  </w:endnote>
  <w:endnote w:type="continuationSeparator" w:id="0">
    <w:p w:rsidR="00BF5E07" w:rsidRDefault="00BF5E07" w:rsidP="00742A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9526831"/>
      <w:docPartObj>
        <w:docPartGallery w:val="Page Numbers (Bottom of Page)"/>
        <w:docPartUnique/>
      </w:docPartObj>
    </w:sdtPr>
    <w:sdtEndPr/>
    <w:sdtContent>
      <w:p w:rsidR="00BF5E07" w:rsidRDefault="00BF5E07">
        <w:pPr>
          <w:pStyle w:val="Zpat"/>
          <w:jc w:val="center"/>
        </w:pPr>
        <w:r>
          <w:fldChar w:fldCharType="begin"/>
        </w:r>
        <w:r>
          <w:instrText>PAGE   \* MERGEFORMAT</w:instrText>
        </w:r>
        <w:r>
          <w:fldChar w:fldCharType="separate"/>
        </w:r>
        <w:r>
          <w:t>2</w:t>
        </w:r>
        <w:r>
          <w:fldChar w:fldCharType="end"/>
        </w:r>
      </w:p>
    </w:sdtContent>
  </w:sdt>
  <w:p w:rsidR="00BF5E07" w:rsidRDefault="00BF5E0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5E07" w:rsidRDefault="00BF5E07" w:rsidP="00742A7E">
      <w:pPr>
        <w:spacing w:after="0" w:line="240" w:lineRule="auto"/>
      </w:pPr>
      <w:r>
        <w:separator/>
      </w:r>
    </w:p>
  </w:footnote>
  <w:footnote w:type="continuationSeparator" w:id="0">
    <w:p w:rsidR="00BF5E07" w:rsidRDefault="00BF5E07" w:rsidP="00742A7E">
      <w:pPr>
        <w:spacing w:after="0" w:line="240" w:lineRule="auto"/>
      </w:pPr>
      <w:r>
        <w:continuationSeparator/>
      </w:r>
    </w:p>
  </w:footnote>
  <w:footnote w:id="1">
    <w:p w:rsidR="00BF5E07" w:rsidRDefault="00BF5E07" w:rsidP="001A4965">
      <w:pPr>
        <w:pStyle w:val="Textpoznpodarou"/>
        <w:ind w:left="284" w:hanging="284"/>
        <w:jc w:val="both"/>
      </w:pPr>
      <w:r>
        <w:rPr>
          <w:rStyle w:val="Znakapoznpodarou"/>
        </w:rPr>
        <w:footnoteRef/>
      </w:r>
      <w:r>
        <w:t xml:space="preserve"> </w:t>
      </w:r>
      <w:r>
        <w:tab/>
        <w:t xml:space="preserve">Blíže viz zejména </w:t>
      </w:r>
      <w:r w:rsidRPr="000B29CF">
        <w:rPr>
          <w:i/>
          <w:iCs/>
        </w:rPr>
        <w:t>Dopravní politika ČR pro období 2014</w:t>
      </w:r>
      <w:r w:rsidRPr="000B29CF">
        <w:rPr>
          <w:rFonts w:cstheme="minorHAnsi"/>
          <w:i/>
          <w:iCs/>
        </w:rPr>
        <w:t>–</w:t>
      </w:r>
      <w:r w:rsidRPr="000B29CF">
        <w:rPr>
          <w:i/>
          <w:iCs/>
        </w:rPr>
        <w:t>2020 s výhledem do roku 2050</w:t>
      </w:r>
      <w:r w:rsidRPr="001C7258">
        <w:t xml:space="preserve"> schvál</w:t>
      </w:r>
      <w:r>
        <w:t>ená</w:t>
      </w:r>
      <w:r w:rsidRPr="001C7258">
        <w:t xml:space="preserve"> vlád</w:t>
      </w:r>
      <w:r>
        <w:t>ou</w:t>
      </w:r>
      <w:r w:rsidRPr="001C7258">
        <w:t xml:space="preserve"> ČR </w:t>
      </w:r>
      <w:bookmarkStart w:id="6" w:name="_Hlk164834172"/>
      <w:r w:rsidRPr="001C7258">
        <w:t>usnesením</w:t>
      </w:r>
      <w:r>
        <w:t xml:space="preserve"> </w:t>
      </w:r>
      <w:r w:rsidRPr="001C7258">
        <w:t>ze dne</w:t>
      </w:r>
      <w:r>
        <w:t xml:space="preserve"> </w:t>
      </w:r>
      <w:r w:rsidRPr="001C7258">
        <w:t>12. června 2013 č. 449</w:t>
      </w:r>
      <w:bookmarkEnd w:id="6"/>
      <w:r w:rsidRPr="000B29CF">
        <w:rPr>
          <w:i/>
          <w:iCs/>
        </w:rPr>
        <w:t xml:space="preserve">, </w:t>
      </w:r>
      <w:bookmarkStart w:id="7" w:name="_Hlk182842743"/>
      <w:r w:rsidRPr="000B29CF">
        <w:rPr>
          <w:i/>
          <w:iCs/>
        </w:rPr>
        <w:t>Dopravní politika ČR pro období 2021</w:t>
      </w:r>
      <w:r w:rsidRPr="000B29CF">
        <w:rPr>
          <w:rFonts w:cstheme="minorHAnsi"/>
          <w:i/>
          <w:iCs/>
        </w:rPr>
        <w:t>–</w:t>
      </w:r>
      <w:r w:rsidRPr="000B29CF">
        <w:rPr>
          <w:i/>
          <w:iCs/>
        </w:rPr>
        <w:t xml:space="preserve">2027 s výhledem do roku </w:t>
      </w:r>
      <w:bookmarkEnd w:id="7"/>
      <w:r w:rsidRPr="000B29CF">
        <w:rPr>
          <w:i/>
          <w:iCs/>
        </w:rPr>
        <w:t>2050</w:t>
      </w:r>
      <w:r w:rsidRPr="00CC3746">
        <w:t xml:space="preserve"> schvál</w:t>
      </w:r>
      <w:r>
        <w:t>ená</w:t>
      </w:r>
      <w:r w:rsidRPr="00CC3746">
        <w:t xml:space="preserve"> vlád</w:t>
      </w:r>
      <w:r>
        <w:t>ou</w:t>
      </w:r>
      <w:r w:rsidRPr="00CC3746">
        <w:t xml:space="preserve"> ČR usnesením ze dne 8. března 2021 č. 259</w:t>
      </w:r>
      <w:r>
        <w:t xml:space="preserve">, </w:t>
      </w:r>
      <w:r w:rsidRPr="000B29CF">
        <w:rPr>
          <w:rFonts w:cstheme="minorHAnsi"/>
          <w:i/>
          <w:iCs/>
        </w:rPr>
        <w:t>Národní strategie bezpečnosti silničního provozu na období let 2011–2020</w:t>
      </w:r>
      <w:r w:rsidRPr="00D04CCB">
        <w:rPr>
          <w:rFonts w:cstheme="minorHAnsi"/>
        </w:rPr>
        <w:t xml:space="preserve"> </w:t>
      </w:r>
      <w:r w:rsidRPr="00132C4B">
        <w:rPr>
          <w:rFonts w:cstheme="minorHAnsi"/>
        </w:rPr>
        <w:t>schvál</w:t>
      </w:r>
      <w:r>
        <w:rPr>
          <w:rFonts w:cstheme="minorHAnsi"/>
        </w:rPr>
        <w:t>ená</w:t>
      </w:r>
      <w:r w:rsidRPr="00132C4B">
        <w:rPr>
          <w:rFonts w:cstheme="minorHAnsi"/>
        </w:rPr>
        <w:t xml:space="preserve"> vlád</w:t>
      </w:r>
      <w:r>
        <w:rPr>
          <w:rFonts w:cstheme="minorHAnsi"/>
        </w:rPr>
        <w:t>ou</w:t>
      </w:r>
      <w:r w:rsidRPr="00132C4B">
        <w:rPr>
          <w:rFonts w:cstheme="minorHAnsi"/>
        </w:rPr>
        <w:t xml:space="preserve"> ČR usnesením ze </w:t>
      </w:r>
      <w:r w:rsidRPr="00D04CCB">
        <w:rPr>
          <w:rFonts w:cstheme="minorHAnsi"/>
        </w:rPr>
        <w:t>dne 10. srpna 2011 č. 599</w:t>
      </w:r>
      <w:r>
        <w:rPr>
          <w:rFonts w:cstheme="minorHAnsi"/>
        </w:rPr>
        <w:t xml:space="preserve">, </w:t>
      </w:r>
      <w:r w:rsidRPr="000B29CF">
        <w:rPr>
          <w:i/>
          <w:iCs/>
        </w:rPr>
        <w:t>Koncepce městské a aktivní mobility pro období 2021</w:t>
      </w:r>
      <w:r w:rsidRPr="000B29CF">
        <w:rPr>
          <w:rFonts w:cstheme="minorHAnsi"/>
          <w:i/>
          <w:iCs/>
        </w:rPr>
        <w:t>–</w:t>
      </w:r>
      <w:r w:rsidRPr="000B29CF">
        <w:rPr>
          <w:i/>
          <w:iCs/>
        </w:rPr>
        <w:t>2030</w:t>
      </w:r>
      <w:r>
        <w:t xml:space="preserve"> </w:t>
      </w:r>
      <w:r w:rsidRPr="00CC3746">
        <w:t>schvá</w:t>
      </w:r>
      <w:r>
        <w:t>lená</w:t>
      </w:r>
      <w:r w:rsidRPr="00CC3746">
        <w:t xml:space="preserve"> vlád</w:t>
      </w:r>
      <w:r>
        <w:t>ou</w:t>
      </w:r>
      <w:r w:rsidRPr="00CC3746">
        <w:t xml:space="preserve"> ČR usnesením ze dne</w:t>
      </w:r>
      <w:r>
        <w:t xml:space="preserve"> </w:t>
      </w:r>
      <w:r w:rsidRPr="00A978D0">
        <w:t>11. ledna 2021 č.</w:t>
      </w:r>
      <w:r>
        <w:t> </w:t>
      </w:r>
      <w:r w:rsidRPr="00A978D0">
        <w:t>26</w:t>
      </w:r>
      <w:r>
        <w:t>.</w:t>
      </w:r>
    </w:p>
  </w:footnote>
  <w:footnote w:id="2">
    <w:p w:rsidR="00BF5E07" w:rsidRDefault="00BF5E07" w:rsidP="000B29CF">
      <w:pPr>
        <w:pStyle w:val="Textpoznpodarou"/>
        <w:ind w:left="284" w:hanging="284"/>
      </w:pPr>
      <w:r>
        <w:rPr>
          <w:rStyle w:val="Znakapoznpodarou"/>
        </w:rPr>
        <w:footnoteRef/>
      </w:r>
      <w:r>
        <w:t xml:space="preserve"> </w:t>
      </w:r>
      <w:r>
        <w:tab/>
      </w:r>
      <w:r w:rsidRPr="001655A9">
        <w:rPr>
          <w:rFonts w:cstheme="minorHAnsi"/>
        </w:rPr>
        <w:t>Ustanovení</w:t>
      </w:r>
      <w:r>
        <w:rPr>
          <w:rFonts w:cstheme="minorHAnsi"/>
        </w:rPr>
        <w:t xml:space="preserve"> </w:t>
      </w:r>
      <w:r w:rsidRPr="00D92ACF">
        <w:rPr>
          <w:rFonts w:cstheme="minorHAnsi"/>
        </w:rPr>
        <w:t>§ 35 odst. 2</w:t>
      </w:r>
      <w:r>
        <w:rPr>
          <w:rFonts w:cstheme="minorHAnsi"/>
        </w:rPr>
        <w:t xml:space="preserve"> </w:t>
      </w:r>
      <w:r w:rsidRPr="007C5A1B">
        <w:rPr>
          <w:rFonts w:cstheme="minorHAnsi"/>
        </w:rPr>
        <w:t>zákona</w:t>
      </w:r>
      <w:r>
        <w:rPr>
          <w:rFonts w:cstheme="minorHAnsi"/>
        </w:rPr>
        <w:t xml:space="preserve"> č. 128/2000 Sb., o obcích (obecní zřízení).</w:t>
      </w:r>
    </w:p>
  </w:footnote>
  <w:footnote w:id="3">
    <w:p w:rsidR="00BF5E07" w:rsidRDefault="00BF5E07" w:rsidP="000B29CF">
      <w:pPr>
        <w:pStyle w:val="Textpoznpodarou"/>
        <w:ind w:left="284" w:hanging="284"/>
        <w:jc w:val="both"/>
      </w:pPr>
      <w:r>
        <w:rPr>
          <w:rStyle w:val="Znakapoznpodarou"/>
        </w:rPr>
        <w:footnoteRef/>
      </w:r>
      <w:r>
        <w:t xml:space="preserve"> </w:t>
      </w:r>
      <w:r>
        <w:tab/>
        <w:t xml:space="preserve">Ustanovení § </w:t>
      </w:r>
      <w:r>
        <w:rPr>
          <w:rFonts w:cstheme="minorHAnsi"/>
        </w:rPr>
        <w:t>22</w:t>
      </w:r>
      <w:r w:rsidRPr="007C5A1B">
        <w:rPr>
          <w:rFonts w:cstheme="minorHAnsi"/>
        </w:rPr>
        <w:t xml:space="preserve"> zákona České národní rady č. 2/1969 Sb.</w:t>
      </w:r>
      <w:r>
        <w:rPr>
          <w:rFonts w:cstheme="minorHAnsi"/>
        </w:rPr>
        <w:t xml:space="preserve">, </w:t>
      </w:r>
      <w:r w:rsidRPr="00BC62A3">
        <w:rPr>
          <w:rFonts w:cstheme="minorHAnsi"/>
        </w:rPr>
        <w:t>o zřízení ministerstev a jiných ústředních orgánů státní správy České republiky</w:t>
      </w:r>
      <w:r>
        <w:rPr>
          <w:rFonts w:cstheme="minorHAnsi"/>
        </w:rPr>
        <w:t xml:space="preserve">. </w:t>
      </w:r>
    </w:p>
  </w:footnote>
  <w:footnote w:id="4">
    <w:p w:rsidR="00BF5E07" w:rsidRPr="00DF303C" w:rsidRDefault="00BF5E07" w:rsidP="000B29CF">
      <w:pPr>
        <w:pStyle w:val="poznmkapodarou"/>
        <w:spacing w:line="252" w:lineRule="auto"/>
        <w:rPr>
          <w:rFonts w:asciiTheme="minorHAnsi" w:hAnsiTheme="minorHAnsi" w:cstheme="minorHAnsi"/>
        </w:rPr>
      </w:pPr>
      <w:r w:rsidRPr="004C3DDD">
        <w:rPr>
          <w:rStyle w:val="Znakapoznpodarou"/>
          <w:rFonts w:asciiTheme="minorHAnsi" w:hAnsiTheme="minorHAnsi" w:cstheme="minorHAnsi"/>
        </w:rPr>
        <w:footnoteRef/>
      </w:r>
      <w:r w:rsidRPr="004C3DDD">
        <w:rPr>
          <w:rFonts w:asciiTheme="minorHAnsi" w:hAnsiTheme="minorHAnsi" w:cstheme="minorHAnsi"/>
        </w:rPr>
        <w:t xml:space="preserve"> </w:t>
      </w:r>
      <w:r>
        <w:rPr>
          <w:rFonts w:asciiTheme="minorHAnsi" w:hAnsiTheme="minorHAnsi" w:cstheme="minorHAnsi"/>
        </w:rPr>
        <w:tab/>
        <w:t>P</w:t>
      </w:r>
      <w:r w:rsidRPr="00442679">
        <w:rPr>
          <w:rFonts w:asciiTheme="minorHAnsi" w:hAnsiTheme="minorHAnsi" w:cstheme="minorHAnsi"/>
        </w:rPr>
        <w:t xml:space="preserve">ovinnost zkoumat společenskou problematiku v okruhu své působnosti, analyzovat dosahované výsledky </w:t>
      </w:r>
      <w:r>
        <w:rPr>
          <w:rFonts w:asciiTheme="minorHAnsi" w:hAnsiTheme="minorHAnsi" w:cstheme="minorHAnsi"/>
        </w:rPr>
        <w:br/>
      </w:r>
      <w:r w:rsidRPr="00442679">
        <w:rPr>
          <w:rFonts w:asciiTheme="minorHAnsi" w:hAnsiTheme="minorHAnsi" w:cstheme="minorHAnsi"/>
        </w:rPr>
        <w:t>a činit opatření k řešení aktuálních otázek</w:t>
      </w:r>
      <w:r w:rsidRPr="001655A9">
        <w:rPr>
          <w:rFonts w:asciiTheme="minorHAnsi" w:hAnsiTheme="minorHAnsi" w:cstheme="minorHAnsi"/>
        </w:rPr>
        <w:t xml:space="preserve"> </w:t>
      </w:r>
      <w:r>
        <w:rPr>
          <w:rFonts w:asciiTheme="minorHAnsi" w:hAnsiTheme="minorHAnsi" w:cstheme="minorHAnsi"/>
        </w:rPr>
        <w:t>ukládá ministerstvům u</w:t>
      </w:r>
      <w:r w:rsidRPr="001655A9">
        <w:rPr>
          <w:rFonts w:asciiTheme="minorHAnsi" w:hAnsiTheme="minorHAnsi" w:cstheme="minorHAnsi"/>
        </w:rPr>
        <w:t>stanovení</w:t>
      </w:r>
      <w:r>
        <w:rPr>
          <w:rFonts w:asciiTheme="minorHAnsi" w:hAnsiTheme="minorHAnsi" w:cstheme="minorHAnsi"/>
        </w:rPr>
        <w:t xml:space="preserve"> </w:t>
      </w:r>
      <w:r w:rsidRPr="001C7692">
        <w:rPr>
          <w:rFonts w:asciiTheme="minorHAnsi" w:hAnsiTheme="minorHAnsi" w:cstheme="minorHAnsi"/>
        </w:rPr>
        <w:t xml:space="preserve">§ </w:t>
      </w:r>
      <w:r>
        <w:rPr>
          <w:rFonts w:asciiTheme="minorHAnsi" w:hAnsiTheme="minorHAnsi" w:cstheme="minorHAnsi"/>
        </w:rPr>
        <w:t>22</w:t>
      </w:r>
      <w:r w:rsidRPr="007C5A1B">
        <w:rPr>
          <w:rFonts w:asciiTheme="minorHAnsi" w:hAnsiTheme="minorHAnsi" w:cstheme="minorHAnsi"/>
        </w:rPr>
        <w:t xml:space="preserve"> zákona České národní rady č.</w:t>
      </w:r>
      <w:r>
        <w:rPr>
          <w:rFonts w:asciiTheme="minorHAnsi" w:hAnsiTheme="minorHAnsi" w:cstheme="minorHAnsi"/>
        </w:rPr>
        <w:t> </w:t>
      </w:r>
      <w:r w:rsidRPr="007C5A1B">
        <w:rPr>
          <w:rFonts w:asciiTheme="minorHAnsi" w:hAnsiTheme="minorHAnsi" w:cstheme="minorHAnsi"/>
        </w:rPr>
        <w:t>2/1969 Sb.</w:t>
      </w:r>
      <w:r>
        <w:rPr>
          <w:rFonts w:asciiTheme="minorHAnsi" w:eastAsia="Arial Unicode MS" w:hAnsiTheme="minorHAnsi" w:cstheme="minorHAnsi"/>
          <w:bCs/>
        </w:rPr>
        <w:t xml:space="preserve"> Požadavky na tvorbu a implementaci strategií vyplývají z </w:t>
      </w:r>
      <w:r w:rsidRPr="000B29CF">
        <w:rPr>
          <w:rFonts w:asciiTheme="minorHAnsi" w:eastAsia="Arial Unicode MS" w:hAnsiTheme="minorHAnsi" w:cstheme="minorHAnsi"/>
          <w:bCs/>
          <w:i/>
          <w:iCs/>
        </w:rPr>
        <w:t>Metodiky přípravy veřejných strategií</w:t>
      </w:r>
      <w:r>
        <w:rPr>
          <w:rFonts w:asciiTheme="minorHAnsi" w:eastAsia="Arial Unicode MS" w:hAnsiTheme="minorHAnsi" w:cstheme="minorHAnsi"/>
          <w:bCs/>
        </w:rPr>
        <w:t xml:space="preserve"> (blíže viz odstavec 4.1). </w:t>
      </w:r>
    </w:p>
  </w:footnote>
  <w:footnote w:id="5">
    <w:p w:rsidR="00BF5E07" w:rsidRDefault="00BF5E07" w:rsidP="000B29CF">
      <w:pPr>
        <w:pStyle w:val="Textpoznpodarou"/>
        <w:ind w:left="284" w:hanging="284"/>
        <w:jc w:val="both"/>
      </w:pPr>
      <w:r>
        <w:rPr>
          <w:rStyle w:val="Znakapoznpodarou"/>
        </w:rPr>
        <w:footnoteRef/>
      </w:r>
      <w:r>
        <w:t xml:space="preserve"> </w:t>
      </w:r>
      <w:r>
        <w:tab/>
      </w:r>
      <w:r w:rsidRPr="003F1F77">
        <w:rPr>
          <w:rFonts w:cstheme="minorHAnsi"/>
        </w:rPr>
        <w:t>Stanovení konkrétních, měřitelných, dosažitelných, relevantních a časově vymezených cílů a ukazatelů výkonnosti pro sledování jejich plnění patří mezi základní předpoklady řádného finančního řízení</w:t>
      </w:r>
      <w:r>
        <w:rPr>
          <w:rFonts w:cstheme="minorHAnsi"/>
        </w:rPr>
        <w:t xml:space="preserve"> </w:t>
      </w:r>
      <w:r>
        <w:rPr>
          <w:rFonts w:eastAsia="Arial Unicode MS" w:cstheme="minorHAnsi"/>
          <w:bCs/>
        </w:rPr>
        <w:t>(blíže viz odstavec 4.1)</w:t>
      </w:r>
      <w:r>
        <w:rPr>
          <w:rFonts w:cstheme="minorHAnsi"/>
        </w:rPr>
        <w:t>.</w:t>
      </w:r>
    </w:p>
  </w:footnote>
  <w:footnote w:id="6">
    <w:p w:rsidR="00BF5E07" w:rsidRDefault="00BF5E07" w:rsidP="000B29CF">
      <w:pPr>
        <w:pStyle w:val="Textpoznpodarou"/>
        <w:ind w:left="284" w:hanging="284"/>
        <w:jc w:val="both"/>
      </w:pPr>
      <w:r>
        <w:rPr>
          <w:rStyle w:val="Znakapoznpodarou"/>
        </w:rPr>
        <w:footnoteRef/>
      </w:r>
      <w:r>
        <w:t xml:space="preserve"> </w:t>
      </w:r>
      <w:r>
        <w:tab/>
        <w:t xml:space="preserve">Povinnost MD a MMR </w:t>
      </w:r>
      <w:r w:rsidRPr="00442679">
        <w:rPr>
          <w:rFonts w:cstheme="minorHAnsi"/>
        </w:rPr>
        <w:t>analyzovat dosahované výsledky</w:t>
      </w:r>
      <w:r>
        <w:rPr>
          <w:rFonts w:cstheme="minorHAnsi"/>
        </w:rPr>
        <w:t xml:space="preserve"> vyplývá mj. z u</w:t>
      </w:r>
      <w:r w:rsidRPr="001655A9">
        <w:rPr>
          <w:rFonts w:cstheme="minorHAnsi"/>
        </w:rPr>
        <w:t>stanovení</w:t>
      </w:r>
      <w:r>
        <w:rPr>
          <w:rFonts w:cstheme="minorHAnsi"/>
        </w:rPr>
        <w:t xml:space="preserve"> </w:t>
      </w:r>
      <w:r w:rsidRPr="001C7692">
        <w:rPr>
          <w:rFonts w:cstheme="minorHAnsi"/>
        </w:rPr>
        <w:t xml:space="preserve">§ </w:t>
      </w:r>
      <w:r>
        <w:rPr>
          <w:rFonts w:cstheme="minorHAnsi"/>
        </w:rPr>
        <w:t>22</w:t>
      </w:r>
      <w:r w:rsidRPr="007C5A1B">
        <w:rPr>
          <w:rFonts w:cstheme="minorHAnsi"/>
        </w:rPr>
        <w:t xml:space="preserve"> zákona České národní rady č. 2/1969 Sb.</w:t>
      </w:r>
      <w:r>
        <w:rPr>
          <w:rFonts w:eastAsia="Arial Unicode MS" w:cstheme="minorHAnsi"/>
          <w:bCs/>
        </w:rPr>
        <w:t xml:space="preserve"> Odpovědnost MD a MMR za </w:t>
      </w:r>
      <w:r w:rsidRPr="009E593A">
        <w:rPr>
          <w:rFonts w:eastAsia="Arial Unicode MS" w:cstheme="minorHAnsi"/>
          <w:bCs/>
        </w:rPr>
        <w:t xml:space="preserve">hospodaření s prostředky státního rozpočtu a jinými peněžními prostředky státu </w:t>
      </w:r>
      <w:r>
        <w:rPr>
          <w:rFonts w:eastAsia="Arial Unicode MS" w:cstheme="minorHAnsi"/>
          <w:bCs/>
        </w:rPr>
        <w:t xml:space="preserve">v jejich rozpočtových </w:t>
      </w:r>
      <w:r w:rsidRPr="009E593A">
        <w:rPr>
          <w:rFonts w:eastAsia="Arial Unicode MS" w:cstheme="minorHAnsi"/>
          <w:bCs/>
        </w:rPr>
        <w:t>kapitol</w:t>
      </w:r>
      <w:r>
        <w:rPr>
          <w:rFonts w:eastAsia="Arial Unicode MS" w:cstheme="minorHAnsi"/>
          <w:bCs/>
        </w:rPr>
        <w:t xml:space="preserve">ách vyplývá z § 39 odst. 1 zákona č. 218/2000 Sb., </w:t>
      </w:r>
      <w:r w:rsidRPr="009E593A">
        <w:rPr>
          <w:rFonts w:eastAsia="Arial Unicode MS" w:cstheme="minorHAnsi"/>
          <w:bCs/>
        </w:rPr>
        <w:t>o</w:t>
      </w:r>
      <w:r>
        <w:rPr>
          <w:rFonts w:eastAsia="Arial Unicode MS" w:cstheme="minorHAnsi"/>
          <w:bCs/>
        </w:rPr>
        <w:t> </w:t>
      </w:r>
      <w:r w:rsidRPr="009E593A">
        <w:rPr>
          <w:rFonts w:eastAsia="Arial Unicode MS" w:cstheme="minorHAnsi"/>
          <w:bCs/>
        </w:rPr>
        <w:t>rozpočtových pravidlech a o změně některých souvisejících zákonů</w:t>
      </w:r>
      <w:r>
        <w:rPr>
          <w:rFonts w:eastAsia="Arial Unicode MS" w:cstheme="minorHAnsi"/>
          <w:bCs/>
        </w:rPr>
        <w:t xml:space="preserve"> </w:t>
      </w:r>
      <w:r w:rsidRPr="009E593A">
        <w:rPr>
          <w:rFonts w:eastAsia="Arial Unicode MS" w:cstheme="minorHAnsi"/>
          <w:bCs/>
        </w:rPr>
        <w:t>(rozpočtová pravidla).</w:t>
      </w:r>
      <w:r>
        <w:rPr>
          <w:rFonts w:eastAsia="Arial Unicode MS" w:cstheme="minorHAnsi"/>
          <w:bCs/>
        </w:rPr>
        <w:t xml:space="preserve"> Povinnost SFDI </w:t>
      </w:r>
      <w:r w:rsidRPr="00286F6D">
        <w:rPr>
          <w:rFonts w:cstheme="minorHAnsi"/>
        </w:rPr>
        <w:t>zajišť</w:t>
      </w:r>
      <w:r>
        <w:rPr>
          <w:rFonts w:cstheme="minorHAnsi"/>
        </w:rPr>
        <w:t>ovat</w:t>
      </w:r>
      <w:r w:rsidRPr="00286F6D">
        <w:rPr>
          <w:rFonts w:cstheme="minorHAnsi"/>
        </w:rPr>
        <w:t xml:space="preserve"> efektivní využití poskytovaných prostředků podle schváleného rozpočtu</w:t>
      </w:r>
      <w:r>
        <w:rPr>
          <w:rFonts w:eastAsia="Arial Unicode MS" w:cstheme="minorHAnsi"/>
          <w:bCs/>
        </w:rPr>
        <w:t xml:space="preserve"> vyplývá z ustanovení §</w:t>
      </w:r>
      <w:r>
        <w:rPr>
          <w:rFonts w:cstheme="minorHAnsi"/>
        </w:rPr>
        <w:t> </w:t>
      </w:r>
      <w:r w:rsidRPr="00286F6D">
        <w:rPr>
          <w:rFonts w:cstheme="minorHAnsi"/>
        </w:rPr>
        <w:t>3</w:t>
      </w:r>
      <w:r>
        <w:rPr>
          <w:rFonts w:cstheme="minorHAnsi"/>
        </w:rPr>
        <w:t> </w:t>
      </w:r>
      <w:r w:rsidRPr="00286F6D">
        <w:rPr>
          <w:rFonts w:cstheme="minorHAnsi"/>
        </w:rPr>
        <w:t>odst. 1 zákona č. 104/2000 Sb.</w:t>
      </w:r>
      <w:r>
        <w:rPr>
          <w:rFonts w:cstheme="minorHAnsi"/>
        </w:rPr>
        <w:t>, o Státním fondu dopravní infrastruktury.</w:t>
      </w:r>
    </w:p>
  </w:footnote>
  <w:footnote w:id="7">
    <w:p w:rsidR="00BF5E07" w:rsidRPr="00767980" w:rsidRDefault="00BF5E07" w:rsidP="000B29CF">
      <w:pPr>
        <w:pStyle w:val="Textpoznpodarou"/>
        <w:ind w:left="284" w:hanging="284"/>
        <w:rPr>
          <w:rFonts w:cstheme="minorHAnsi"/>
        </w:rPr>
      </w:pPr>
      <w:r>
        <w:rPr>
          <w:rStyle w:val="Znakapoznpodarou"/>
        </w:rPr>
        <w:footnoteRef/>
      </w:r>
      <w:r>
        <w:t xml:space="preserve"> </w:t>
      </w:r>
      <w:r>
        <w:tab/>
        <w:t xml:space="preserve">Ustanovení </w:t>
      </w:r>
      <w:r w:rsidRPr="00D92ACF">
        <w:rPr>
          <w:rFonts w:cstheme="minorHAnsi"/>
        </w:rPr>
        <w:t>§ 9 odst. 3 zákona č. 13/1997 Sb.</w:t>
      </w:r>
      <w:r>
        <w:rPr>
          <w:rFonts w:cstheme="minorHAnsi"/>
        </w:rPr>
        <w:t xml:space="preserve">, </w:t>
      </w:r>
      <w:r w:rsidRPr="00767980">
        <w:rPr>
          <w:rFonts w:cstheme="minorHAnsi"/>
          <w:color w:val="000000"/>
        </w:rPr>
        <w:t>o pozemních komunikacích.</w:t>
      </w:r>
    </w:p>
    <w:p w:rsidR="00BF5E07" w:rsidRDefault="00BF5E07" w:rsidP="00AA5922">
      <w:pPr>
        <w:pStyle w:val="Textpoznpodarou"/>
      </w:pPr>
    </w:p>
  </w:footnote>
  <w:footnote w:id="8">
    <w:p w:rsidR="00BF5E07" w:rsidRPr="001A4965" w:rsidRDefault="00BF5E07" w:rsidP="001A4965">
      <w:pPr>
        <w:pStyle w:val="poznmkapodarou"/>
        <w:rPr>
          <w:rFonts w:asciiTheme="minorHAnsi" w:eastAsiaTheme="minorHAnsi" w:hAnsiTheme="minorHAnsi" w:cstheme="minorHAnsi"/>
        </w:rPr>
      </w:pPr>
      <w:r w:rsidRPr="001A4965">
        <w:rPr>
          <w:rFonts w:asciiTheme="minorHAnsi" w:eastAsiaTheme="minorHAnsi" w:hAnsiTheme="minorHAnsi" w:cstheme="minorHAnsi"/>
          <w:vertAlign w:val="superscript"/>
        </w:rPr>
        <w:footnoteRef/>
      </w:r>
      <w:r w:rsidRPr="001A4965">
        <w:rPr>
          <w:rFonts w:asciiTheme="minorHAnsi" w:eastAsiaTheme="minorHAnsi" w:hAnsiTheme="minorHAnsi" w:cstheme="minorHAnsi"/>
        </w:rPr>
        <w:t xml:space="preserve"> </w:t>
      </w:r>
      <w:r>
        <w:rPr>
          <w:rFonts w:asciiTheme="minorHAnsi" w:eastAsiaTheme="minorHAnsi" w:hAnsiTheme="minorHAnsi" w:cstheme="minorHAnsi"/>
        </w:rPr>
        <w:tab/>
      </w:r>
      <w:r w:rsidRPr="001A4965">
        <w:rPr>
          <w:rFonts w:asciiTheme="minorHAnsi" w:eastAsiaTheme="minorHAnsi" w:hAnsiTheme="minorHAnsi" w:cstheme="minorHAnsi"/>
        </w:rPr>
        <w:t>Ustanovení § 17 zákona České národní rady č. 2/1969 Sb.</w:t>
      </w:r>
    </w:p>
  </w:footnote>
  <w:footnote w:id="9">
    <w:p w:rsidR="00BF5E07" w:rsidRPr="001A4965" w:rsidRDefault="00BF5E07" w:rsidP="001A4965">
      <w:pPr>
        <w:pStyle w:val="poznmkapodarou"/>
        <w:rPr>
          <w:rFonts w:asciiTheme="minorHAnsi" w:hAnsiTheme="minorHAnsi" w:cstheme="minorHAnsi"/>
        </w:rPr>
      </w:pPr>
      <w:r w:rsidRPr="001A4965">
        <w:rPr>
          <w:rStyle w:val="Znakapoznpodarou"/>
          <w:rFonts w:asciiTheme="minorHAnsi" w:hAnsiTheme="minorHAnsi" w:cstheme="minorHAnsi"/>
        </w:rPr>
        <w:footnoteRef/>
      </w:r>
      <w:r w:rsidRPr="001A4965">
        <w:rPr>
          <w:rFonts w:asciiTheme="minorHAnsi" w:hAnsiTheme="minorHAnsi" w:cstheme="minorHAnsi"/>
        </w:rPr>
        <w:t xml:space="preserve"> </w:t>
      </w:r>
      <w:r>
        <w:rPr>
          <w:rFonts w:asciiTheme="minorHAnsi" w:hAnsiTheme="minorHAnsi" w:cstheme="minorHAnsi"/>
        </w:rPr>
        <w:tab/>
      </w:r>
      <w:r w:rsidRPr="001A4965">
        <w:rPr>
          <w:rFonts w:asciiTheme="minorHAnsi" w:hAnsiTheme="minorHAnsi" w:cstheme="minorHAnsi"/>
        </w:rPr>
        <w:t>Ustanovení § 22 zákona České národní rady č. 2/1969 Sb.</w:t>
      </w:r>
      <w:r w:rsidRPr="001A4965">
        <w:rPr>
          <w:rFonts w:asciiTheme="minorHAnsi" w:eastAsia="Arial Unicode MS" w:hAnsiTheme="minorHAnsi" w:cstheme="minorHAnsi"/>
          <w:bCs/>
        </w:rPr>
        <w:t xml:space="preserve"> </w:t>
      </w:r>
    </w:p>
  </w:footnote>
  <w:footnote w:id="10">
    <w:p w:rsidR="00BF5E07" w:rsidRPr="001A4965" w:rsidRDefault="00BF5E07" w:rsidP="001A4965">
      <w:pPr>
        <w:pStyle w:val="Textpoznpodarou"/>
        <w:ind w:left="284" w:hanging="284"/>
        <w:rPr>
          <w:rFonts w:cstheme="minorHAnsi"/>
        </w:rPr>
      </w:pPr>
      <w:r w:rsidRPr="001A4965">
        <w:rPr>
          <w:rFonts w:cstheme="minorHAnsi"/>
          <w:vertAlign w:val="superscript"/>
        </w:rPr>
        <w:footnoteRef/>
      </w:r>
      <w:r w:rsidRPr="001A4965">
        <w:rPr>
          <w:rFonts w:cstheme="minorHAnsi"/>
        </w:rPr>
        <w:t xml:space="preserve"> </w:t>
      </w:r>
      <w:r>
        <w:rPr>
          <w:rFonts w:cstheme="minorHAnsi"/>
        </w:rPr>
        <w:tab/>
      </w:r>
      <w:r w:rsidRPr="001A4965">
        <w:rPr>
          <w:rFonts w:cstheme="minorHAnsi"/>
        </w:rPr>
        <w:t>Ustanovení § 2 odst. 1 písm. e) zákona č. 104/2000 Sb.</w:t>
      </w:r>
    </w:p>
  </w:footnote>
  <w:footnote w:id="11">
    <w:p w:rsidR="00BF5E07" w:rsidRPr="001A4965" w:rsidRDefault="00BF5E07" w:rsidP="000B29CF">
      <w:pPr>
        <w:pStyle w:val="Textpoznpodarou"/>
        <w:ind w:left="284" w:hanging="284"/>
      </w:pPr>
      <w:r w:rsidRPr="001A4965">
        <w:rPr>
          <w:rStyle w:val="Znakapoznpodarou"/>
        </w:rPr>
        <w:footnoteRef/>
      </w:r>
      <w:r w:rsidRPr="001A4965">
        <w:t xml:space="preserve"> </w:t>
      </w:r>
      <w:r>
        <w:tab/>
      </w:r>
      <w:r w:rsidRPr="001A4965">
        <w:t>Ustanovení § 14 odst. 1 zákona České národní rady č. 2/1969 Sb.</w:t>
      </w:r>
    </w:p>
  </w:footnote>
  <w:footnote w:id="12">
    <w:p w:rsidR="00BF5E07" w:rsidRPr="001A4965" w:rsidRDefault="00BF5E07" w:rsidP="000B29CF">
      <w:pPr>
        <w:spacing w:after="0" w:line="252" w:lineRule="auto"/>
        <w:ind w:left="284" w:hanging="284"/>
        <w:contextualSpacing/>
        <w:jc w:val="both"/>
        <w:rPr>
          <w:rFonts w:cstheme="minorHAnsi"/>
          <w:sz w:val="20"/>
          <w:szCs w:val="20"/>
        </w:rPr>
      </w:pPr>
      <w:r w:rsidRPr="001A4965">
        <w:rPr>
          <w:rFonts w:cstheme="minorHAnsi"/>
          <w:sz w:val="20"/>
          <w:szCs w:val="20"/>
          <w:vertAlign w:val="superscript"/>
        </w:rPr>
        <w:footnoteRef/>
      </w:r>
      <w:r w:rsidRPr="001A4965">
        <w:rPr>
          <w:rFonts w:cstheme="minorHAnsi"/>
          <w:sz w:val="20"/>
          <w:szCs w:val="20"/>
        </w:rPr>
        <w:t xml:space="preserve"> </w:t>
      </w:r>
      <w:r>
        <w:rPr>
          <w:rFonts w:cstheme="minorHAnsi"/>
          <w:sz w:val="20"/>
          <w:szCs w:val="20"/>
        </w:rPr>
        <w:tab/>
      </w:r>
      <w:r w:rsidRPr="001A4965">
        <w:rPr>
          <w:rFonts w:cstheme="minorHAnsi"/>
          <w:sz w:val="20"/>
          <w:szCs w:val="20"/>
        </w:rPr>
        <w:t>Programový dokument IROP schválila vláda České republiky usnesením ze dne 9.</w:t>
      </w:r>
      <w:r>
        <w:rPr>
          <w:rFonts w:cstheme="minorHAnsi"/>
          <w:sz w:val="20"/>
          <w:szCs w:val="20"/>
        </w:rPr>
        <w:t xml:space="preserve"> </w:t>
      </w:r>
      <w:r w:rsidRPr="001A4965">
        <w:rPr>
          <w:rFonts w:cstheme="minorHAnsi"/>
          <w:sz w:val="20"/>
          <w:szCs w:val="20"/>
        </w:rPr>
        <w:t xml:space="preserve">července 2014 č. 555, </w:t>
      </w:r>
      <w:r w:rsidRPr="003D10B1">
        <w:rPr>
          <w:rFonts w:cstheme="minorHAnsi"/>
          <w:i/>
          <w:sz w:val="20"/>
          <w:szCs w:val="20"/>
        </w:rPr>
        <w:t>o Integrovaném regionálním operačním programu pro období let 2014–2020</w:t>
      </w:r>
      <w:r w:rsidRPr="001A4965">
        <w:rPr>
          <w:rFonts w:cstheme="minorHAnsi"/>
          <w:sz w:val="20"/>
          <w:szCs w:val="20"/>
        </w:rPr>
        <w:t xml:space="preserve">. </w:t>
      </w:r>
    </w:p>
  </w:footnote>
  <w:footnote w:id="13">
    <w:p w:rsidR="00BF5E07" w:rsidRPr="001A4965" w:rsidRDefault="00BF5E07" w:rsidP="000B29CF">
      <w:pPr>
        <w:spacing w:after="0" w:line="252" w:lineRule="auto"/>
        <w:ind w:left="284" w:hanging="284"/>
        <w:contextualSpacing/>
        <w:jc w:val="both"/>
        <w:rPr>
          <w:rFonts w:cstheme="minorHAnsi"/>
          <w:sz w:val="20"/>
          <w:szCs w:val="20"/>
        </w:rPr>
      </w:pPr>
      <w:r w:rsidRPr="000B29CF">
        <w:rPr>
          <w:rStyle w:val="Znakapoznpodarou"/>
          <w:rFonts w:cstheme="minorHAnsi"/>
          <w:sz w:val="20"/>
          <w:szCs w:val="20"/>
        </w:rPr>
        <w:footnoteRef/>
      </w:r>
      <w:r w:rsidRPr="001A4965">
        <w:rPr>
          <w:rFonts w:cstheme="minorHAnsi"/>
          <w:sz w:val="20"/>
          <w:szCs w:val="20"/>
        </w:rPr>
        <w:t xml:space="preserve"> </w:t>
      </w:r>
      <w:r>
        <w:rPr>
          <w:rFonts w:cstheme="minorHAnsi"/>
          <w:sz w:val="20"/>
          <w:szCs w:val="20"/>
        </w:rPr>
        <w:tab/>
      </w:r>
      <w:r w:rsidRPr="001A4965">
        <w:rPr>
          <w:rFonts w:cstheme="minorHAnsi"/>
          <w:sz w:val="20"/>
          <w:szCs w:val="20"/>
        </w:rPr>
        <w:t xml:space="preserve">Programový dokument IROP2 schválila vláda České republiky usnesením ze dne 5. listopadu 2021 č. 955, </w:t>
      </w:r>
      <w:r w:rsidRPr="003D10B1">
        <w:rPr>
          <w:rFonts w:cstheme="minorHAnsi"/>
          <w:i/>
          <w:sz w:val="20"/>
          <w:szCs w:val="20"/>
        </w:rPr>
        <w:t>o Integrovaném regionálním programu pro období let 2021–2027</w:t>
      </w:r>
      <w:r w:rsidRPr="001A4965">
        <w:rPr>
          <w:rFonts w:cstheme="minorHAnsi"/>
          <w:sz w:val="20"/>
          <w:szCs w:val="20"/>
        </w:rPr>
        <w:t xml:space="preserve">. </w:t>
      </w:r>
    </w:p>
  </w:footnote>
  <w:footnote w:id="14">
    <w:p w:rsidR="00BF5E07" w:rsidRDefault="00BF5E07" w:rsidP="006E3699">
      <w:pPr>
        <w:pStyle w:val="Textpoznpodarou"/>
        <w:ind w:left="284" w:hanging="284"/>
      </w:pPr>
      <w:r>
        <w:rPr>
          <w:rStyle w:val="Znakapoznpodarou"/>
        </w:rPr>
        <w:footnoteRef/>
      </w:r>
      <w:r>
        <w:t xml:space="preserve"> </w:t>
      </w:r>
      <w:r>
        <w:tab/>
        <w:t>Registrace akce a rozhodnutí o poskytnutí dotace.</w:t>
      </w:r>
    </w:p>
  </w:footnote>
  <w:footnote w:id="15">
    <w:p w:rsidR="00BF5E07" w:rsidRPr="00767980" w:rsidRDefault="00BF5E07" w:rsidP="000B29CF">
      <w:pPr>
        <w:pStyle w:val="Textpoznpodarou"/>
        <w:spacing w:line="252" w:lineRule="auto"/>
        <w:ind w:left="284" w:hanging="284"/>
        <w:contextualSpacing/>
        <w:rPr>
          <w:rFonts w:cstheme="minorHAnsi"/>
        </w:rPr>
      </w:pPr>
      <w:r w:rsidRPr="00767980">
        <w:rPr>
          <w:rStyle w:val="Znakapoznpodarou"/>
          <w:rFonts w:cstheme="minorHAnsi"/>
        </w:rPr>
        <w:footnoteRef/>
      </w:r>
      <w:r w:rsidRPr="00767980">
        <w:rPr>
          <w:rFonts w:cstheme="minorHAnsi"/>
        </w:rPr>
        <w:t xml:space="preserve"> </w:t>
      </w:r>
      <w:r>
        <w:rPr>
          <w:rFonts w:cstheme="minorHAnsi"/>
        </w:rPr>
        <w:tab/>
      </w:r>
      <w:r w:rsidRPr="00767980">
        <w:rPr>
          <w:rFonts w:cstheme="minorHAnsi"/>
        </w:rPr>
        <w:t xml:space="preserve">Ustanovení </w:t>
      </w:r>
      <w:r w:rsidRPr="00767980">
        <w:rPr>
          <w:rFonts w:cstheme="minorHAnsi"/>
          <w:color w:val="000000"/>
        </w:rPr>
        <w:t>§ 12 odst. 4 zákona č. 13/1997 Sb.</w:t>
      </w:r>
    </w:p>
  </w:footnote>
  <w:footnote w:id="16">
    <w:p w:rsidR="00BF5E07" w:rsidRPr="00767980" w:rsidRDefault="00BF5E07" w:rsidP="000B29CF">
      <w:pPr>
        <w:pStyle w:val="Textpoznpodarou"/>
        <w:spacing w:line="252" w:lineRule="auto"/>
        <w:ind w:left="284" w:hanging="284"/>
        <w:contextualSpacing/>
        <w:rPr>
          <w:rFonts w:cstheme="minorHAnsi"/>
        </w:rPr>
      </w:pPr>
      <w:r w:rsidRPr="00767980">
        <w:rPr>
          <w:rStyle w:val="Znakapoznpodarou"/>
          <w:rFonts w:cstheme="minorHAnsi"/>
        </w:rPr>
        <w:footnoteRef/>
      </w:r>
      <w:r w:rsidRPr="00767980">
        <w:rPr>
          <w:rFonts w:cstheme="minorHAnsi"/>
        </w:rPr>
        <w:t xml:space="preserve"> </w:t>
      </w:r>
      <w:r>
        <w:rPr>
          <w:rFonts w:cstheme="minorHAnsi"/>
        </w:rPr>
        <w:tab/>
      </w:r>
      <w:r w:rsidRPr="00767980">
        <w:rPr>
          <w:rFonts w:cstheme="minorHAnsi"/>
        </w:rPr>
        <w:t>Ustanovení § 9 odst. 1 zákona č. 13/1997 Sb.</w:t>
      </w:r>
    </w:p>
  </w:footnote>
  <w:footnote w:id="17">
    <w:p w:rsidR="00BF5E07" w:rsidRDefault="00BF5E07" w:rsidP="000B29CF">
      <w:pPr>
        <w:pStyle w:val="Textpoznpodarou"/>
        <w:ind w:left="284" w:hanging="284"/>
        <w:jc w:val="both"/>
      </w:pPr>
      <w:r>
        <w:rPr>
          <w:rStyle w:val="Znakapoznpodarou"/>
        </w:rPr>
        <w:footnoteRef/>
      </w:r>
      <w:r>
        <w:t xml:space="preserve"> </w:t>
      </w:r>
      <w:r>
        <w:tab/>
        <w:t xml:space="preserve">Vyhláška č. 398/2009 Sb. byla zrušena k 1. 1. 2024 zákonem č. 283/2021 Sb., stavební zákon, avšak v souladu s ustanovením § 332a tohoto zákona se </w:t>
      </w:r>
      <w:r w:rsidRPr="00CD4B2A">
        <w:t xml:space="preserve">postupuje podle </w:t>
      </w:r>
      <w:r>
        <w:t xml:space="preserve">dosavadních </w:t>
      </w:r>
      <w:r w:rsidRPr="00CD4B2A">
        <w:t>prováděcích právních předpisů</w:t>
      </w:r>
      <w:r>
        <w:t xml:space="preserve"> do doby, než budou vydány nové, nejpozději do 1. 7. 2027.</w:t>
      </w:r>
    </w:p>
  </w:footnote>
  <w:footnote w:id="18">
    <w:p w:rsidR="00BF5E07" w:rsidRPr="00767980" w:rsidRDefault="00BF5E07" w:rsidP="000B29CF">
      <w:pPr>
        <w:pStyle w:val="Textpoznpodarou"/>
        <w:ind w:left="284" w:hanging="284"/>
        <w:rPr>
          <w:rFonts w:cstheme="minorHAnsi"/>
        </w:rPr>
      </w:pPr>
      <w:r w:rsidRPr="00767980">
        <w:rPr>
          <w:rFonts w:cstheme="minorHAnsi"/>
          <w:vertAlign w:val="superscript"/>
        </w:rPr>
        <w:footnoteRef/>
      </w:r>
      <w:r w:rsidRPr="00767980">
        <w:rPr>
          <w:rFonts w:cstheme="minorHAnsi"/>
          <w:vertAlign w:val="superscript"/>
        </w:rPr>
        <w:t xml:space="preserve"> </w:t>
      </w:r>
      <w:r>
        <w:rPr>
          <w:rFonts w:cstheme="minorHAnsi"/>
          <w:vertAlign w:val="superscript"/>
        </w:rPr>
        <w:tab/>
      </w:r>
      <w:r w:rsidRPr="00767980">
        <w:rPr>
          <w:rFonts w:cstheme="minorHAnsi"/>
        </w:rPr>
        <w:t xml:space="preserve">Ustanovení </w:t>
      </w:r>
      <w:r>
        <w:rPr>
          <w:rFonts w:cstheme="minorHAnsi"/>
        </w:rPr>
        <w:t xml:space="preserve">§ </w:t>
      </w:r>
      <w:r w:rsidRPr="00767980">
        <w:rPr>
          <w:rFonts w:cstheme="minorHAnsi"/>
        </w:rPr>
        <w:t>7 zákona č. 128/2000 Sb.</w:t>
      </w:r>
    </w:p>
  </w:footnote>
  <w:footnote w:id="19">
    <w:p w:rsidR="00BF5E07" w:rsidRDefault="00BF5E07" w:rsidP="000B29CF">
      <w:pPr>
        <w:pStyle w:val="Textpoznpodarou"/>
        <w:ind w:left="284" w:hanging="284"/>
      </w:pPr>
      <w:r>
        <w:rPr>
          <w:rStyle w:val="Znakapoznpodarou"/>
        </w:rPr>
        <w:footnoteRef/>
      </w:r>
      <w:r>
        <w:t xml:space="preserve"> </w:t>
      </w:r>
      <w:r>
        <w:tab/>
      </w:r>
      <w:r w:rsidRPr="00767980">
        <w:rPr>
          <w:rFonts w:cstheme="minorHAnsi"/>
        </w:rPr>
        <w:t xml:space="preserve">Ustanovení </w:t>
      </w:r>
      <w:r>
        <w:rPr>
          <w:rFonts w:cstheme="minorHAnsi"/>
        </w:rPr>
        <w:t>§ 2 a § 35 odst. 2</w:t>
      </w:r>
      <w:r w:rsidRPr="00767980">
        <w:rPr>
          <w:rFonts w:cstheme="minorHAnsi"/>
        </w:rPr>
        <w:t xml:space="preserve"> zákona č. 128/2000 Sb.</w:t>
      </w:r>
    </w:p>
  </w:footnote>
  <w:footnote w:id="20">
    <w:p w:rsidR="00BF5E07" w:rsidRPr="000B29CF" w:rsidRDefault="00BF5E07" w:rsidP="000B29CF">
      <w:pPr>
        <w:spacing w:after="0" w:line="252" w:lineRule="auto"/>
        <w:ind w:left="284" w:hanging="284"/>
        <w:jc w:val="both"/>
        <w:rPr>
          <w:rFonts w:cstheme="minorHAnsi"/>
          <w:sz w:val="20"/>
          <w:szCs w:val="20"/>
        </w:rPr>
      </w:pPr>
      <w:r w:rsidRPr="000B29CF">
        <w:rPr>
          <w:rStyle w:val="Znakapoznpodarou"/>
          <w:sz w:val="20"/>
          <w:szCs w:val="20"/>
        </w:rPr>
        <w:footnoteRef/>
      </w:r>
      <w:r w:rsidRPr="000B29CF">
        <w:rPr>
          <w:sz w:val="20"/>
          <w:szCs w:val="20"/>
        </w:rPr>
        <w:t xml:space="preserve"> </w:t>
      </w:r>
      <w:r>
        <w:rPr>
          <w:sz w:val="20"/>
          <w:szCs w:val="20"/>
        </w:rPr>
        <w:tab/>
      </w:r>
      <w:r w:rsidRPr="001A4965">
        <w:rPr>
          <w:rFonts w:cstheme="minorHAnsi"/>
          <w:sz w:val="20"/>
          <w:szCs w:val="20"/>
        </w:rPr>
        <w:t xml:space="preserve">Optimalizovaná dělba přepravní práce dle </w:t>
      </w:r>
      <w:r w:rsidRPr="000B29CF">
        <w:rPr>
          <w:rFonts w:cstheme="minorHAnsi"/>
          <w:i/>
          <w:iCs/>
          <w:sz w:val="20"/>
          <w:szCs w:val="20"/>
        </w:rPr>
        <w:t>Koncepce městské a aktivní mobility pro období 2021–2030</w:t>
      </w:r>
      <w:r w:rsidRPr="001A4965">
        <w:rPr>
          <w:rFonts w:cstheme="minorHAnsi"/>
          <w:sz w:val="20"/>
          <w:szCs w:val="20"/>
        </w:rPr>
        <w:t>.</w:t>
      </w:r>
    </w:p>
  </w:footnote>
  <w:footnote w:id="21">
    <w:p w:rsidR="00BF5E07" w:rsidRDefault="00BF5E07" w:rsidP="000B29CF">
      <w:pPr>
        <w:pStyle w:val="Textpoznpodarou"/>
        <w:ind w:left="284" w:hanging="284"/>
        <w:jc w:val="both"/>
      </w:pPr>
      <w:r>
        <w:rPr>
          <w:rStyle w:val="Znakapoznpodarou"/>
        </w:rPr>
        <w:footnoteRef/>
      </w:r>
      <w:r>
        <w:t xml:space="preserve"> </w:t>
      </w:r>
      <w:r>
        <w:tab/>
        <w:t xml:space="preserve">Ustanovení § 2 písm. m) a o) zákona č. 320/2001 Sb., </w:t>
      </w:r>
      <w:r w:rsidRPr="00D44E39">
        <w:t>o finanční kontrole ve veřejné správě a o změně některých zákonů</w:t>
      </w:r>
      <w:r>
        <w:t xml:space="preserve"> (zákon o finanční kontrole).</w:t>
      </w:r>
    </w:p>
  </w:footnote>
  <w:footnote w:id="22">
    <w:p w:rsidR="00BF5E07" w:rsidRDefault="00BF5E07" w:rsidP="000B29CF">
      <w:pPr>
        <w:pStyle w:val="Textpoznpodarou"/>
        <w:ind w:left="284" w:hanging="284"/>
        <w:jc w:val="both"/>
      </w:pPr>
      <w:r>
        <w:rPr>
          <w:rStyle w:val="Znakapoznpodarou"/>
        </w:rPr>
        <w:footnoteRef/>
      </w:r>
      <w:r>
        <w:t xml:space="preserve"> </w:t>
      </w:r>
      <w:r>
        <w:tab/>
        <w:t xml:space="preserve">Kontrola na místě byla provedena u projektů, kde NKÚ vyhodnotil potřebu prověřit skutečný stav věci přímo </w:t>
      </w:r>
      <w:r>
        <w:br/>
        <w:t>v místě realizace.</w:t>
      </w:r>
    </w:p>
  </w:footnote>
  <w:footnote w:id="23">
    <w:p w:rsidR="00BF5E07" w:rsidRPr="003E4040" w:rsidRDefault="00BF5E07" w:rsidP="000B29CF">
      <w:pPr>
        <w:pStyle w:val="Textpoznpodarou"/>
        <w:ind w:left="284" w:hanging="284"/>
        <w:jc w:val="both"/>
        <w:rPr>
          <w:rFonts w:cstheme="minorHAnsi"/>
        </w:rPr>
      </w:pPr>
      <w:r>
        <w:rPr>
          <w:rStyle w:val="Znakapoznpodarou"/>
        </w:rPr>
        <w:footnoteRef/>
      </w:r>
      <w:r>
        <w:t xml:space="preserve"> </w:t>
      </w:r>
      <w:r>
        <w:tab/>
      </w:r>
      <w:r w:rsidRPr="000B29CF">
        <w:rPr>
          <w:i/>
          <w:iCs/>
        </w:rPr>
        <w:t xml:space="preserve">Metodiku </w:t>
      </w:r>
      <w:r w:rsidRPr="000B29CF">
        <w:rPr>
          <w:rFonts w:cstheme="minorHAnsi"/>
          <w:i/>
          <w:iCs/>
        </w:rPr>
        <w:t>přípravy veřejných strategií</w:t>
      </w:r>
      <w:r>
        <w:rPr>
          <w:rFonts w:cstheme="minorHAnsi"/>
        </w:rPr>
        <w:t xml:space="preserve"> vzala na vědomí</w:t>
      </w:r>
      <w:r w:rsidRPr="00D465FA">
        <w:rPr>
          <w:rFonts w:cstheme="minorHAnsi"/>
        </w:rPr>
        <w:t xml:space="preserve"> vláda ČR usnesením ze dne</w:t>
      </w:r>
      <w:r>
        <w:rPr>
          <w:rFonts w:cstheme="minorHAnsi"/>
        </w:rPr>
        <w:t xml:space="preserve"> 2</w:t>
      </w:r>
      <w:r w:rsidRPr="006E71E6">
        <w:rPr>
          <w:rFonts w:cstheme="minorHAnsi"/>
        </w:rPr>
        <w:t xml:space="preserve">. </w:t>
      </w:r>
      <w:r>
        <w:rPr>
          <w:rFonts w:cstheme="minorHAnsi"/>
        </w:rPr>
        <w:t>května</w:t>
      </w:r>
      <w:r w:rsidRPr="006E71E6">
        <w:rPr>
          <w:rFonts w:cstheme="minorHAnsi"/>
        </w:rPr>
        <w:t xml:space="preserve"> 201</w:t>
      </w:r>
      <w:r>
        <w:rPr>
          <w:rFonts w:cstheme="minorHAnsi"/>
        </w:rPr>
        <w:t>3</w:t>
      </w:r>
      <w:r w:rsidRPr="006E71E6">
        <w:rPr>
          <w:rFonts w:cstheme="minorHAnsi"/>
        </w:rPr>
        <w:t xml:space="preserve"> č. </w:t>
      </w:r>
      <w:r>
        <w:rPr>
          <w:rFonts w:cstheme="minorHAnsi"/>
        </w:rPr>
        <w:t xml:space="preserve">318, </w:t>
      </w:r>
      <w:r w:rsidRPr="000B29CF">
        <w:rPr>
          <w:rFonts w:cstheme="minorHAnsi"/>
          <w:i/>
          <w:iCs/>
        </w:rPr>
        <w:t>k Metodice přípravy veřejných strategií</w:t>
      </w:r>
      <w:r w:rsidRPr="006E71E6">
        <w:rPr>
          <w:rFonts w:cstheme="minorHAnsi"/>
        </w:rPr>
        <w:t>.</w:t>
      </w:r>
      <w:r>
        <w:t xml:space="preserve"> Její </w:t>
      </w:r>
      <w:r>
        <w:rPr>
          <w:rFonts w:cstheme="minorHAnsi"/>
        </w:rPr>
        <w:t xml:space="preserve">aktualizaci </w:t>
      </w:r>
      <w:r w:rsidRPr="00D465FA">
        <w:rPr>
          <w:rFonts w:cstheme="minorHAnsi"/>
        </w:rPr>
        <w:t>schválila vláda ČR usnesením ze dne</w:t>
      </w:r>
      <w:r>
        <w:rPr>
          <w:rFonts w:cstheme="minorHAnsi"/>
        </w:rPr>
        <w:t xml:space="preserve"> </w:t>
      </w:r>
      <w:r w:rsidRPr="006E71E6">
        <w:rPr>
          <w:rFonts w:cstheme="minorHAnsi"/>
        </w:rPr>
        <w:t>28. ledna 2019 č.</w:t>
      </w:r>
      <w:r>
        <w:rPr>
          <w:rFonts w:cstheme="minorHAnsi"/>
        </w:rPr>
        <w:t> </w:t>
      </w:r>
      <w:r w:rsidRPr="006E71E6">
        <w:rPr>
          <w:rFonts w:cstheme="minorHAnsi"/>
        </w:rPr>
        <w:t>71</w:t>
      </w:r>
      <w:r>
        <w:rPr>
          <w:rFonts w:cstheme="minorHAnsi"/>
        </w:rPr>
        <w:t xml:space="preserve">, </w:t>
      </w:r>
      <w:r w:rsidRPr="000B29CF">
        <w:rPr>
          <w:rFonts w:cstheme="minorHAnsi"/>
          <w:i/>
          <w:iCs/>
        </w:rPr>
        <w:t>o aktualizaci Metodiky veřejných strategií</w:t>
      </w:r>
      <w:r w:rsidRPr="006E71E6">
        <w:rPr>
          <w:rFonts w:cstheme="minorHAnsi"/>
        </w:rPr>
        <w:t>.</w:t>
      </w:r>
    </w:p>
  </w:footnote>
  <w:footnote w:id="24">
    <w:p w:rsidR="00BF5E07" w:rsidRPr="00BC040A" w:rsidRDefault="00BF5E07" w:rsidP="00967A4B">
      <w:pPr>
        <w:pStyle w:val="Textpoznpodarou"/>
        <w:ind w:left="284" w:hanging="284"/>
        <w:jc w:val="both"/>
      </w:pPr>
      <w:r>
        <w:rPr>
          <w:rStyle w:val="Znakapoznpodarou"/>
        </w:rPr>
        <w:footnoteRef/>
      </w:r>
      <w:r>
        <w:t xml:space="preserve"> </w:t>
      </w:r>
      <w:r>
        <w:tab/>
      </w:r>
      <w:r w:rsidRPr="00BC040A">
        <w:rPr>
          <w:rFonts w:cstheme="minorHAnsi"/>
        </w:rPr>
        <w:t xml:space="preserve">Článek 30 odst. 3 </w:t>
      </w:r>
      <w:r w:rsidRPr="000B29CF">
        <w:rPr>
          <w:rFonts w:cstheme="minorHAnsi"/>
          <w:bCs/>
          <w:shd w:val="clear" w:color="auto" w:fill="FFFFFF"/>
        </w:rPr>
        <w:t>nařízení (EU, Euratom) č. 966/2012 Evropského parlamentu a Rady ze dne 25. října 2012, kterým se stanoví finanční pravidla o</w:t>
      </w:r>
      <w:r>
        <w:rPr>
          <w:rFonts w:cstheme="minorHAnsi"/>
          <w:bCs/>
          <w:shd w:val="clear" w:color="auto" w:fill="FFFFFF"/>
        </w:rPr>
        <w:t xml:space="preserve"> </w:t>
      </w:r>
      <w:r w:rsidRPr="000B29CF">
        <w:rPr>
          <w:rFonts w:cstheme="minorHAnsi"/>
          <w:bCs/>
          <w:shd w:val="clear" w:color="auto" w:fill="FFFFFF"/>
        </w:rPr>
        <w:t>souhrnném rozpočtu Unie a</w:t>
      </w:r>
      <w:r>
        <w:rPr>
          <w:rFonts w:cstheme="minorHAnsi"/>
          <w:bCs/>
          <w:shd w:val="clear" w:color="auto" w:fill="FFFFFF"/>
        </w:rPr>
        <w:t xml:space="preserve"> </w:t>
      </w:r>
      <w:r w:rsidRPr="00BE096C">
        <w:rPr>
          <w:rFonts w:cstheme="minorHAnsi"/>
          <w:bCs/>
          <w:color w:val="333333"/>
          <w:shd w:val="clear" w:color="auto" w:fill="FFFFFF"/>
        </w:rPr>
        <w:t xml:space="preserve">o zrušení </w:t>
      </w:r>
      <w:r w:rsidRPr="000B29CF">
        <w:rPr>
          <w:rFonts w:cstheme="minorHAnsi"/>
          <w:bCs/>
          <w:shd w:val="clear" w:color="auto" w:fill="FFFFFF"/>
        </w:rPr>
        <w:t>nařízení Rady (ES, Euratom) č. 1605/2002</w:t>
      </w:r>
      <w:r>
        <w:rPr>
          <w:rFonts w:cstheme="minorHAnsi"/>
          <w:bCs/>
          <w:shd w:val="clear" w:color="auto" w:fill="FFFFFF"/>
        </w:rPr>
        <w:t>,</w:t>
      </w:r>
      <w:r w:rsidRPr="00BC040A">
        <w:rPr>
          <w:rFonts w:cstheme="minorHAnsi"/>
        </w:rPr>
        <w:t xml:space="preserve"> a článek 33 odst. 2 a 3 nařízení Evropského parlamentu a Rady (EU, Euratom) 2018/1046 ze dne 18. července 2018, kterým se stanoví finanční pravidla pro souhrnný rozpočet Unie, mění nařízení (EU) č. 1296/2013, (EU) č. 1301/2013, (EU) č. 1303/2013, (EU) č. 1304/2013, (EU) č. 1309/2013, (EU) č. 1316/2013, (EU) č. 223/2014 a (EU) č. 283/2014 a rozhodnutí č. 541/2014/EU a zrušuje nařízení (EU, Euratom) č. 966/2012.</w:t>
      </w:r>
    </w:p>
  </w:footnote>
  <w:footnote w:id="25">
    <w:p w:rsidR="00BF5E07" w:rsidRDefault="00BF5E07" w:rsidP="000B29CF">
      <w:pPr>
        <w:pStyle w:val="Textpoznpodarou"/>
        <w:ind w:left="284" w:hanging="284"/>
        <w:jc w:val="both"/>
      </w:pPr>
      <w:r>
        <w:rPr>
          <w:rStyle w:val="Znakapoznpodarou"/>
        </w:rPr>
        <w:footnoteRef/>
      </w:r>
      <w:r>
        <w:t xml:space="preserve"> </w:t>
      </w:r>
      <w:r>
        <w:tab/>
      </w:r>
      <w:r w:rsidRPr="0020360D">
        <w:t>NKÚ</w:t>
      </w:r>
      <w:r>
        <w:t xml:space="preserve"> v této souvislosti upozorňuje, že</w:t>
      </w:r>
      <w:r w:rsidRPr="0020360D">
        <w:t xml:space="preserve"> </w:t>
      </w:r>
      <w:r>
        <w:t xml:space="preserve">při kontrole účelnosti poskytování a použití podpory </w:t>
      </w:r>
      <w:r w:rsidRPr="0020360D">
        <w:t xml:space="preserve">vycházel </w:t>
      </w:r>
      <w:r>
        <w:t>z</w:t>
      </w:r>
      <w:r w:rsidRPr="0020360D">
        <w:t> definice</w:t>
      </w:r>
      <w:r>
        <w:t xml:space="preserve"> pojmu „účelnost“ stanovené ustanovením § 2 písm. o) zákona č. 320/2001 Sb.</w:t>
      </w:r>
    </w:p>
  </w:footnote>
  <w:footnote w:id="26">
    <w:p w:rsidR="00BF5E07" w:rsidRDefault="00BF5E07" w:rsidP="000B29CF">
      <w:pPr>
        <w:pStyle w:val="Textpoznpodarou"/>
        <w:ind w:left="284" w:hanging="284"/>
        <w:jc w:val="both"/>
      </w:pPr>
      <w:r>
        <w:rPr>
          <w:rStyle w:val="Znakapoznpodarou"/>
        </w:rPr>
        <w:footnoteRef/>
      </w:r>
      <w:r>
        <w:t xml:space="preserve"> </w:t>
      </w:r>
      <w:r>
        <w:tab/>
      </w:r>
      <w:r w:rsidRPr="002774F5">
        <w:t>Nařízení Evropského parlamentu a Rady (EU) č. 1303/2013 ze dne 17. prosince 2013</w:t>
      </w:r>
      <w:r>
        <w:t>,</w:t>
      </w:r>
      <w:r w:rsidRPr="002774F5">
        <w:t xml:space="preserve"> o společných ustanoveních o Evropském fondu pro regionální rozvoj, Evropském sociálním fondu, Fondu soudržnosti, Evropském zemědělském fondu pro rozvoj venkova a Evropském námořním a rybářském fondu, o obecných ustanoveních o Evropském fondu pro regionální rozvoj, Evropském sociálním fondu, Fondu soudržnosti a</w:t>
      </w:r>
      <w:r>
        <w:t> </w:t>
      </w:r>
      <w:r w:rsidRPr="002774F5">
        <w:t>Evropském námořním a rybářském fondu a o zrušení nařízení Rady (ES) č. 1083/2006</w:t>
      </w:r>
      <w:r>
        <w:t>.</w:t>
      </w:r>
    </w:p>
  </w:footnote>
  <w:footnote w:id="27">
    <w:p w:rsidR="00BF5E07" w:rsidRDefault="00BF5E07" w:rsidP="000B29CF">
      <w:pPr>
        <w:pStyle w:val="Textpoznpodarou"/>
        <w:ind w:left="284" w:hanging="284"/>
        <w:jc w:val="both"/>
      </w:pPr>
      <w:r>
        <w:rPr>
          <w:rStyle w:val="Znakapoznpodarou"/>
        </w:rPr>
        <w:footnoteRef/>
      </w:r>
      <w:r>
        <w:t xml:space="preserve"> </w:t>
      </w:r>
      <w:r>
        <w:tab/>
        <w:t xml:space="preserve">Metodický pokyn schválila vláda ČR usnesením </w:t>
      </w:r>
      <w:r w:rsidRPr="00E95E92">
        <w:t>ze dne 9. 8. 2013</w:t>
      </w:r>
      <w:r w:rsidRPr="002774F5">
        <w:t xml:space="preserve"> </w:t>
      </w:r>
      <w:r w:rsidRPr="00E95E92">
        <w:t>č. 597, k</w:t>
      </w:r>
      <w:r>
        <w:t xml:space="preserve"> Souboru metodických dokumentů </w:t>
      </w:r>
      <w:r>
        <w:br/>
        <w:t>k oblastem evaluace, zásadám tvorby a používání indikátorů, způsobilosti výdajů a jejich vykazování a řízení rizik v programovém období let 2014 až 2020.</w:t>
      </w:r>
    </w:p>
  </w:footnote>
  <w:footnote w:id="28">
    <w:p w:rsidR="00BF5E07" w:rsidRDefault="00BF5E07" w:rsidP="000B29CF">
      <w:pPr>
        <w:pStyle w:val="Textpoznpodarou"/>
        <w:ind w:left="284" w:hanging="284"/>
        <w:jc w:val="both"/>
      </w:pPr>
      <w:r>
        <w:rPr>
          <w:rStyle w:val="Znakapoznpodarou"/>
        </w:rPr>
        <w:footnoteRef/>
      </w:r>
      <w:r>
        <w:t xml:space="preserve"> </w:t>
      </w:r>
      <w:r>
        <w:tab/>
        <w:t>Aktivita „</w:t>
      </w:r>
      <w:r w:rsidRPr="000B29CF">
        <w:rPr>
          <w:i/>
          <w:iCs/>
        </w:rPr>
        <w:t>Bezpečnost dopravy</w:t>
      </w:r>
      <w:r>
        <w:t xml:space="preserve">“ vymezovala okruh možného použití podpory v rámci specifických cílů </w:t>
      </w:r>
      <w:r>
        <w:br/>
        <w:t>1.2 a 4.1 IROP.</w:t>
      </w:r>
    </w:p>
  </w:footnote>
  <w:footnote w:id="29">
    <w:p w:rsidR="00BF5E07" w:rsidRDefault="00BF5E07" w:rsidP="000B29CF">
      <w:pPr>
        <w:pStyle w:val="Textpoznpodarou"/>
        <w:ind w:left="284" w:hanging="284"/>
      </w:pPr>
      <w:r>
        <w:rPr>
          <w:rStyle w:val="Znakapoznpodarou"/>
        </w:rPr>
        <w:footnoteRef/>
      </w:r>
      <w:r>
        <w:t xml:space="preserve"> </w:t>
      </w:r>
      <w:r>
        <w:tab/>
      </w:r>
      <w:r w:rsidRPr="000B6060">
        <w:t>Niveleta je pomyslná čára udávající výškové poměry a podélný sklon liniové stavby</w:t>
      </w:r>
      <w:r>
        <w:t>.</w:t>
      </w:r>
    </w:p>
  </w:footnote>
  <w:footnote w:id="30">
    <w:p w:rsidR="00BF5E07" w:rsidRDefault="00BF5E07" w:rsidP="000B29CF">
      <w:pPr>
        <w:pStyle w:val="Textpoznpodarou"/>
        <w:ind w:left="284" w:hanging="284"/>
        <w:jc w:val="both"/>
      </w:pPr>
      <w:r>
        <w:rPr>
          <w:rStyle w:val="Znakapoznpodarou"/>
        </w:rPr>
        <w:footnoteRef/>
      </w:r>
      <w:r>
        <w:t xml:space="preserve"> </w:t>
      </w:r>
      <w:r>
        <w:tab/>
        <w:t xml:space="preserve">Normový stav = </w:t>
      </w:r>
      <w:r w:rsidRPr="00286F6D">
        <w:rPr>
          <w:rFonts w:cstheme="minorHAnsi"/>
        </w:rPr>
        <w:t xml:space="preserve">dosažení </w:t>
      </w:r>
      <w:bookmarkStart w:id="22" w:name="_Hlk173047039"/>
      <w:r w:rsidRPr="00286F6D">
        <w:rPr>
          <w:rFonts w:cstheme="minorHAnsi"/>
        </w:rPr>
        <w:t xml:space="preserve">parametrů stanovených právními a technickými předpisy, zejména </w:t>
      </w:r>
      <w:r w:rsidRPr="00286F6D">
        <w:rPr>
          <w:rStyle w:val="normaltextrun"/>
          <w:rFonts w:cstheme="minorHAnsi"/>
        </w:rPr>
        <w:t xml:space="preserve">vyhláškou </w:t>
      </w:r>
      <w:r>
        <w:rPr>
          <w:rStyle w:val="normaltextrun"/>
          <w:rFonts w:cstheme="minorHAnsi"/>
        </w:rPr>
        <w:br/>
      </w:r>
      <w:r w:rsidRPr="00286F6D">
        <w:rPr>
          <w:rFonts w:cstheme="minorHAnsi"/>
          <w:color w:val="000000"/>
        </w:rPr>
        <w:t>č. 398/2009 Sb. a ČSN 73 6110</w:t>
      </w:r>
      <w:bookmarkEnd w:id="22"/>
      <w:r>
        <w:rPr>
          <w:rFonts w:cstheme="minorHAnsi"/>
          <w:color w:val="000000"/>
        </w:rPr>
        <w:t xml:space="preserve"> Z1.</w:t>
      </w:r>
    </w:p>
  </w:footnote>
  <w:footnote w:id="31">
    <w:p w:rsidR="00BF5E07" w:rsidRDefault="00BF5E07" w:rsidP="000B29CF">
      <w:pPr>
        <w:pStyle w:val="Textpoznpodarou"/>
        <w:ind w:left="284" w:hanging="284"/>
      </w:pPr>
      <w:r>
        <w:rPr>
          <w:rStyle w:val="Znakapoznpodarou"/>
        </w:rPr>
        <w:footnoteRef/>
      </w:r>
      <w:r>
        <w:t xml:space="preserve"> </w:t>
      </w:r>
      <w:r>
        <w:tab/>
        <w:t xml:space="preserve">Ustanovení </w:t>
      </w:r>
      <w:r w:rsidRPr="00D92ACF">
        <w:rPr>
          <w:rFonts w:cstheme="minorHAnsi"/>
        </w:rPr>
        <w:t>§ 9 odst. 3 zákona č. 13/1997 Sb.</w:t>
      </w:r>
      <w:r>
        <w:rPr>
          <w:rFonts w:cstheme="minorHAnsi"/>
        </w:rPr>
        <w:t xml:space="preserve"> ve spojení s ustanovením § 12 odst. 4 téhož zákona.</w:t>
      </w:r>
    </w:p>
  </w:footnote>
  <w:footnote w:id="32">
    <w:p w:rsidR="00BF5E07" w:rsidRPr="00EC4A0F" w:rsidRDefault="00BF5E07" w:rsidP="000B29CF">
      <w:pPr>
        <w:pStyle w:val="Textpoznpodarou"/>
        <w:ind w:left="284" w:hanging="284"/>
        <w:jc w:val="both"/>
        <w:rPr>
          <w:rFonts w:cs="Calibri"/>
        </w:rPr>
      </w:pPr>
      <w:r>
        <w:rPr>
          <w:rStyle w:val="Znakapoznpodarou"/>
        </w:rPr>
        <w:footnoteRef/>
      </w:r>
      <w:r>
        <w:t xml:space="preserve"> </w:t>
      </w:r>
      <w:r>
        <w:tab/>
        <w:t xml:space="preserve">MS2014+ je </w:t>
      </w:r>
      <w:r>
        <w:rPr>
          <w:rFonts w:cs="Calibri"/>
        </w:rPr>
        <w:t>m</w:t>
      </w:r>
      <w:r w:rsidRPr="00682917">
        <w:rPr>
          <w:rFonts w:cs="Calibri"/>
        </w:rPr>
        <w:t xml:space="preserve">onitorovací systém </w:t>
      </w:r>
      <w:r w:rsidRPr="00EC4A0F">
        <w:rPr>
          <w:rFonts w:cs="Calibri"/>
        </w:rPr>
        <w:t>evropských dotací používaný v programovém období</w:t>
      </w:r>
      <w:r>
        <w:rPr>
          <w:rFonts w:cs="Calibri"/>
        </w:rPr>
        <w:t xml:space="preserve"> </w:t>
      </w:r>
      <w:r w:rsidRPr="00EC4A0F">
        <w:rPr>
          <w:rFonts w:cs="Calibri"/>
        </w:rPr>
        <w:t>2014</w:t>
      </w:r>
      <w:r>
        <w:rPr>
          <w:rFonts w:cstheme="minorHAnsi"/>
        </w:rPr>
        <w:t>–</w:t>
      </w:r>
      <w:r w:rsidRPr="00EC4A0F">
        <w:rPr>
          <w:rFonts w:cs="Calibri"/>
        </w:rPr>
        <w:t>2020 pro administraci jednotlivých operačních programů.</w:t>
      </w:r>
    </w:p>
  </w:footnote>
  <w:footnote w:id="33">
    <w:p w:rsidR="00BF5E07" w:rsidRDefault="00BF5E07" w:rsidP="000B29CF">
      <w:pPr>
        <w:pStyle w:val="Textpoznpodarou"/>
        <w:ind w:left="284" w:hanging="284"/>
        <w:jc w:val="both"/>
      </w:pPr>
      <w:r>
        <w:rPr>
          <w:rStyle w:val="Znakapoznpodarou"/>
        </w:rPr>
        <w:footnoteRef/>
      </w:r>
      <w:r>
        <w:t xml:space="preserve"> </w:t>
      </w:r>
      <w:r>
        <w:tab/>
      </w:r>
      <w:r w:rsidRPr="00767980">
        <w:rPr>
          <w:rFonts w:cstheme="minorHAnsi"/>
        </w:rPr>
        <w:t>Ustanovení</w:t>
      </w:r>
      <w:r>
        <w:rPr>
          <w:rFonts w:cstheme="minorHAnsi"/>
        </w:rPr>
        <w:t xml:space="preserve"> </w:t>
      </w:r>
      <w:r w:rsidRPr="006F142B">
        <w:rPr>
          <w:rFonts w:ascii="Calibri" w:eastAsia="Times New Roman" w:hAnsi="Calibri" w:cs="Calibri"/>
        </w:rPr>
        <w:t xml:space="preserve">§ 54 odst. </w:t>
      </w:r>
      <w:r>
        <w:rPr>
          <w:rFonts w:ascii="Calibri" w:eastAsia="Times New Roman" w:hAnsi="Calibri" w:cs="Calibri"/>
        </w:rPr>
        <w:t xml:space="preserve">1 a </w:t>
      </w:r>
      <w:r w:rsidRPr="006F142B">
        <w:rPr>
          <w:rFonts w:ascii="Calibri" w:eastAsia="Times New Roman" w:hAnsi="Calibri" w:cs="Calibri"/>
        </w:rPr>
        <w:t>2 zákona č. 361/2000 Sb.</w:t>
      </w:r>
      <w:r>
        <w:rPr>
          <w:rFonts w:ascii="Calibri" w:eastAsia="Times New Roman" w:hAnsi="Calibri" w:cs="Calibri"/>
        </w:rPr>
        <w:t xml:space="preserve">, </w:t>
      </w:r>
      <w:r w:rsidRPr="00B12370">
        <w:rPr>
          <w:rFonts w:cstheme="minorHAnsi"/>
          <w:color w:val="000000"/>
        </w:rPr>
        <w:t>o provozu na pozemních komunikacích a o změnách některých zákonů (zákon o silničním provozu)</w:t>
      </w:r>
      <w:r>
        <w:rPr>
          <w:rFonts w:cstheme="minorHAnsi"/>
          <w:color w:val="000000"/>
        </w:rPr>
        <w:t>.</w:t>
      </w:r>
    </w:p>
  </w:footnote>
  <w:footnote w:id="34">
    <w:p w:rsidR="00BF5E07" w:rsidRDefault="00BF5E07" w:rsidP="000B29CF">
      <w:pPr>
        <w:pStyle w:val="Textpoznpodarou"/>
        <w:ind w:left="284" w:hanging="284"/>
        <w:jc w:val="both"/>
      </w:pPr>
      <w:r>
        <w:rPr>
          <w:rStyle w:val="Znakapoznpodarou"/>
        </w:rPr>
        <w:footnoteRef/>
      </w:r>
      <w:r>
        <w:t xml:space="preserve"> </w:t>
      </w:r>
      <w:r>
        <w:tab/>
      </w:r>
      <w:r w:rsidRPr="0070708E">
        <w:rPr>
          <w:rFonts w:ascii="Calibri" w:eastAsia="Times New Roman" w:hAnsi="Calibri" w:cs="Calibri"/>
        </w:rPr>
        <w:t>ČSN 73 6110 Z1</w:t>
      </w:r>
      <w:r>
        <w:rPr>
          <w:rFonts w:ascii="Calibri" w:eastAsia="Times New Roman" w:hAnsi="Calibri" w:cs="Calibri"/>
        </w:rPr>
        <w:t xml:space="preserve">, na niž odkazovala vyhláška </w:t>
      </w:r>
      <w:r w:rsidRPr="00B12370">
        <w:rPr>
          <w:rFonts w:cstheme="minorHAnsi"/>
          <w:color w:val="000000"/>
        </w:rPr>
        <w:t>č. 398/2009 Sb.</w:t>
      </w:r>
    </w:p>
  </w:footnote>
  <w:footnote w:id="35">
    <w:p w:rsidR="00BF5E07" w:rsidRDefault="00BF5E07" w:rsidP="000B29CF">
      <w:pPr>
        <w:pStyle w:val="Textpoznpodarou"/>
        <w:ind w:left="284" w:hanging="284"/>
        <w:jc w:val="both"/>
      </w:pPr>
      <w:r>
        <w:rPr>
          <w:rStyle w:val="Znakapoznpodarou"/>
        </w:rPr>
        <w:footnoteRef/>
      </w:r>
      <w:r>
        <w:t xml:space="preserve"> </w:t>
      </w:r>
      <w:r>
        <w:tab/>
        <w:t xml:space="preserve">Výhrady měst a obcí ke stávajícímu systému podpory byly uvedeny např. v </w:t>
      </w:r>
      <w:r w:rsidRPr="00D46FC8">
        <w:t>analýze z roku 2017, která byla jedním z podkladů pro přípravu IROP2:</w:t>
      </w:r>
      <w:r>
        <w:t xml:space="preserve"> </w:t>
      </w:r>
      <w:r w:rsidRPr="00D46FC8">
        <w:t>„</w:t>
      </w:r>
      <w:r>
        <w:rPr>
          <w:i/>
        </w:rPr>
        <w:t xml:space="preserve">... </w:t>
      </w:r>
      <w:r w:rsidRPr="00D46FC8">
        <w:rPr>
          <w:i/>
        </w:rPr>
        <w:t>Města o obce dále poukazují na to, že dotační tituly dostatečně nereflektují potřeby obcí, kritizují vysokou roztříštěnost dotačních titulů, složitý a</w:t>
      </w:r>
      <w:r>
        <w:rPr>
          <w:i/>
        </w:rPr>
        <w:t xml:space="preserve"> </w:t>
      </w:r>
      <w:r w:rsidRPr="00D46FC8">
        <w:rPr>
          <w:i/>
        </w:rPr>
        <w:t>časově náročný proces přípravy žádostí (při malé časové dotaci) a administrace projektů ...</w:t>
      </w:r>
      <w:r w:rsidRPr="00D46FC8">
        <w:t>“</w:t>
      </w:r>
    </w:p>
  </w:footnote>
  <w:footnote w:id="36">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t xml:space="preserve">Problematická místa = místa </w:t>
      </w:r>
      <w:r w:rsidRPr="00CA449B">
        <w:rPr>
          <w:rFonts w:cstheme="minorHAnsi"/>
          <w:szCs w:val="24"/>
        </w:rPr>
        <w:t xml:space="preserve">s negativním vlivem na bezpečnost a mobilitu chodců, zpravidla </w:t>
      </w:r>
      <w:r w:rsidRPr="00CA449B">
        <w:t xml:space="preserve">rozhraní běžného a potenciálně nebezpečného prostoru (např. křížení komunikace pro pěší s komunikacemi užívanými vozidly, úzká a prostorově členitá místa, místa s neoznačenými překážkami v trase chodců, </w:t>
      </w:r>
      <w:r w:rsidRPr="00CA449B">
        <w:rPr>
          <w:rFonts w:cstheme="minorHAnsi"/>
          <w:szCs w:val="24"/>
        </w:rPr>
        <w:t>nedostatečně osvětlené úseky</w:t>
      </w:r>
      <w:r w:rsidRPr="00CA449B">
        <w:t xml:space="preserve"> apod.). Kritická místa = problematická místa, u nichž hrozí vážné nebezpečí úrazu </w:t>
      </w:r>
      <w:r>
        <w:rPr>
          <w:rFonts w:cstheme="minorHAnsi"/>
        </w:rPr>
        <w:t>–</w:t>
      </w:r>
      <w:r>
        <w:t xml:space="preserve"> </w:t>
      </w:r>
      <w:r w:rsidRPr="00CA449B">
        <w:t>zejm. křížení komunikace pro pěší s dopravně zatíženými komunikacemi pro vozidla a místa s nebezpečím pádu z</w:t>
      </w:r>
      <w:r>
        <w:t> </w:t>
      </w:r>
      <w:r w:rsidRPr="00CA449B">
        <w:t xml:space="preserve">výšky </w:t>
      </w:r>
      <w:r>
        <w:t>(</w:t>
      </w:r>
      <w:r w:rsidRPr="00CA449B">
        <w:t>schodiště, hrany nástupišť apod.</w:t>
      </w:r>
      <w:r>
        <w:t>)</w:t>
      </w:r>
      <w:r w:rsidRPr="00CA449B">
        <w:t xml:space="preserve"> bez bezpečnostních prvků.</w:t>
      </w:r>
    </w:p>
  </w:footnote>
  <w:footnote w:id="37">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t>Je třeba odlišovat výstupy projektu od jeho výsledků/přínosů. Vybudování komunikace pro pěší nemusí zajistit přínosy v podobě zvýšení bezpečnosti chodců, pokud tato komunikace zároveň neřeší kritická místa (např. přechod přes frekventovanou komunikaci) nebo na ni v rámci dané trasy navazuje nebezpečný úsek. Zároveň se přínosy projektu odvíjejí od toho, nakolik bude daná komunikace využívána (např. zda spojuje objekty významné pro obyvatele, nebo zda je vedena v okrajové části obce bez zdůvodnění její potřebnosti).</w:t>
      </w:r>
    </w:p>
  </w:footnote>
  <w:footnote w:id="38">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t>O</w:t>
      </w:r>
      <w:r w:rsidRPr="00CA449B">
        <w:rPr>
          <w:bCs/>
        </w:rPr>
        <w:t>pravou</w:t>
      </w:r>
      <w:r>
        <w:rPr>
          <w:bCs/>
        </w:rPr>
        <w:t xml:space="preserve"> </w:t>
      </w:r>
      <w:r w:rsidRPr="00CA449B">
        <w:t xml:space="preserve">se </w:t>
      </w:r>
      <w:r w:rsidRPr="00CA449B">
        <w:rPr>
          <w:bCs/>
        </w:rPr>
        <w:t>odstraňují účinky částečného opotřebení nebo poškození za účelem uvedení</w:t>
      </w:r>
      <w:r>
        <w:rPr>
          <w:bCs/>
        </w:rPr>
        <w:t xml:space="preserve"> </w:t>
      </w:r>
      <w:r w:rsidRPr="00CA449B">
        <w:rPr>
          <w:bCs/>
        </w:rPr>
        <w:t>do předchozího stavu</w:t>
      </w:r>
      <w:r w:rsidRPr="00CA449B">
        <w:t xml:space="preserve">, a to i s použitím jiných než původních materiálů, dílů, součástí nebo technologií, pokud tím nedojde </w:t>
      </w:r>
      <w:r>
        <w:br/>
      </w:r>
      <w:r w:rsidRPr="00CA449B">
        <w:t xml:space="preserve">k technickému zhodnocení. Rekonstrukce (na rozdíl od opravy) přináší významnější kvalitativní změny </w:t>
      </w:r>
      <w:r>
        <w:t>–</w:t>
      </w:r>
      <w:r w:rsidRPr="00CA449B">
        <w:t xml:space="preserve"> zásadní změnu účelu nebo technických parametrů ve prospěch významně vyšších užitných hodnot.</w:t>
      </w:r>
    </w:p>
  </w:footnote>
  <w:footnote w:id="39">
    <w:p w:rsidR="00BF5E07" w:rsidRPr="00CA449B" w:rsidRDefault="00BF5E07" w:rsidP="000B29CF">
      <w:pPr>
        <w:pStyle w:val="Textpoznpodarou"/>
        <w:ind w:left="284" w:hanging="284"/>
        <w:jc w:val="both"/>
      </w:pPr>
      <w:r w:rsidRPr="00CA449B">
        <w:rPr>
          <w:rStyle w:val="Znakapoznpodarou"/>
        </w:rPr>
        <w:footnoteRef/>
      </w:r>
      <w:r>
        <w:t xml:space="preserve"> </w:t>
      </w:r>
      <w:r>
        <w:tab/>
      </w:r>
      <w:r w:rsidRPr="00CA449B">
        <w:t xml:space="preserve">Za mírné </w:t>
      </w:r>
      <w:r>
        <w:t>byly</w:t>
      </w:r>
      <w:r w:rsidRPr="00CA449B">
        <w:t xml:space="preserve"> považovány nedostatky, které nezpůsob</w:t>
      </w:r>
      <w:r>
        <w:t>ily</w:t>
      </w:r>
      <w:r w:rsidRPr="00CA449B">
        <w:t xml:space="preserve"> významné odchylky od </w:t>
      </w:r>
      <w:r w:rsidRPr="00CA449B">
        <w:rPr>
          <w:rFonts w:cstheme="minorHAnsi"/>
          <w:szCs w:val="24"/>
        </w:rPr>
        <w:t xml:space="preserve">stanovených cílů </w:t>
      </w:r>
      <w:r>
        <w:rPr>
          <w:rFonts w:cstheme="minorHAnsi"/>
          <w:szCs w:val="24"/>
        </w:rPr>
        <w:br/>
      </w:r>
      <w:r w:rsidRPr="00CA449B">
        <w:rPr>
          <w:rFonts w:cstheme="minorHAnsi"/>
          <w:szCs w:val="24"/>
        </w:rPr>
        <w:t xml:space="preserve">a očekávaných výsledků/přínosů podpory. Za významné odchylky </w:t>
      </w:r>
      <w:r>
        <w:rPr>
          <w:rFonts w:cstheme="minorHAnsi"/>
          <w:szCs w:val="24"/>
        </w:rPr>
        <w:t>byly</w:t>
      </w:r>
      <w:r w:rsidRPr="00CA449B">
        <w:rPr>
          <w:rFonts w:cstheme="minorHAnsi"/>
          <w:szCs w:val="24"/>
        </w:rPr>
        <w:t xml:space="preserve"> považovány výstupy a výsledky podpory, které nedosáhly stanovených nebo očekávaných hodnot a rozdíly nejsou zanedbatelné</w:t>
      </w:r>
      <w:r>
        <w:rPr>
          <w:rFonts w:cstheme="minorHAnsi"/>
          <w:szCs w:val="24"/>
        </w:rPr>
        <w:t xml:space="preserve"> (tzn. pohybují se např. v desítkách %)</w:t>
      </w:r>
      <w:r w:rsidRPr="00CA449B">
        <w:rPr>
          <w:rFonts w:cstheme="minorHAnsi"/>
          <w:szCs w:val="24"/>
        </w:rPr>
        <w:t>.</w:t>
      </w:r>
    </w:p>
  </w:footnote>
  <w:footnote w:id="40">
    <w:p w:rsidR="00BF5E07" w:rsidRPr="00CA449B" w:rsidRDefault="00BF5E07" w:rsidP="000B29CF">
      <w:pPr>
        <w:pStyle w:val="Textpoznpodarou"/>
        <w:ind w:left="284" w:hanging="284"/>
      </w:pPr>
      <w:r w:rsidRPr="00CA449B">
        <w:rPr>
          <w:rStyle w:val="Znakapoznpodarou"/>
        </w:rPr>
        <w:footnoteRef/>
      </w:r>
      <w:r w:rsidRPr="00CA449B">
        <w:t xml:space="preserve"> </w:t>
      </w:r>
      <w:r>
        <w:tab/>
      </w:r>
      <w:r w:rsidRPr="00CA449B">
        <w:t xml:space="preserve">Projekt se míjí s cíli </w:t>
      </w:r>
      <w:r w:rsidRPr="00CA449B">
        <w:rPr>
          <w:rFonts w:cstheme="minorHAnsi"/>
          <w:szCs w:val="24"/>
        </w:rPr>
        <w:t>příslušné výzvy a programu, popř. s cíli stanovenými koncepčními dokumenty.</w:t>
      </w:r>
    </w:p>
  </w:footnote>
  <w:footnote w:id="41">
    <w:p w:rsidR="00BF5E07" w:rsidRPr="00CA449B" w:rsidRDefault="00BF5E07" w:rsidP="000B29CF">
      <w:pPr>
        <w:pStyle w:val="Textpoznpodarou"/>
        <w:ind w:left="284" w:hanging="284"/>
        <w:jc w:val="both"/>
      </w:pPr>
      <w:r w:rsidRPr="00CA449B">
        <w:rPr>
          <w:rStyle w:val="Znakapoznpodarou"/>
        </w:rPr>
        <w:footnoteRef/>
      </w:r>
      <w:r>
        <w:t xml:space="preserve"> </w:t>
      </w:r>
      <w:r>
        <w:tab/>
      </w:r>
      <w:r w:rsidRPr="00CA449B">
        <w:t xml:space="preserve">Posouzeno </w:t>
      </w:r>
      <w:r>
        <w:t>bylo</w:t>
      </w:r>
      <w:r w:rsidRPr="00CA449B">
        <w:t xml:space="preserve"> s</w:t>
      </w:r>
      <w:r>
        <w:t xml:space="preserve"> </w:t>
      </w:r>
      <w:r w:rsidRPr="00CA449B">
        <w:t>využitím odborného úsudku kontrolora především porovnáním s</w:t>
      </w:r>
      <w:r>
        <w:t xml:space="preserve"> </w:t>
      </w:r>
      <w:r w:rsidRPr="00CA449B">
        <w:t>obdobnými kontrolovanými projekty.</w:t>
      </w:r>
    </w:p>
  </w:footnote>
  <w:footnote w:id="42">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rPr>
          <w:rFonts w:cstheme="minorHAnsi"/>
          <w:szCs w:val="24"/>
        </w:rPr>
        <w:t>Jednotkové náklady projektu = celkový objem způsobilých výdajů</w:t>
      </w:r>
      <w:r>
        <w:rPr>
          <w:rFonts w:cstheme="minorHAnsi"/>
          <w:szCs w:val="24"/>
        </w:rPr>
        <w:t xml:space="preserve">, resp. uznatelných nákladů ÷ </w:t>
      </w:r>
      <w:r w:rsidRPr="00CA449B">
        <w:rPr>
          <w:rFonts w:cstheme="minorHAnsi"/>
          <w:szCs w:val="24"/>
        </w:rPr>
        <w:t>m, popř. m</w:t>
      </w:r>
      <w:r w:rsidRPr="00CA449B">
        <w:rPr>
          <w:rFonts w:cstheme="minorHAnsi"/>
          <w:szCs w:val="24"/>
          <w:vertAlign w:val="superscript"/>
        </w:rPr>
        <w:t>2</w:t>
      </w:r>
      <w:r w:rsidRPr="00CA449B">
        <w:t xml:space="preserve"> vybudované nebo rekonstruované komunikace pro pěší. Ceny obvyklé </w:t>
      </w:r>
      <w:r>
        <w:t>byly</w:t>
      </w:r>
      <w:r w:rsidRPr="00CA449B">
        <w:t xml:space="preserve"> stanoveny odborným úsudkem kontrolora, a to především porovnáním s obdobnými kontrolovanými projekty. Cenu obvyklou nelze určit přesně</w:t>
      </w:r>
      <w:r>
        <w:t>,</w:t>
      </w:r>
      <w:r w:rsidRPr="00CA449B">
        <w:t xml:space="preserve"> je proto nezbytné považovat ji spíše za orientační údaj s určitou tolerancí.</w:t>
      </w:r>
    </w:p>
  </w:footnote>
  <w:footnote w:id="43">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t>Vyhodnocení objektivnosti důvodů překročení cen obvyklých vycháze</w:t>
      </w:r>
      <w:r>
        <w:t>lo</w:t>
      </w:r>
      <w:r w:rsidRPr="00CA449B">
        <w:t xml:space="preserve"> z</w:t>
      </w:r>
      <w:r>
        <w:t xml:space="preserve"> </w:t>
      </w:r>
      <w:r w:rsidRPr="00CA449B">
        <w:t xml:space="preserve">posouzení rozsahu a obsahu projektu. Posuzovány </w:t>
      </w:r>
      <w:r>
        <w:t>byly</w:t>
      </w:r>
      <w:r w:rsidRPr="00CA449B">
        <w:t xml:space="preserve"> zejména použité materiály a stavebně-technická řešení a dále i nezbytnost a</w:t>
      </w:r>
      <w:r>
        <w:t> </w:t>
      </w:r>
      <w:r w:rsidRPr="00CA449B">
        <w:t xml:space="preserve">nákladnost vyvolaných investic souvisejících s výstavbou nebo rekonstrukcí komunikace pro pěší. Posouzen </w:t>
      </w:r>
      <w:r>
        <w:t>byl</w:t>
      </w:r>
      <w:r w:rsidRPr="00CA449B">
        <w:t xml:space="preserve"> rovněž způsob zadání stavebních prací (ověření výše cen soutěží na trhu).</w:t>
      </w:r>
    </w:p>
  </w:footnote>
  <w:footnote w:id="44">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t>Navýšení (pokud jej lze jednoznačně určit) nepřevyšuje 10 % způsobilých</w:t>
      </w:r>
      <w:r>
        <w:t xml:space="preserve"> výdajů / uznatelných</w:t>
      </w:r>
      <w:r w:rsidRPr="00CA449B">
        <w:t xml:space="preserve"> nákladů projektu.</w:t>
      </w:r>
    </w:p>
  </w:footnote>
  <w:footnote w:id="45">
    <w:p w:rsidR="00BF5E07" w:rsidRPr="00CA449B" w:rsidRDefault="00BF5E07" w:rsidP="000B29CF">
      <w:pPr>
        <w:pStyle w:val="Textpoznpodarou"/>
        <w:ind w:left="284" w:hanging="284"/>
        <w:jc w:val="both"/>
      </w:pPr>
      <w:r w:rsidRPr="00CA449B">
        <w:rPr>
          <w:rStyle w:val="Znakapoznpodarou"/>
        </w:rPr>
        <w:footnoteRef/>
      </w:r>
      <w:r w:rsidRPr="00CA449B">
        <w:t xml:space="preserve"> </w:t>
      </w:r>
      <w:r>
        <w:tab/>
      </w:r>
      <w:r w:rsidRPr="00CA449B">
        <w:rPr>
          <w:rFonts w:cstheme="minorHAnsi"/>
          <w:szCs w:val="24"/>
        </w:rPr>
        <w:t xml:space="preserve">Za významný </w:t>
      </w:r>
      <w:r>
        <w:rPr>
          <w:rFonts w:cstheme="minorHAnsi"/>
          <w:szCs w:val="24"/>
        </w:rPr>
        <w:t>byl</w:t>
      </w:r>
      <w:r w:rsidRPr="00CA449B">
        <w:rPr>
          <w:rFonts w:cstheme="minorHAnsi"/>
          <w:szCs w:val="24"/>
        </w:rPr>
        <w:t xml:space="preserve"> považován finanční objem změn, který není vzhledem k</w:t>
      </w:r>
      <w:r>
        <w:rPr>
          <w:rFonts w:cstheme="minorHAnsi"/>
          <w:szCs w:val="24"/>
        </w:rPr>
        <w:t xml:space="preserve"> </w:t>
      </w:r>
      <w:r w:rsidRPr="00CA449B">
        <w:rPr>
          <w:rFonts w:cstheme="minorHAnsi"/>
          <w:szCs w:val="24"/>
        </w:rPr>
        <w:t xml:space="preserve">celkovým způsobilým </w:t>
      </w:r>
      <w:r>
        <w:rPr>
          <w:rFonts w:cstheme="minorHAnsi"/>
          <w:szCs w:val="24"/>
        </w:rPr>
        <w:br/>
      </w:r>
      <w:r w:rsidRPr="00CA449B">
        <w:rPr>
          <w:rFonts w:cstheme="minorHAnsi"/>
          <w:szCs w:val="24"/>
        </w:rPr>
        <w:t>výdajům</w:t>
      </w:r>
      <w:r>
        <w:rPr>
          <w:rFonts w:cstheme="minorHAnsi"/>
          <w:szCs w:val="24"/>
        </w:rPr>
        <w:t xml:space="preserve"> / uznatelným nákladům</w:t>
      </w:r>
      <w:r w:rsidRPr="00CA449B">
        <w:rPr>
          <w:rFonts w:cstheme="minorHAnsi"/>
          <w:szCs w:val="24"/>
        </w:rPr>
        <w:t xml:space="preserve"> projektu zanedbatelný</w:t>
      </w:r>
      <w:r>
        <w:rPr>
          <w:rFonts w:cstheme="minorHAnsi"/>
          <w:szCs w:val="24"/>
        </w:rPr>
        <w:t xml:space="preserve"> (tzn. pohybuje se v desítkách %)</w:t>
      </w:r>
      <w:r w:rsidRPr="00CA449B">
        <w:rPr>
          <w:rFonts w:cstheme="minorHAnsi"/>
          <w:szCs w:val="24"/>
        </w:rPr>
        <w:t>.</w:t>
      </w:r>
    </w:p>
  </w:footnote>
  <w:footnote w:id="46">
    <w:p w:rsidR="00BF5E07" w:rsidRDefault="00BF5E07" w:rsidP="000B29CF">
      <w:pPr>
        <w:pStyle w:val="Textpoznpodarou"/>
        <w:ind w:left="284" w:hanging="284"/>
        <w:jc w:val="both"/>
      </w:pPr>
      <w:r w:rsidRPr="00CA449B">
        <w:rPr>
          <w:rStyle w:val="Znakapoznpodarou"/>
        </w:rPr>
        <w:footnoteRef/>
      </w:r>
      <w:r w:rsidRPr="00CA449B">
        <w:t xml:space="preserve"> </w:t>
      </w:r>
      <w:r>
        <w:tab/>
      </w:r>
      <w:r w:rsidRPr="00CA449B">
        <w:t xml:space="preserve">O zařazení projektu do 3. nebo 4. stupně škály hospodárnosti rozhoduje závažnost a počet nedostatků ve smyslu jejich celkového vlivu na hospodárnost použití podpory.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F432D"/>
    <w:multiLevelType w:val="hybridMultilevel"/>
    <w:tmpl w:val="90AA368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19B5013"/>
    <w:multiLevelType w:val="hybridMultilevel"/>
    <w:tmpl w:val="C48E232A"/>
    <w:lvl w:ilvl="0" w:tplc="F6D04CD6">
      <w:start w:val="1"/>
      <w:numFmt w:val="lowerLetter"/>
      <w:lvlText w:val="%1)"/>
      <w:lvlJc w:val="left"/>
      <w:pPr>
        <w:ind w:left="720" w:hanging="360"/>
      </w:pPr>
      <w:rPr>
        <w:rFonts w:hint="default"/>
      </w:rPr>
    </w:lvl>
    <w:lvl w:ilvl="1" w:tplc="30E6457A" w:tentative="1">
      <w:start w:val="1"/>
      <w:numFmt w:val="lowerLetter"/>
      <w:lvlText w:val="%2."/>
      <w:lvlJc w:val="left"/>
      <w:pPr>
        <w:ind w:left="1440" w:hanging="360"/>
      </w:pPr>
    </w:lvl>
    <w:lvl w:ilvl="2" w:tplc="C70EEDAA" w:tentative="1">
      <w:start w:val="1"/>
      <w:numFmt w:val="lowerRoman"/>
      <w:lvlText w:val="%3."/>
      <w:lvlJc w:val="right"/>
      <w:pPr>
        <w:ind w:left="2160" w:hanging="180"/>
      </w:pPr>
    </w:lvl>
    <w:lvl w:ilvl="3" w:tplc="22CC31EA" w:tentative="1">
      <w:start w:val="1"/>
      <w:numFmt w:val="decimal"/>
      <w:lvlText w:val="%4."/>
      <w:lvlJc w:val="left"/>
      <w:pPr>
        <w:ind w:left="2880" w:hanging="360"/>
      </w:pPr>
    </w:lvl>
    <w:lvl w:ilvl="4" w:tplc="4246ECB8" w:tentative="1">
      <w:start w:val="1"/>
      <w:numFmt w:val="lowerLetter"/>
      <w:lvlText w:val="%5."/>
      <w:lvlJc w:val="left"/>
      <w:pPr>
        <w:ind w:left="3600" w:hanging="360"/>
      </w:pPr>
    </w:lvl>
    <w:lvl w:ilvl="5" w:tplc="F11C6E70" w:tentative="1">
      <w:start w:val="1"/>
      <w:numFmt w:val="lowerRoman"/>
      <w:lvlText w:val="%6."/>
      <w:lvlJc w:val="right"/>
      <w:pPr>
        <w:ind w:left="4320" w:hanging="180"/>
      </w:pPr>
    </w:lvl>
    <w:lvl w:ilvl="6" w:tplc="5CE40B10" w:tentative="1">
      <w:start w:val="1"/>
      <w:numFmt w:val="decimal"/>
      <w:lvlText w:val="%7."/>
      <w:lvlJc w:val="left"/>
      <w:pPr>
        <w:ind w:left="5040" w:hanging="360"/>
      </w:pPr>
    </w:lvl>
    <w:lvl w:ilvl="7" w:tplc="DA64D520" w:tentative="1">
      <w:start w:val="1"/>
      <w:numFmt w:val="lowerLetter"/>
      <w:lvlText w:val="%8."/>
      <w:lvlJc w:val="left"/>
      <w:pPr>
        <w:ind w:left="5760" w:hanging="360"/>
      </w:pPr>
    </w:lvl>
    <w:lvl w:ilvl="8" w:tplc="DEACFFF4" w:tentative="1">
      <w:start w:val="1"/>
      <w:numFmt w:val="lowerRoman"/>
      <w:lvlText w:val="%9."/>
      <w:lvlJc w:val="right"/>
      <w:pPr>
        <w:ind w:left="6480" w:hanging="180"/>
      </w:pPr>
    </w:lvl>
  </w:abstractNum>
  <w:abstractNum w:abstractNumId="2" w15:restartNumberingAfterBreak="0">
    <w:nsid w:val="0272782A"/>
    <w:multiLevelType w:val="hybridMultilevel"/>
    <w:tmpl w:val="06CC2B56"/>
    <w:lvl w:ilvl="0" w:tplc="FAFE7064">
      <w:start w:val="1"/>
      <w:numFmt w:val="lowerLetter"/>
      <w:lvlText w:val="%1)"/>
      <w:lvlJc w:val="left"/>
      <w:pPr>
        <w:ind w:left="720" w:hanging="360"/>
      </w:pPr>
      <w:rPr>
        <w:rFonts w:hint="default"/>
      </w:rPr>
    </w:lvl>
    <w:lvl w:ilvl="1" w:tplc="1C8C8C4E" w:tentative="1">
      <w:start w:val="1"/>
      <w:numFmt w:val="lowerLetter"/>
      <w:lvlText w:val="%2."/>
      <w:lvlJc w:val="left"/>
      <w:pPr>
        <w:ind w:left="1440" w:hanging="360"/>
      </w:pPr>
    </w:lvl>
    <w:lvl w:ilvl="2" w:tplc="2B6E91D6" w:tentative="1">
      <w:start w:val="1"/>
      <w:numFmt w:val="lowerRoman"/>
      <w:lvlText w:val="%3."/>
      <w:lvlJc w:val="right"/>
      <w:pPr>
        <w:ind w:left="2160" w:hanging="180"/>
      </w:pPr>
    </w:lvl>
    <w:lvl w:ilvl="3" w:tplc="2EBC61EA" w:tentative="1">
      <w:start w:val="1"/>
      <w:numFmt w:val="decimal"/>
      <w:lvlText w:val="%4."/>
      <w:lvlJc w:val="left"/>
      <w:pPr>
        <w:ind w:left="2880" w:hanging="360"/>
      </w:pPr>
    </w:lvl>
    <w:lvl w:ilvl="4" w:tplc="EA6CCC9E" w:tentative="1">
      <w:start w:val="1"/>
      <w:numFmt w:val="lowerLetter"/>
      <w:lvlText w:val="%5."/>
      <w:lvlJc w:val="left"/>
      <w:pPr>
        <w:ind w:left="3600" w:hanging="360"/>
      </w:pPr>
    </w:lvl>
    <w:lvl w:ilvl="5" w:tplc="6EB8F34E" w:tentative="1">
      <w:start w:val="1"/>
      <w:numFmt w:val="lowerRoman"/>
      <w:lvlText w:val="%6."/>
      <w:lvlJc w:val="right"/>
      <w:pPr>
        <w:ind w:left="4320" w:hanging="180"/>
      </w:pPr>
    </w:lvl>
    <w:lvl w:ilvl="6" w:tplc="AD368610" w:tentative="1">
      <w:start w:val="1"/>
      <w:numFmt w:val="decimal"/>
      <w:lvlText w:val="%7."/>
      <w:lvlJc w:val="left"/>
      <w:pPr>
        <w:ind w:left="5040" w:hanging="360"/>
      </w:pPr>
    </w:lvl>
    <w:lvl w:ilvl="7" w:tplc="9B9A0A76" w:tentative="1">
      <w:start w:val="1"/>
      <w:numFmt w:val="lowerLetter"/>
      <w:lvlText w:val="%8."/>
      <w:lvlJc w:val="left"/>
      <w:pPr>
        <w:ind w:left="5760" w:hanging="360"/>
      </w:pPr>
    </w:lvl>
    <w:lvl w:ilvl="8" w:tplc="A7EA4652" w:tentative="1">
      <w:start w:val="1"/>
      <w:numFmt w:val="lowerRoman"/>
      <w:lvlText w:val="%9."/>
      <w:lvlJc w:val="right"/>
      <w:pPr>
        <w:ind w:left="6480" w:hanging="180"/>
      </w:pPr>
    </w:lvl>
  </w:abstractNum>
  <w:abstractNum w:abstractNumId="3" w15:restartNumberingAfterBreak="0">
    <w:nsid w:val="02FC25A0"/>
    <w:multiLevelType w:val="hybridMultilevel"/>
    <w:tmpl w:val="3ED253B2"/>
    <w:lvl w:ilvl="0" w:tplc="99FA9602">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7BF6064"/>
    <w:multiLevelType w:val="hybridMultilevel"/>
    <w:tmpl w:val="CB50614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8525906"/>
    <w:multiLevelType w:val="hybridMultilevel"/>
    <w:tmpl w:val="19F65060"/>
    <w:lvl w:ilvl="0" w:tplc="BA9CA15A">
      <w:numFmt w:val="bullet"/>
      <w:lvlText w:val="-"/>
      <w:lvlJc w:val="left"/>
      <w:pPr>
        <w:ind w:left="360" w:hanging="360"/>
      </w:pPr>
      <w:rPr>
        <w:rFonts w:ascii="Calibri" w:eastAsia="Times New Roman" w:hAnsi="Calibri" w:cs="Calibri" w:hint="default"/>
      </w:rPr>
    </w:lvl>
    <w:lvl w:ilvl="1" w:tplc="66DA3B10" w:tentative="1">
      <w:start w:val="1"/>
      <w:numFmt w:val="bullet"/>
      <w:lvlText w:val="o"/>
      <w:lvlJc w:val="left"/>
      <w:pPr>
        <w:ind w:left="2160" w:hanging="360"/>
      </w:pPr>
      <w:rPr>
        <w:rFonts w:ascii="Courier New" w:hAnsi="Courier New" w:cs="Courier New" w:hint="default"/>
      </w:rPr>
    </w:lvl>
    <w:lvl w:ilvl="2" w:tplc="369AFF3E" w:tentative="1">
      <w:start w:val="1"/>
      <w:numFmt w:val="bullet"/>
      <w:lvlText w:val=""/>
      <w:lvlJc w:val="left"/>
      <w:pPr>
        <w:ind w:left="2880" w:hanging="360"/>
      </w:pPr>
      <w:rPr>
        <w:rFonts w:ascii="Wingdings" w:hAnsi="Wingdings" w:hint="default"/>
      </w:rPr>
    </w:lvl>
    <w:lvl w:ilvl="3" w:tplc="AFA4B1AC" w:tentative="1">
      <w:start w:val="1"/>
      <w:numFmt w:val="bullet"/>
      <w:lvlText w:val=""/>
      <w:lvlJc w:val="left"/>
      <w:pPr>
        <w:ind w:left="3600" w:hanging="360"/>
      </w:pPr>
      <w:rPr>
        <w:rFonts w:ascii="Symbol" w:hAnsi="Symbol" w:hint="default"/>
      </w:rPr>
    </w:lvl>
    <w:lvl w:ilvl="4" w:tplc="C92AF0FA" w:tentative="1">
      <w:start w:val="1"/>
      <w:numFmt w:val="bullet"/>
      <w:lvlText w:val="o"/>
      <w:lvlJc w:val="left"/>
      <w:pPr>
        <w:ind w:left="4320" w:hanging="360"/>
      </w:pPr>
      <w:rPr>
        <w:rFonts w:ascii="Courier New" w:hAnsi="Courier New" w:cs="Courier New" w:hint="default"/>
      </w:rPr>
    </w:lvl>
    <w:lvl w:ilvl="5" w:tplc="303A83B8" w:tentative="1">
      <w:start w:val="1"/>
      <w:numFmt w:val="bullet"/>
      <w:lvlText w:val=""/>
      <w:lvlJc w:val="left"/>
      <w:pPr>
        <w:ind w:left="5040" w:hanging="360"/>
      </w:pPr>
      <w:rPr>
        <w:rFonts w:ascii="Wingdings" w:hAnsi="Wingdings" w:hint="default"/>
      </w:rPr>
    </w:lvl>
    <w:lvl w:ilvl="6" w:tplc="CF0A5AEA" w:tentative="1">
      <w:start w:val="1"/>
      <w:numFmt w:val="bullet"/>
      <w:lvlText w:val=""/>
      <w:lvlJc w:val="left"/>
      <w:pPr>
        <w:ind w:left="5760" w:hanging="360"/>
      </w:pPr>
      <w:rPr>
        <w:rFonts w:ascii="Symbol" w:hAnsi="Symbol" w:hint="default"/>
      </w:rPr>
    </w:lvl>
    <w:lvl w:ilvl="7" w:tplc="470ADBE2" w:tentative="1">
      <w:start w:val="1"/>
      <w:numFmt w:val="bullet"/>
      <w:lvlText w:val="o"/>
      <w:lvlJc w:val="left"/>
      <w:pPr>
        <w:ind w:left="6480" w:hanging="360"/>
      </w:pPr>
      <w:rPr>
        <w:rFonts w:ascii="Courier New" w:hAnsi="Courier New" w:cs="Courier New" w:hint="default"/>
      </w:rPr>
    </w:lvl>
    <w:lvl w:ilvl="8" w:tplc="FA321D48" w:tentative="1">
      <w:start w:val="1"/>
      <w:numFmt w:val="bullet"/>
      <w:lvlText w:val=""/>
      <w:lvlJc w:val="left"/>
      <w:pPr>
        <w:ind w:left="7200" w:hanging="360"/>
      </w:pPr>
      <w:rPr>
        <w:rFonts w:ascii="Wingdings" w:hAnsi="Wingdings" w:hint="default"/>
      </w:rPr>
    </w:lvl>
  </w:abstractNum>
  <w:abstractNum w:abstractNumId="6" w15:restartNumberingAfterBreak="0">
    <w:nsid w:val="0B740ED1"/>
    <w:multiLevelType w:val="hybridMultilevel"/>
    <w:tmpl w:val="307C4D36"/>
    <w:lvl w:ilvl="0" w:tplc="FA949B76">
      <w:start w:val="1"/>
      <w:numFmt w:val="lowerLetter"/>
      <w:lvlText w:val="%1)"/>
      <w:lvlJc w:val="left"/>
      <w:pPr>
        <w:ind w:left="360" w:hanging="360"/>
      </w:pPr>
      <w:rPr>
        <w:rFonts w:hint="default"/>
      </w:rPr>
    </w:lvl>
    <w:lvl w:ilvl="1" w:tplc="64546820" w:tentative="1">
      <w:start w:val="1"/>
      <w:numFmt w:val="lowerLetter"/>
      <w:lvlText w:val="%2."/>
      <w:lvlJc w:val="left"/>
      <w:pPr>
        <w:ind w:left="1440" w:hanging="360"/>
      </w:pPr>
    </w:lvl>
    <w:lvl w:ilvl="2" w:tplc="0A6AE0C6" w:tentative="1">
      <w:start w:val="1"/>
      <w:numFmt w:val="lowerRoman"/>
      <w:lvlText w:val="%3."/>
      <w:lvlJc w:val="right"/>
      <w:pPr>
        <w:ind w:left="2160" w:hanging="180"/>
      </w:pPr>
    </w:lvl>
    <w:lvl w:ilvl="3" w:tplc="8FBE1564" w:tentative="1">
      <w:start w:val="1"/>
      <w:numFmt w:val="decimal"/>
      <w:lvlText w:val="%4."/>
      <w:lvlJc w:val="left"/>
      <w:pPr>
        <w:ind w:left="2880" w:hanging="360"/>
      </w:pPr>
    </w:lvl>
    <w:lvl w:ilvl="4" w:tplc="10668182" w:tentative="1">
      <w:start w:val="1"/>
      <w:numFmt w:val="lowerLetter"/>
      <w:lvlText w:val="%5."/>
      <w:lvlJc w:val="left"/>
      <w:pPr>
        <w:ind w:left="3600" w:hanging="360"/>
      </w:pPr>
    </w:lvl>
    <w:lvl w:ilvl="5" w:tplc="E970F24C" w:tentative="1">
      <w:start w:val="1"/>
      <w:numFmt w:val="lowerRoman"/>
      <w:lvlText w:val="%6."/>
      <w:lvlJc w:val="right"/>
      <w:pPr>
        <w:ind w:left="4320" w:hanging="180"/>
      </w:pPr>
    </w:lvl>
    <w:lvl w:ilvl="6" w:tplc="F034C268" w:tentative="1">
      <w:start w:val="1"/>
      <w:numFmt w:val="decimal"/>
      <w:lvlText w:val="%7."/>
      <w:lvlJc w:val="left"/>
      <w:pPr>
        <w:ind w:left="5040" w:hanging="360"/>
      </w:pPr>
    </w:lvl>
    <w:lvl w:ilvl="7" w:tplc="A18E3BE6" w:tentative="1">
      <w:start w:val="1"/>
      <w:numFmt w:val="lowerLetter"/>
      <w:lvlText w:val="%8."/>
      <w:lvlJc w:val="left"/>
      <w:pPr>
        <w:ind w:left="5760" w:hanging="360"/>
      </w:pPr>
    </w:lvl>
    <w:lvl w:ilvl="8" w:tplc="6E7E6ED6" w:tentative="1">
      <w:start w:val="1"/>
      <w:numFmt w:val="lowerRoman"/>
      <w:lvlText w:val="%9."/>
      <w:lvlJc w:val="right"/>
      <w:pPr>
        <w:ind w:left="6480" w:hanging="180"/>
      </w:pPr>
    </w:lvl>
  </w:abstractNum>
  <w:abstractNum w:abstractNumId="7" w15:restartNumberingAfterBreak="0">
    <w:nsid w:val="18B042BE"/>
    <w:multiLevelType w:val="hybridMultilevel"/>
    <w:tmpl w:val="8C1ED29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A7E1A8D"/>
    <w:multiLevelType w:val="hybridMultilevel"/>
    <w:tmpl w:val="AC02365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E491A5E"/>
    <w:multiLevelType w:val="hybridMultilevel"/>
    <w:tmpl w:val="5B72A52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F9854C7"/>
    <w:multiLevelType w:val="hybridMultilevel"/>
    <w:tmpl w:val="9F4243CA"/>
    <w:lvl w:ilvl="0" w:tplc="B7A84ADE">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702211B"/>
    <w:multiLevelType w:val="hybridMultilevel"/>
    <w:tmpl w:val="3CA601AC"/>
    <w:lvl w:ilvl="0" w:tplc="6DD62B90">
      <w:start w:val="1"/>
      <w:numFmt w:val="decimal"/>
      <w:lvlText w:val="%1."/>
      <w:lvlJc w:val="left"/>
      <w:pPr>
        <w:ind w:left="720" w:hanging="360"/>
      </w:pPr>
      <w:rPr>
        <w:rFonts w:hint="default"/>
        <w:b/>
      </w:rPr>
    </w:lvl>
    <w:lvl w:ilvl="1" w:tplc="CC04608A" w:tentative="1">
      <w:start w:val="1"/>
      <w:numFmt w:val="lowerLetter"/>
      <w:lvlText w:val="%2."/>
      <w:lvlJc w:val="left"/>
      <w:pPr>
        <w:ind w:left="1440" w:hanging="360"/>
      </w:pPr>
    </w:lvl>
    <w:lvl w:ilvl="2" w:tplc="0E204E26" w:tentative="1">
      <w:start w:val="1"/>
      <w:numFmt w:val="lowerRoman"/>
      <w:lvlText w:val="%3."/>
      <w:lvlJc w:val="right"/>
      <w:pPr>
        <w:ind w:left="2160" w:hanging="180"/>
      </w:pPr>
    </w:lvl>
    <w:lvl w:ilvl="3" w:tplc="6816A0D2" w:tentative="1">
      <w:start w:val="1"/>
      <w:numFmt w:val="decimal"/>
      <w:lvlText w:val="%4."/>
      <w:lvlJc w:val="left"/>
      <w:pPr>
        <w:ind w:left="2880" w:hanging="360"/>
      </w:pPr>
    </w:lvl>
    <w:lvl w:ilvl="4" w:tplc="38E28E34" w:tentative="1">
      <w:start w:val="1"/>
      <w:numFmt w:val="lowerLetter"/>
      <w:lvlText w:val="%5."/>
      <w:lvlJc w:val="left"/>
      <w:pPr>
        <w:ind w:left="3600" w:hanging="360"/>
      </w:pPr>
    </w:lvl>
    <w:lvl w:ilvl="5" w:tplc="DE645CC4" w:tentative="1">
      <w:start w:val="1"/>
      <w:numFmt w:val="lowerRoman"/>
      <w:lvlText w:val="%6."/>
      <w:lvlJc w:val="right"/>
      <w:pPr>
        <w:ind w:left="4320" w:hanging="180"/>
      </w:pPr>
    </w:lvl>
    <w:lvl w:ilvl="6" w:tplc="32600612" w:tentative="1">
      <w:start w:val="1"/>
      <w:numFmt w:val="decimal"/>
      <w:lvlText w:val="%7."/>
      <w:lvlJc w:val="left"/>
      <w:pPr>
        <w:ind w:left="5040" w:hanging="360"/>
      </w:pPr>
    </w:lvl>
    <w:lvl w:ilvl="7" w:tplc="46BC0E66" w:tentative="1">
      <w:start w:val="1"/>
      <w:numFmt w:val="lowerLetter"/>
      <w:lvlText w:val="%8."/>
      <w:lvlJc w:val="left"/>
      <w:pPr>
        <w:ind w:left="5760" w:hanging="360"/>
      </w:pPr>
    </w:lvl>
    <w:lvl w:ilvl="8" w:tplc="A7A4A78A" w:tentative="1">
      <w:start w:val="1"/>
      <w:numFmt w:val="lowerRoman"/>
      <w:lvlText w:val="%9."/>
      <w:lvlJc w:val="right"/>
      <w:pPr>
        <w:ind w:left="6480" w:hanging="180"/>
      </w:pPr>
    </w:lvl>
  </w:abstractNum>
  <w:abstractNum w:abstractNumId="12" w15:restartNumberingAfterBreak="0">
    <w:nsid w:val="2BB46510"/>
    <w:multiLevelType w:val="hybridMultilevel"/>
    <w:tmpl w:val="A75AC748"/>
    <w:lvl w:ilvl="0" w:tplc="3C62E872">
      <w:start w:val="1"/>
      <w:numFmt w:val="bullet"/>
      <w:lvlText w:val="−"/>
      <w:lvlJc w:val="left"/>
      <w:pPr>
        <w:ind w:left="720" w:hanging="360"/>
      </w:pPr>
      <w:rPr>
        <w:rFonts w:ascii="Calibri" w:hAnsi="Calibri" w:hint="default"/>
      </w:rPr>
    </w:lvl>
    <w:lvl w:ilvl="1" w:tplc="DA162EEC" w:tentative="1">
      <w:start w:val="1"/>
      <w:numFmt w:val="bullet"/>
      <w:lvlText w:val="o"/>
      <w:lvlJc w:val="left"/>
      <w:pPr>
        <w:ind w:left="1440" w:hanging="360"/>
      </w:pPr>
      <w:rPr>
        <w:rFonts w:ascii="Courier New" w:hAnsi="Courier New" w:cs="Courier New" w:hint="default"/>
      </w:rPr>
    </w:lvl>
    <w:lvl w:ilvl="2" w:tplc="7E560C20" w:tentative="1">
      <w:start w:val="1"/>
      <w:numFmt w:val="bullet"/>
      <w:lvlText w:val=""/>
      <w:lvlJc w:val="left"/>
      <w:pPr>
        <w:ind w:left="2160" w:hanging="360"/>
      </w:pPr>
      <w:rPr>
        <w:rFonts w:ascii="Wingdings" w:hAnsi="Wingdings" w:hint="default"/>
      </w:rPr>
    </w:lvl>
    <w:lvl w:ilvl="3" w:tplc="90E2D20C" w:tentative="1">
      <w:start w:val="1"/>
      <w:numFmt w:val="bullet"/>
      <w:lvlText w:val=""/>
      <w:lvlJc w:val="left"/>
      <w:pPr>
        <w:ind w:left="2880" w:hanging="360"/>
      </w:pPr>
      <w:rPr>
        <w:rFonts w:ascii="Symbol" w:hAnsi="Symbol" w:hint="default"/>
      </w:rPr>
    </w:lvl>
    <w:lvl w:ilvl="4" w:tplc="8BB63A30" w:tentative="1">
      <w:start w:val="1"/>
      <w:numFmt w:val="bullet"/>
      <w:lvlText w:val="o"/>
      <w:lvlJc w:val="left"/>
      <w:pPr>
        <w:ind w:left="3600" w:hanging="360"/>
      </w:pPr>
      <w:rPr>
        <w:rFonts w:ascii="Courier New" w:hAnsi="Courier New" w:cs="Courier New" w:hint="default"/>
      </w:rPr>
    </w:lvl>
    <w:lvl w:ilvl="5" w:tplc="B600CF42" w:tentative="1">
      <w:start w:val="1"/>
      <w:numFmt w:val="bullet"/>
      <w:lvlText w:val=""/>
      <w:lvlJc w:val="left"/>
      <w:pPr>
        <w:ind w:left="4320" w:hanging="360"/>
      </w:pPr>
      <w:rPr>
        <w:rFonts w:ascii="Wingdings" w:hAnsi="Wingdings" w:hint="default"/>
      </w:rPr>
    </w:lvl>
    <w:lvl w:ilvl="6" w:tplc="B5C26CC2" w:tentative="1">
      <w:start w:val="1"/>
      <w:numFmt w:val="bullet"/>
      <w:lvlText w:val=""/>
      <w:lvlJc w:val="left"/>
      <w:pPr>
        <w:ind w:left="5040" w:hanging="360"/>
      </w:pPr>
      <w:rPr>
        <w:rFonts w:ascii="Symbol" w:hAnsi="Symbol" w:hint="default"/>
      </w:rPr>
    </w:lvl>
    <w:lvl w:ilvl="7" w:tplc="AC8059C0" w:tentative="1">
      <w:start w:val="1"/>
      <w:numFmt w:val="bullet"/>
      <w:lvlText w:val="o"/>
      <w:lvlJc w:val="left"/>
      <w:pPr>
        <w:ind w:left="5760" w:hanging="360"/>
      </w:pPr>
      <w:rPr>
        <w:rFonts w:ascii="Courier New" w:hAnsi="Courier New" w:cs="Courier New" w:hint="default"/>
      </w:rPr>
    </w:lvl>
    <w:lvl w:ilvl="8" w:tplc="7B281F3A" w:tentative="1">
      <w:start w:val="1"/>
      <w:numFmt w:val="bullet"/>
      <w:lvlText w:val=""/>
      <w:lvlJc w:val="left"/>
      <w:pPr>
        <w:ind w:left="6480" w:hanging="360"/>
      </w:pPr>
      <w:rPr>
        <w:rFonts w:ascii="Wingdings" w:hAnsi="Wingdings" w:hint="default"/>
      </w:rPr>
    </w:lvl>
  </w:abstractNum>
  <w:abstractNum w:abstractNumId="13" w15:restartNumberingAfterBreak="0">
    <w:nsid w:val="31275C6A"/>
    <w:multiLevelType w:val="hybridMultilevel"/>
    <w:tmpl w:val="42BA6F04"/>
    <w:lvl w:ilvl="0" w:tplc="99FA9602">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28004CD"/>
    <w:multiLevelType w:val="hybridMultilevel"/>
    <w:tmpl w:val="98383AB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69A01AC"/>
    <w:multiLevelType w:val="hybridMultilevel"/>
    <w:tmpl w:val="EAD6933A"/>
    <w:lvl w:ilvl="0" w:tplc="340655FE">
      <w:start w:val="1"/>
      <w:numFmt w:val="bullet"/>
      <w:lvlText w:val=""/>
      <w:lvlJc w:val="left"/>
      <w:pPr>
        <w:ind w:left="720" w:hanging="360"/>
      </w:pPr>
      <w:rPr>
        <w:rFonts w:ascii="Symbol" w:hAnsi="Symbol" w:hint="default"/>
      </w:rPr>
    </w:lvl>
    <w:lvl w:ilvl="1" w:tplc="68B42756" w:tentative="1">
      <w:start w:val="1"/>
      <w:numFmt w:val="bullet"/>
      <w:lvlText w:val="o"/>
      <w:lvlJc w:val="left"/>
      <w:pPr>
        <w:ind w:left="1440" w:hanging="360"/>
      </w:pPr>
      <w:rPr>
        <w:rFonts w:ascii="Courier New" w:hAnsi="Courier New" w:cs="Courier New" w:hint="default"/>
      </w:rPr>
    </w:lvl>
    <w:lvl w:ilvl="2" w:tplc="589271E8" w:tentative="1">
      <w:start w:val="1"/>
      <w:numFmt w:val="bullet"/>
      <w:lvlText w:val=""/>
      <w:lvlJc w:val="left"/>
      <w:pPr>
        <w:ind w:left="2160" w:hanging="360"/>
      </w:pPr>
      <w:rPr>
        <w:rFonts w:ascii="Wingdings" w:hAnsi="Wingdings" w:hint="default"/>
      </w:rPr>
    </w:lvl>
    <w:lvl w:ilvl="3" w:tplc="571AE94E" w:tentative="1">
      <w:start w:val="1"/>
      <w:numFmt w:val="bullet"/>
      <w:lvlText w:val=""/>
      <w:lvlJc w:val="left"/>
      <w:pPr>
        <w:ind w:left="2880" w:hanging="360"/>
      </w:pPr>
      <w:rPr>
        <w:rFonts w:ascii="Symbol" w:hAnsi="Symbol" w:hint="default"/>
      </w:rPr>
    </w:lvl>
    <w:lvl w:ilvl="4" w:tplc="F7F86846" w:tentative="1">
      <w:start w:val="1"/>
      <w:numFmt w:val="bullet"/>
      <w:lvlText w:val="o"/>
      <w:lvlJc w:val="left"/>
      <w:pPr>
        <w:ind w:left="3600" w:hanging="360"/>
      </w:pPr>
      <w:rPr>
        <w:rFonts w:ascii="Courier New" w:hAnsi="Courier New" w:cs="Courier New" w:hint="default"/>
      </w:rPr>
    </w:lvl>
    <w:lvl w:ilvl="5" w:tplc="D0167526" w:tentative="1">
      <w:start w:val="1"/>
      <w:numFmt w:val="bullet"/>
      <w:lvlText w:val=""/>
      <w:lvlJc w:val="left"/>
      <w:pPr>
        <w:ind w:left="4320" w:hanging="360"/>
      </w:pPr>
      <w:rPr>
        <w:rFonts w:ascii="Wingdings" w:hAnsi="Wingdings" w:hint="default"/>
      </w:rPr>
    </w:lvl>
    <w:lvl w:ilvl="6" w:tplc="9DA07ED4" w:tentative="1">
      <w:start w:val="1"/>
      <w:numFmt w:val="bullet"/>
      <w:lvlText w:val=""/>
      <w:lvlJc w:val="left"/>
      <w:pPr>
        <w:ind w:left="5040" w:hanging="360"/>
      </w:pPr>
      <w:rPr>
        <w:rFonts w:ascii="Symbol" w:hAnsi="Symbol" w:hint="default"/>
      </w:rPr>
    </w:lvl>
    <w:lvl w:ilvl="7" w:tplc="E9D4E770" w:tentative="1">
      <w:start w:val="1"/>
      <w:numFmt w:val="bullet"/>
      <w:lvlText w:val="o"/>
      <w:lvlJc w:val="left"/>
      <w:pPr>
        <w:ind w:left="5760" w:hanging="360"/>
      </w:pPr>
      <w:rPr>
        <w:rFonts w:ascii="Courier New" w:hAnsi="Courier New" w:cs="Courier New" w:hint="default"/>
      </w:rPr>
    </w:lvl>
    <w:lvl w:ilvl="8" w:tplc="3DEE5508" w:tentative="1">
      <w:start w:val="1"/>
      <w:numFmt w:val="bullet"/>
      <w:lvlText w:val=""/>
      <w:lvlJc w:val="left"/>
      <w:pPr>
        <w:ind w:left="6480" w:hanging="360"/>
      </w:pPr>
      <w:rPr>
        <w:rFonts w:ascii="Wingdings" w:hAnsi="Wingdings" w:hint="default"/>
      </w:rPr>
    </w:lvl>
  </w:abstractNum>
  <w:abstractNum w:abstractNumId="16" w15:restartNumberingAfterBreak="0">
    <w:nsid w:val="4B7A4B0F"/>
    <w:multiLevelType w:val="hybridMultilevel"/>
    <w:tmpl w:val="8E6C620E"/>
    <w:lvl w:ilvl="0" w:tplc="C136CAC0">
      <w:start w:val="1"/>
      <w:numFmt w:val="decimal"/>
      <w:lvlText w:val="%1."/>
      <w:lvlJc w:val="left"/>
      <w:pPr>
        <w:ind w:left="3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3B65FE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A3E5BB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2183BD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7A0D72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12C2FD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184ED5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08075F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CCAE18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FC27EB3"/>
    <w:multiLevelType w:val="hybridMultilevel"/>
    <w:tmpl w:val="76C28AAC"/>
    <w:lvl w:ilvl="0" w:tplc="46AC8A6A">
      <w:start w:val="1"/>
      <w:numFmt w:val="decimal"/>
      <w:lvlText w:val="%1."/>
      <w:lvlJc w:val="left"/>
      <w:pPr>
        <w:ind w:left="720" w:hanging="360"/>
      </w:pPr>
      <w:rPr>
        <w:rFonts w:cstheme="minorHAns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56BB7BE0"/>
    <w:multiLevelType w:val="hybridMultilevel"/>
    <w:tmpl w:val="18A27DF8"/>
    <w:lvl w:ilvl="0" w:tplc="9DEE5884">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C8E7524">
      <w:start w:val="1"/>
      <w:numFmt w:val="bullet"/>
      <w:lvlText w:val="o"/>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D08C34">
      <w:start w:val="1"/>
      <w:numFmt w:val="bullet"/>
      <w:lvlText w:val="▪"/>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E1291E2">
      <w:start w:val="1"/>
      <w:numFmt w:val="bullet"/>
      <w:lvlText w:val="•"/>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F36AFF6">
      <w:start w:val="1"/>
      <w:numFmt w:val="bullet"/>
      <w:lvlText w:val="o"/>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769614">
      <w:start w:val="1"/>
      <w:numFmt w:val="bullet"/>
      <w:lvlText w:val="▪"/>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C44112">
      <w:start w:val="1"/>
      <w:numFmt w:val="bullet"/>
      <w:lvlText w:val="•"/>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B4956C">
      <w:start w:val="1"/>
      <w:numFmt w:val="bullet"/>
      <w:lvlText w:val="o"/>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24FB76">
      <w:start w:val="1"/>
      <w:numFmt w:val="bullet"/>
      <w:lvlText w:val="▪"/>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B9E0B8A"/>
    <w:multiLevelType w:val="hybridMultilevel"/>
    <w:tmpl w:val="76983F54"/>
    <w:lvl w:ilvl="0" w:tplc="6C8E1402">
      <w:start w:val="1"/>
      <w:numFmt w:val="lowerLetter"/>
      <w:lvlText w:val="%1)"/>
      <w:lvlJc w:val="left"/>
      <w:pPr>
        <w:ind w:left="720" w:hanging="360"/>
      </w:pPr>
      <w:rPr>
        <w:rFonts w:hint="default"/>
      </w:rPr>
    </w:lvl>
    <w:lvl w:ilvl="1" w:tplc="D0ECA2B6" w:tentative="1">
      <w:start w:val="1"/>
      <w:numFmt w:val="lowerLetter"/>
      <w:lvlText w:val="%2."/>
      <w:lvlJc w:val="left"/>
      <w:pPr>
        <w:ind w:left="1440" w:hanging="360"/>
      </w:pPr>
    </w:lvl>
    <w:lvl w:ilvl="2" w:tplc="9B16294A" w:tentative="1">
      <w:start w:val="1"/>
      <w:numFmt w:val="lowerRoman"/>
      <w:lvlText w:val="%3."/>
      <w:lvlJc w:val="right"/>
      <w:pPr>
        <w:ind w:left="2160" w:hanging="180"/>
      </w:pPr>
    </w:lvl>
    <w:lvl w:ilvl="3" w:tplc="7394946E" w:tentative="1">
      <w:start w:val="1"/>
      <w:numFmt w:val="decimal"/>
      <w:lvlText w:val="%4."/>
      <w:lvlJc w:val="left"/>
      <w:pPr>
        <w:ind w:left="2880" w:hanging="360"/>
      </w:pPr>
    </w:lvl>
    <w:lvl w:ilvl="4" w:tplc="E1F4E678" w:tentative="1">
      <w:start w:val="1"/>
      <w:numFmt w:val="lowerLetter"/>
      <w:lvlText w:val="%5."/>
      <w:lvlJc w:val="left"/>
      <w:pPr>
        <w:ind w:left="3600" w:hanging="360"/>
      </w:pPr>
    </w:lvl>
    <w:lvl w:ilvl="5" w:tplc="479A4724" w:tentative="1">
      <w:start w:val="1"/>
      <w:numFmt w:val="lowerRoman"/>
      <w:lvlText w:val="%6."/>
      <w:lvlJc w:val="right"/>
      <w:pPr>
        <w:ind w:left="4320" w:hanging="180"/>
      </w:pPr>
    </w:lvl>
    <w:lvl w:ilvl="6" w:tplc="B8646510" w:tentative="1">
      <w:start w:val="1"/>
      <w:numFmt w:val="decimal"/>
      <w:lvlText w:val="%7."/>
      <w:lvlJc w:val="left"/>
      <w:pPr>
        <w:ind w:left="5040" w:hanging="360"/>
      </w:pPr>
    </w:lvl>
    <w:lvl w:ilvl="7" w:tplc="9D7C0FE2" w:tentative="1">
      <w:start w:val="1"/>
      <w:numFmt w:val="lowerLetter"/>
      <w:lvlText w:val="%8."/>
      <w:lvlJc w:val="left"/>
      <w:pPr>
        <w:ind w:left="5760" w:hanging="360"/>
      </w:pPr>
    </w:lvl>
    <w:lvl w:ilvl="8" w:tplc="D06AF5C2" w:tentative="1">
      <w:start w:val="1"/>
      <w:numFmt w:val="lowerRoman"/>
      <w:lvlText w:val="%9."/>
      <w:lvlJc w:val="right"/>
      <w:pPr>
        <w:ind w:left="6480" w:hanging="180"/>
      </w:pPr>
    </w:lvl>
  </w:abstractNum>
  <w:abstractNum w:abstractNumId="20" w15:restartNumberingAfterBreak="0">
    <w:nsid w:val="5D037460"/>
    <w:multiLevelType w:val="hybridMultilevel"/>
    <w:tmpl w:val="C226B094"/>
    <w:lvl w:ilvl="0" w:tplc="935CD644">
      <w:start w:val="1"/>
      <w:numFmt w:val="lowerLetter"/>
      <w:lvlText w:val="%1)"/>
      <w:lvlJc w:val="left"/>
      <w:pPr>
        <w:ind w:left="720" w:hanging="360"/>
      </w:pPr>
      <w:rPr>
        <w:rFonts w:hint="default"/>
      </w:rPr>
    </w:lvl>
    <w:lvl w:ilvl="1" w:tplc="6994EB08" w:tentative="1">
      <w:start w:val="1"/>
      <w:numFmt w:val="lowerLetter"/>
      <w:lvlText w:val="%2."/>
      <w:lvlJc w:val="left"/>
      <w:pPr>
        <w:ind w:left="1440" w:hanging="360"/>
      </w:pPr>
    </w:lvl>
    <w:lvl w:ilvl="2" w:tplc="4BCEB51E" w:tentative="1">
      <w:start w:val="1"/>
      <w:numFmt w:val="lowerRoman"/>
      <w:lvlText w:val="%3."/>
      <w:lvlJc w:val="right"/>
      <w:pPr>
        <w:ind w:left="2160" w:hanging="180"/>
      </w:pPr>
    </w:lvl>
    <w:lvl w:ilvl="3" w:tplc="D6B69C86" w:tentative="1">
      <w:start w:val="1"/>
      <w:numFmt w:val="decimal"/>
      <w:lvlText w:val="%4."/>
      <w:lvlJc w:val="left"/>
      <w:pPr>
        <w:ind w:left="2880" w:hanging="360"/>
      </w:pPr>
    </w:lvl>
    <w:lvl w:ilvl="4" w:tplc="6482610E" w:tentative="1">
      <w:start w:val="1"/>
      <w:numFmt w:val="lowerLetter"/>
      <w:lvlText w:val="%5."/>
      <w:lvlJc w:val="left"/>
      <w:pPr>
        <w:ind w:left="3600" w:hanging="360"/>
      </w:pPr>
    </w:lvl>
    <w:lvl w:ilvl="5" w:tplc="C1845E58" w:tentative="1">
      <w:start w:val="1"/>
      <w:numFmt w:val="lowerRoman"/>
      <w:lvlText w:val="%6."/>
      <w:lvlJc w:val="right"/>
      <w:pPr>
        <w:ind w:left="4320" w:hanging="180"/>
      </w:pPr>
    </w:lvl>
    <w:lvl w:ilvl="6" w:tplc="D556CE1C" w:tentative="1">
      <w:start w:val="1"/>
      <w:numFmt w:val="decimal"/>
      <w:lvlText w:val="%7."/>
      <w:lvlJc w:val="left"/>
      <w:pPr>
        <w:ind w:left="5040" w:hanging="360"/>
      </w:pPr>
    </w:lvl>
    <w:lvl w:ilvl="7" w:tplc="B894B7BC" w:tentative="1">
      <w:start w:val="1"/>
      <w:numFmt w:val="lowerLetter"/>
      <w:lvlText w:val="%8."/>
      <w:lvlJc w:val="left"/>
      <w:pPr>
        <w:ind w:left="5760" w:hanging="360"/>
      </w:pPr>
    </w:lvl>
    <w:lvl w:ilvl="8" w:tplc="4678FD2A" w:tentative="1">
      <w:start w:val="1"/>
      <w:numFmt w:val="lowerRoman"/>
      <w:lvlText w:val="%9."/>
      <w:lvlJc w:val="right"/>
      <w:pPr>
        <w:ind w:left="6480" w:hanging="180"/>
      </w:pPr>
    </w:lvl>
  </w:abstractNum>
  <w:abstractNum w:abstractNumId="21" w15:restartNumberingAfterBreak="0">
    <w:nsid w:val="5D665BC2"/>
    <w:multiLevelType w:val="hybridMultilevel"/>
    <w:tmpl w:val="4F96A79C"/>
    <w:lvl w:ilvl="0" w:tplc="D55A63AC">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61F37872"/>
    <w:multiLevelType w:val="hybridMultilevel"/>
    <w:tmpl w:val="7A101DB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EE33CF5"/>
    <w:multiLevelType w:val="hybridMultilevel"/>
    <w:tmpl w:val="C226B094"/>
    <w:lvl w:ilvl="0" w:tplc="513E23BA">
      <w:start w:val="1"/>
      <w:numFmt w:val="lowerLetter"/>
      <w:lvlText w:val="%1)"/>
      <w:lvlJc w:val="left"/>
      <w:pPr>
        <w:ind w:left="720" w:hanging="360"/>
      </w:pPr>
      <w:rPr>
        <w:rFonts w:hint="default"/>
      </w:rPr>
    </w:lvl>
    <w:lvl w:ilvl="1" w:tplc="E14E0D64" w:tentative="1">
      <w:start w:val="1"/>
      <w:numFmt w:val="lowerLetter"/>
      <w:lvlText w:val="%2."/>
      <w:lvlJc w:val="left"/>
      <w:pPr>
        <w:ind w:left="1440" w:hanging="360"/>
      </w:pPr>
    </w:lvl>
    <w:lvl w:ilvl="2" w:tplc="FEA82E02" w:tentative="1">
      <w:start w:val="1"/>
      <w:numFmt w:val="lowerRoman"/>
      <w:lvlText w:val="%3."/>
      <w:lvlJc w:val="right"/>
      <w:pPr>
        <w:ind w:left="2160" w:hanging="180"/>
      </w:pPr>
    </w:lvl>
    <w:lvl w:ilvl="3" w:tplc="81A6364C" w:tentative="1">
      <w:start w:val="1"/>
      <w:numFmt w:val="decimal"/>
      <w:lvlText w:val="%4."/>
      <w:lvlJc w:val="left"/>
      <w:pPr>
        <w:ind w:left="2880" w:hanging="360"/>
      </w:pPr>
    </w:lvl>
    <w:lvl w:ilvl="4" w:tplc="662E6018" w:tentative="1">
      <w:start w:val="1"/>
      <w:numFmt w:val="lowerLetter"/>
      <w:lvlText w:val="%5."/>
      <w:lvlJc w:val="left"/>
      <w:pPr>
        <w:ind w:left="3600" w:hanging="360"/>
      </w:pPr>
    </w:lvl>
    <w:lvl w:ilvl="5" w:tplc="CD6EAA20" w:tentative="1">
      <w:start w:val="1"/>
      <w:numFmt w:val="lowerRoman"/>
      <w:lvlText w:val="%6."/>
      <w:lvlJc w:val="right"/>
      <w:pPr>
        <w:ind w:left="4320" w:hanging="180"/>
      </w:pPr>
    </w:lvl>
    <w:lvl w:ilvl="6" w:tplc="27D444AA" w:tentative="1">
      <w:start w:val="1"/>
      <w:numFmt w:val="decimal"/>
      <w:lvlText w:val="%7."/>
      <w:lvlJc w:val="left"/>
      <w:pPr>
        <w:ind w:left="5040" w:hanging="360"/>
      </w:pPr>
    </w:lvl>
    <w:lvl w:ilvl="7" w:tplc="8A08FD1C" w:tentative="1">
      <w:start w:val="1"/>
      <w:numFmt w:val="lowerLetter"/>
      <w:lvlText w:val="%8."/>
      <w:lvlJc w:val="left"/>
      <w:pPr>
        <w:ind w:left="5760" w:hanging="360"/>
      </w:pPr>
    </w:lvl>
    <w:lvl w:ilvl="8" w:tplc="B78627AC" w:tentative="1">
      <w:start w:val="1"/>
      <w:numFmt w:val="lowerRoman"/>
      <w:lvlText w:val="%9."/>
      <w:lvlJc w:val="right"/>
      <w:pPr>
        <w:ind w:left="6480" w:hanging="180"/>
      </w:pPr>
    </w:lvl>
  </w:abstractNum>
  <w:abstractNum w:abstractNumId="24" w15:restartNumberingAfterBreak="0">
    <w:nsid w:val="6FF01674"/>
    <w:multiLevelType w:val="hybridMultilevel"/>
    <w:tmpl w:val="15FA77B0"/>
    <w:lvl w:ilvl="0" w:tplc="883E2138">
      <w:start w:val="1"/>
      <w:numFmt w:val="lowerLetter"/>
      <w:lvlText w:val="%1)"/>
      <w:lvlJc w:val="left"/>
      <w:pPr>
        <w:ind w:left="720" w:hanging="360"/>
      </w:pPr>
      <w:rPr>
        <w:rFonts w:hint="default"/>
      </w:rPr>
    </w:lvl>
    <w:lvl w:ilvl="1" w:tplc="AD9E1CB2" w:tentative="1">
      <w:start w:val="1"/>
      <w:numFmt w:val="lowerLetter"/>
      <w:lvlText w:val="%2."/>
      <w:lvlJc w:val="left"/>
      <w:pPr>
        <w:ind w:left="1440" w:hanging="360"/>
      </w:pPr>
    </w:lvl>
    <w:lvl w:ilvl="2" w:tplc="57943BD2" w:tentative="1">
      <w:start w:val="1"/>
      <w:numFmt w:val="lowerRoman"/>
      <w:lvlText w:val="%3."/>
      <w:lvlJc w:val="right"/>
      <w:pPr>
        <w:ind w:left="2160" w:hanging="180"/>
      </w:pPr>
    </w:lvl>
    <w:lvl w:ilvl="3" w:tplc="4AAC352C" w:tentative="1">
      <w:start w:val="1"/>
      <w:numFmt w:val="decimal"/>
      <w:lvlText w:val="%4."/>
      <w:lvlJc w:val="left"/>
      <w:pPr>
        <w:ind w:left="2880" w:hanging="360"/>
      </w:pPr>
    </w:lvl>
    <w:lvl w:ilvl="4" w:tplc="68EEEC80" w:tentative="1">
      <w:start w:val="1"/>
      <w:numFmt w:val="lowerLetter"/>
      <w:lvlText w:val="%5."/>
      <w:lvlJc w:val="left"/>
      <w:pPr>
        <w:ind w:left="3600" w:hanging="360"/>
      </w:pPr>
    </w:lvl>
    <w:lvl w:ilvl="5" w:tplc="8184488E" w:tentative="1">
      <w:start w:val="1"/>
      <w:numFmt w:val="lowerRoman"/>
      <w:lvlText w:val="%6."/>
      <w:lvlJc w:val="right"/>
      <w:pPr>
        <w:ind w:left="4320" w:hanging="180"/>
      </w:pPr>
    </w:lvl>
    <w:lvl w:ilvl="6" w:tplc="F670BC5E" w:tentative="1">
      <w:start w:val="1"/>
      <w:numFmt w:val="decimal"/>
      <w:lvlText w:val="%7."/>
      <w:lvlJc w:val="left"/>
      <w:pPr>
        <w:ind w:left="5040" w:hanging="360"/>
      </w:pPr>
    </w:lvl>
    <w:lvl w:ilvl="7" w:tplc="F4504794" w:tentative="1">
      <w:start w:val="1"/>
      <w:numFmt w:val="lowerLetter"/>
      <w:lvlText w:val="%8."/>
      <w:lvlJc w:val="left"/>
      <w:pPr>
        <w:ind w:left="5760" w:hanging="360"/>
      </w:pPr>
    </w:lvl>
    <w:lvl w:ilvl="8" w:tplc="8B525052" w:tentative="1">
      <w:start w:val="1"/>
      <w:numFmt w:val="lowerRoman"/>
      <w:lvlText w:val="%9."/>
      <w:lvlJc w:val="right"/>
      <w:pPr>
        <w:ind w:left="6480" w:hanging="180"/>
      </w:pPr>
    </w:lvl>
  </w:abstractNum>
  <w:abstractNum w:abstractNumId="25" w15:restartNumberingAfterBreak="0">
    <w:nsid w:val="72783784"/>
    <w:multiLevelType w:val="hybridMultilevel"/>
    <w:tmpl w:val="281AD382"/>
    <w:lvl w:ilvl="0" w:tplc="99FA9602">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4"/>
  </w:num>
  <w:num w:numId="2">
    <w:abstractNumId w:val="8"/>
  </w:num>
  <w:num w:numId="3">
    <w:abstractNumId w:val="24"/>
  </w:num>
  <w:num w:numId="4">
    <w:abstractNumId w:val="15"/>
  </w:num>
  <w:num w:numId="5">
    <w:abstractNumId w:val="2"/>
  </w:num>
  <w:num w:numId="6">
    <w:abstractNumId w:val="3"/>
  </w:num>
  <w:num w:numId="7">
    <w:abstractNumId w:val="5"/>
  </w:num>
  <w:num w:numId="8">
    <w:abstractNumId w:val="13"/>
  </w:num>
  <w:num w:numId="9">
    <w:abstractNumId w:val="0"/>
  </w:num>
  <w:num w:numId="10">
    <w:abstractNumId w:val="4"/>
  </w:num>
  <w:num w:numId="11">
    <w:abstractNumId w:val="25"/>
  </w:num>
  <w:num w:numId="12">
    <w:abstractNumId w:val="22"/>
  </w:num>
  <w:num w:numId="13">
    <w:abstractNumId w:val="9"/>
  </w:num>
  <w:num w:numId="14">
    <w:abstractNumId w:val="10"/>
  </w:num>
  <w:num w:numId="15">
    <w:abstractNumId w:val="7"/>
  </w:num>
  <w:num w:numId="16">
    <w:abstractNumId w:val="16"/>
  </w:num>
  <w:num w:numId="17">
    <w:abstractNumId w:val="18"/>
  </w:num>
  <w:num w:numId="18">
    <w:abstractNumId w:val="12"/>
  </w:num>
  <w:num w:numId="19">
    <w:abstractNumId w:val="11"/>
  </w:num>
  <w:num w:numId="20">
    <w:abstractNumId w:val="6"/>
  </w:num>
  <w:num w:numId="21">
    <w:abstractNumId w:val="20"/>
  </w:num>
  <w:num w:numId="22">
    <w:abstractNumId w:val="23"/>
  </w:num>
  <w:num w:numId="23">
    <w:abstractNumId w:val="1"/>
  </w:num>
  <w:num w:numId="24">
    <w:abstractNumId w:val="19"/>
  </w:num>
  <w:num w:numId="25">
    <w:abstractNumId w:val="21"/>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2A7E"/>
    <w:rsid w:val="00002008"/>
    <w:rsid w:val="00003490"/>
    <w:rsid w:val="0001416E"/>
    <w:rsid w:val="00014188"/>
    <w:rsid w:val="00017356"/>
    <w:rsid w:val="00017E6A"/>
    <w:rsid w:val="000224C4"/>
    <w:rsid w:val="00026709"/>
    <w:rsid w:val="0003003F"/>
    <w:rsid w:val="000311AD"/>
    <w:rsid w:val="00032499"/>
    <w:rsid w:val="000338A9"/>
    <w:rsid w:val="00034829"/>
    <w:rsid w:val="0004235C"/>
    <w:rsid w:val="00044CA5"/>
    <w:rsid w:val="00045DA4"/>
    <w:rsid w:val="00046384"/>
    <w:rsid w:val="00046574"/>
    <w:rsid w:val="00050B8D"/>
    <w:rsid w:val="00055DBA"/>
    <w:rsid w:val="000561AD"/>
    <w:rsid w:val="0005758B"/>
    <w:rsid w:val="00057EB8"/>
    <w:rsid w:val="00057F29"/>
    <w:rsid w:val="00063399"/>
    <w:rsid w:val="00065179"/>
    <w:rsid w:val="00072F77"/>
    <w:rsid w:val="0007487C"/>
    <w:rsid w:val="00076A15"/>
    <w:rsid w:val="0008238E"/>
    <w:rsid w:val="00082DBF"/>
    <w:rsid w:val="000851D4"/>
    <w:rsid w:val="00087D36"/>
    <w:rsid w:val="00094A9B"/>
    <w:rsid w:val="00095124"/>
    <w:rsid w:val="000A0FB5"/>
    <w:rsid w:val="000A5122"/>
    <w:rsid w:val="000A55B2"/>
    <w:rsid w:val="000A71FB"/>
    <w:rsid w:val="000A75D2"/>
    <w:rsid w:val="000B065C"/>
    <w:rsid w:val="000B1486"/>
    <w:rsid w:val="000B19D7"/>
    <w:rsid w:val="000B1B19"/>
    <w:rsid w:val="000B2502"/>
    <w:rsid w:val="000B29CF"/>
    <w:rsid w:val="000B5A9B"/>
    <w:rsid w:val="000B5FE8"/>
    <w:rsid w:val="000B6060"/>
    <w:rsid w:val="000B6351"/>
    <w:rsid w:val="000C0F6B"/>
    <w:rsid w:val="000C43E5"/>
    <w:rsid w:val="000C6321"/>
    <w:rsid w:val="000E2024"/>
    <w:rsid w:val="000E5B3D"/>
    <w:rsid w:val="000F3FF2"/>
    <w:rsid w:val="000F5643"/>
    <w:rsid w:val="000F67B9"/>
    <w:rsid w:val="0010454B"/>
    <w:rsid w:val="001045D6"/>
    <w:rsid w:val="00106EDC"/>
    <w:rsid w:val="00113CB6"/>
    <w:rsid w:val="001141E4"/>
    <w:rsid w:val="00116942"/>
    <w:rsid w:val="00116F60"/>
    <w:rsid w:val="001172C4"/>
    <w:rsid w:val="00117A67"/>
    <w:rsid w:val="001213A2"/>
    <w:rsid w:val="001215E0"/>
    <w:rsid w:val="00121669"/>
    <w:rsid w:val="001226B9"/>
    <w:rsid w:val="00127232"/>
    <w:rsid w:val="001351B5"/>
    <w:rsid w:val="0013545B"/>
    <w:rsid w:val="00136346"/>
    <w:rsid w:val="00136B00"/>
    <w:rsid w:val="00136B27"/>
    <w:rsid w:val="00136B3E"/>
    <w:rsid w:val="00144C1E"/>
    <w:rsid w:val="00146614"/>
    <w:rsid w:val="00153202"/>
    <w:rsid w:val="00154878"/>
    <w:rsid w:val="001569A0"/>
    <w:rsid w:val="00170AC3"/>
    <w:rsid w:val="00175960"/>
    <w:rsid w:val="00181A61"/>
    <w:rsid w:val="00182351"/>
    <w:rsid w:val="00182736"/>
    <w:rsid w:val="00185C63"/>
    <w:rsid w:val="001862BE"/>
    <w:rsid w:val="00191788"/>
    <w:rsid w:val="00191F0F"/>
    <w:rsid w:val="00191FA0"/>
    <w:rsid w:val="00192794"/>
    <w:rsid w:val="001A0DE5"/>
    <w:rsid w:val="001A0DFF"/>
    <w:rsid w:val="001A4965"/>
    <w:rsid w:val="001A729B"/>
    <w:rsid w:val="001B52CA"/>
    <w:rsid w:val="001B7410"/>
    <w:rsid w:val="001C0629"/>
    <w:rsid w:val="001C1D49"/>
    <w:rsid w:val="001C1EAA"/>
    <w:rsid w:val="001C6E08"/>
    <w:rsid w:val="001D0DDE"/>
    <w:rsid w:val="001D1902"/>
    <w:rsid w:val="001D2B6D"/>
    <w:rsid w:val="001D5E5E"/>
    <w:rsid w:val="001D6C37"/>
    <w:rsid w:val="001D7CFF"/>
    <w:rsid w:val="001E033F"/>
    <w:rsid w:val="001E24E6"/>
    <w:rsid w:val="001E2B84"/>
    <w:rsid w:val="001E6937"/>
    <w:rsid w:val="001F1644"/>
    <w:rsid w:val="001F1A39"/>
    <w:rsid w:val="001F5620"/>
    <w:rsid w:val="001F5E6B"/>
    <w:rsid w:val="001F610F"/>
    <w:rsid w:val="001F7C18"/>
    <w:rsid w:val="0020304D"/>
    <w:rsid w:val="0020360D"/>
    <w:rsid w:val="00203EF6"/>
    <w:rsid w:val="0020464A"/>
    <w:rsid w:val="00206674"/>
    <w:rsid w:val="00206FD8"/>
    <w:rsid w:val="00211B0C"/>
    <w:rsid w:val="002151E9"/>
    <w:rsid w:val="002153BD"/>
    <w:rsid w:val="00216174"/>
    <w:rsid w:val="00217F8A"/>
    <w:rsid w:val="00222588"/>
    <w:rsid w:val="00222D03"/>
    <w:rsid w:val="00233AED"/>
    <w:rsid w:val="00235524"/>
    <w:rsid w:val="00237A6A"/>
    <w:rsid w:val="00245EC1"/>
    <w:rsid w:val="002468EC"/>
    <w:rsid w:val="00246C29"/>
    <w:rsid w:val="00250D73"/>
    <w:rsid w:val="00253A42"/>
    <w:rsid w:val="00254B81"/>
    <w:rsid w:val="00262B52"/>
    <w:rsid w:val="002640AB"/>
    <w:rsid w:val="00270F00"/>
    <w:rsid w:val="0027512D"/>
    <w:rsid w:val="002774F5"/>
    <w:rsid w:val="0028355A"/>
    <w:rsid w:val="00284EE8"/>
    <w:rsid w:val="00290B4B"/>
    <w:rsid w:val="002946FB"/>
    <w:rsid w:val="002977A2"/>
    <w:rsid w:val="002A4552"/>
    <w:rsid w:val="002A75B4"/>
    <w:rsid w:val="002B12AF"/>
    <w:rsid w:val="002B1B09"/>
    <w:rsid w:val="002B2D13"/>
    <w:rsid w:val="002B60F6"/>
    <w:rsid w:val="002B63FF"/>
    <w:rsid w:val="002C0E99"/>
    <w:rsid w:val="002C27F9"/>
    <w:rsid w:val="002C49E3"/>
    <w:rsid w:val="002D0E6C"/>
    <w:rsid w:val="002D1B2B"/>
    <w:rsid w:val="002D2152"/>
    <w:rsid w:val="002D365A"/>
    <w:rsid w:val="002E140C"/>
    <w:rsid w:val="002E3A32"/>
    <w:rsid w:val="002F5290"/>
    <w:rsid w:val="002F5CEC"/>
    <w:rsid w:val="002F6C9D"/>
    <w:rsid w:val="002F6EA5"/>
    <w:rsid w:val="002F7F7F"/>
    <w:rsid w:val="0030176A"/>
    <w:rsid w:val="003032FE"/>
    <w:rsid w:val="003067BB"/>
    <w:rsid w:val="00306E9C"/>
    <w:rsid w:val="00314CF0"/>
    <w:rsid w:val="00315EA0"/>
    <w:rsid w:val="00316ECA"/>
    <w:rsid w:val="00333CD0"/>
    <w:rsid w:val="003344FE"/>
    <w:rsid w:val="003375F4"/>
    <w:rsid w:val="00337E90"/>
    <w:rsid w:val="003500C0"/>
    <w:rsid w:val="00353B6B"/>
    <w:rsid w:val="00355D17"/>
    <w:rsid w:val="00355DA4"/>
    <w:rsid w:val="003603AC"/>
    <w:rsid w:val="00362375"/>
    <w:rsid w:val="00365C07"/>
    <w:rsid w:val="00373E96"/>
    <w:rsid w:val="00374B9F"/>
    <w:rsid w:val="0037706A"/>
    <w:rsid w:val="00380B5E"/>
    <w:rsid w:val="003821B0"/>
    <w:rsid w:val="00382EC4"/>
    <w:rsid w:val="003872FF"/>
    <w:rsid w:val="00390416"/>
    <w:rsid w:val="003934C7"/>
    <w:rsid w:val="003954B1"/>
    <w:rsid w:val="003A0651"/>
    <w:rsid w:val="003B572A"/>
    <w:rsid w:val="003C7D9D"/>
    <w:rsid w:val="003D10B1"/>
    <w:rsid w:val="003D223D"/>
    <w:rsid w:val="003D3738"/>
    <w:rsid w:val="003D56CF"/>
    <w:rsid w:val="003D70B7"/>
    <w:rsid w:val="003E12CC"/>
    <w:rsid w:val="003E4A8F"/>
    <w:rsid w:val="003F0DD9"/>
    <w:rsid w:val="003F15FB"/>
    <w:rsid w:val="003F1F77"/>
    <w:rsid w:val="003F401F"/>
    <w:rsid w:val="003F4C27"/>
    <w:rsid w:val="0040298B"/>
    <w:rsid w:val="00406C9C"/>
    <w:rsid w:val="004111C9"/>
    <w:rsid w:val="0041300E"/>
    <w:rsid w:val="00413F30"/>
    <w:rsid w:val="004218C8"/>
    <w:rsid w:val="00421A59"/>
    <w:rsid w:val="00426EAC"/>
    <w:rsid w:val="004270B7"/>
    <w:rsid w:val="00433D9C"/>
    <w:rsid w:val="00434AED"/>
    <w:rsid w:val="00435049"/>
    <w:rsid w:val="00436ABE"/>
    <w:rsid w:val="004404C7"/>
    <w:rsid w:val="00442679"/>
    <w:rsid w:val="004442D5"/>
    <w:rsid w:val="004461A9"/>
    <w:rsid w:val="0044624F"/>
    <w:rsid w:val="00446269"/>
    <w:rsid w:val="004502AA"/>
    <w:rsid w:val="00451702"/>
    <w:rsid w:val="00455601"/>
    <w:rsid w:val="004559E1"/>
    <w:rsid w:val="004615A2"/>
    <w:rsid w:val="0046431D"/>
    <w:rsid w:val="004739ED"/>
    <w:rsid w:val="00473E94"/>
    <w:rsid w:val="0047423A"/>
    <w:rsid w:val="00476BEC"/>
    <w:rsid w:val="00477AAC"/>
    <w:rsid w:val="004809CB"/>
    <w:rsid w:val="00483BEC"/>
    <w:rsid w:val="00485250"/>
    <w:rsid w:val="00492EC4"/>
    <w:rsid w:val="004A233A"/>
    <w:rsid w:val="004A7373"/>
    <w:rsid w:val="004A7AED"/>
    <w:rsid w:val="004B3B93"/>
    <w:rsid w:val="004B3EBC"/>
    <w:rsid w:val="004B7D63"/>
    <w:rsid w:val="004C1158"/>
    <w:rsid w:val="004C5809"/>
    <w:rsid w:val="004D296E"/>
    <w:rsid w:val="004E3DFD"/>
    <w:rsid w:val="004E5F5C"/>
    <w:rsid w:val="004E7F46"/>
    <w:rsid w:val="004F487E"/>
    <w:rsid w:val="004F71E6"/>
    <w:rsid w:val="00500B37"/>
    <w:rsid w:val="0050299F"/>
    <w:rsid w:val="005073F5"/>
    <w:rsid w:val="00507FAB"/>
    <w:rsid w:val="005113D4"/>
    <w:rsid w:val="0051255D"/>
    <w:rsid w:val="00517185"/>
    <w:rsid w:val="005223DD"/>
    <w:rsid w:val="00526138"/>
    <w:rsid w:val="005262A2"/>
    <w:rsid w:val="00534B49"/>
    <w:rsid w:val="00541FCB"/>
    <w:rsid w:val="005465F9"/>
    <w:rsid w:val="00551696"/>
    <w:rsid w:val="00555517"/>
    <w:rsid w:val="005656C8"/>
    <w:rsid w:val="00571C7A"/>
    <w:rsid w:val="00575D3D"/>
    <w:rsid w:val="005812C2"/>
    <w:rsid w:val="00586D88"/>
    <w:rsid w:val="005875CB"/>
    <w:rsid w:val="00587BA5"/>
    <w:rsid w:val="005963E5"/>
    <w:rsid w:val="0059794E"/>
    <w:rsid w:val="005A48E8"/>
    <w:rsid w:val="005A4ED7"/>
    <w:rsid w:val="005A7293"/>
    <w:rsid w:val="005C5AF8"/>
    <w:rsid w:val="005D0694"/>
    <w:rsid w:val="005D113D"/>
    <w:rsid w:val="005D1F96"/>
    <w:rsid w:val="005D6383"/>
    <w:rsid w:val="005E3B63"/>
    <w:rsid w:val="005E5DD3"/>
    <w:rsid w:val="005E7E7C"/>
    <w:rsid w:val="005F10F6"/>
    <w:rsid w:val="00602917"/>
    <w:rsid w:val="00602C1B"/>
    <w:rsid w:val="00602E08"/>
    <w:rsid w:val="00606D94"/>
    <w:rsid w:val="00610791"/>
    <w:rsid w:val="0061253D"/>
    <w:rsid w:val="0061363B"/>
    <w:rsid w:val="006150D0"/>
    <w:rsid w:val="00615D13"/>
    <w:rsid w:val="006162EE"/>
    <w:rsid w:val="00616365"/>
    <w:rsid w:val="00617180"/>
    <w:rsid w:val="00620ACD"/>
    <w:rsid w:val="00623D44"/>
    <w:rsid w:val="0062671B"/>
    <w:rsid w:val="006308DD"/>
    <w:rsid w:val="00632056"/>
    <w:rsid w:val="00633A6F"/>
    <w:rsid w:val="00634A1B"/>
    <w:rsid w:val="00641C90"/>
    <w:rsid w:val="00644F32"/>
    <w:rsid w:val="00650F28"/>
    <w:rsid w:val="006530DF"/>
    <w:rsid w:val="00666242"/>
    <w:rsid w:val="00666A96"/>
    <w:rsid w:val="0067423A"/>
    <w:rsid w:val="00682459"/>
    <w:rsid w:val="006856B5"/>
    <w:rsid w:val="00686848"/>
    <w:rsid w:val="00690133"/>
    <w:rsid w:val="00692735"/>
    <w:rsid w:val="0069709E"/>
    <w:rsid w:val="006A04DE"/>
    <w:rsid w:val="006A5F3A"/>
    <w:rsid w:val="006A6265"/>
    <w:rsid w:val="006A6D0A"/>
    <w:rsid w:val="006A7F73"/>
    <w:rsid w:val="006B13F0"/>
    <w:rsid w:val="006B29DA"/>
    <w:rsid w:val="006B5EF6"/>
    <w:rsid w:val="006C3C7E"/>
    <w:rsid w:val="006C3E7F"/>
    <w:rsid w:val="006C47FD"/>
    <w:rsid w:val="006C48E4"/>
    <w:rsid w:val="006D133B"/>
    <w:rsid w:val="006E0CE7"/>
    <w:rsid w:val="006E14DD"/>
    <w:rsid w:val="006E3699"/>
    <w:rsid w:val="006F296F"/>
    <w:rsid w:val="006F40C6"/>
    <w:rsid w:val="006F4A70"/>
    <w:rsid w:val="006F4C5C"/>
    <w:rsid w:val="00701212"/>
    <w:rsid w:val="00701BF3"/>
    <w:rsid w:val="00701C41"/>
    <w:rsid w:val="0070462F"/>
    <w:rsid w:val="007073B7"/>
    <w:rsid w:val="00710771"/>
    <w:rsid w:val="00715EE5"/>
    <w:rsid w:val="00717B50"/>
    <w:rsid w:val="007205C5"/>
    <w:rsid w:val="00724528"/>
    <w:rsid w:val="0072529C"/>
    <w:rsid w:val="00726C2D"/>
    <w:rsid w:val="00726F7E"/>
    <w:rsid w:val="0073090E"/>
    <w:rsid w:val="0073205E"/>
    <w:rsid w:val="00735E4C"/>
    <w:rsid w:val="007400F9"/>
    <w:rsid w:val="00741083"/>
    <w:rsid w:val="00741FA2"/>
    <w:rsid w:val="00742A7E"/>
    <w:rsid w:val="00747313"/>
    <w:rsid w:val="00750F0F"/>
    <w:rsid w:val="00753E10"/>
    <w:rsid w:val="00763CA1"/>
    <w:rsid w:val="00763D11"/>
    <w:rsid w:val="00764FA1"/>
    <w:rsid w:val="00766AA1"/>
    <w:rsid w:val="00767980"/>
    <w:rsid w:val="007712FD"/>
    <w:rsid w:val="00777D0B"/>
    <w:rsid w:val="00780D07"/>
    <w:rsid w:val="0078409C"/>
    <w:rsid w:val="00785DF7"/>
    <w:rsid w:val="00787C15"/>
    <w:rsid w:val="00791133"/>
    <w:rsid w:val="00797431"/>
    <w:rsid w:val="007A0FDD"/>
    <w:rsid w:val="007A2F7F"/>
    <w:rsid w:val="007B1111"/>
    <w:rsid w:val="007B23B9"/>
    <w:rsid w:val="007B490B"/>
    <w:rsid w:val="007C22AC"/>
    <w:rsid w:val="007C431A"/>
    <w:rsid w:val="007C52D6"/>
    <w:rsid w:val="007C7C96"/>
    <w:rsid w:val="007D0ADE"/>
    <w:rsid w:val="007D1E76"/>
    <w:rsid w:val="007D2D82"/>
    <w:rsid w:val="007D5823"/>
    <w:rsid w:val="007D7CD9"/>
    <w:rsid w:val="007E095F"/>
    <w:rsid w:val="007E2C12"/>
    <w:rsid w:val="007E321C"/>
    <w:rsid w:val="007E3DFA"/>
    <w:rsid w:val="007E5BAB"/>
    <w:rsid w:val="007E7316"/>
    <w:rsid w:val="007E7AF4"/>
    <w:rsid w:val="007F1642"/>
    <w:rsid w:val="007F4705"/>
    <w:rsid w:val="007F53B8"/>
    <w:rsid w:val="007F6B2B"/>
    <w:rsid w:val="00802FDF"/>
    <w:rsid w:val="00810EEC"/>
    <w:rsid w:val="0081198C"/>
    <w:rsid w:val="008134FC"/>
    <w:rsid w:val="008145A4"/>
    <w:rsid w:val="00815521"/>
    <w:rsid w:val="00815880"/>
    <w:rsid w:val="00815A1B"/>
    <w:rsid w:val="0082143C"/>
    <w:rsid w:val="00823C35"/>
    <w:rsid w:val="008300A7"/>
    <w:rsid w:val="00830400"/>
    <w:rsid w:val="00831B05"/>
    <w:rsid w:val="00832A96"/>
    <w:rsid w:val="00834C5A"/>
    <w:rsid w:val="0083522F"/>
    <w:rsid w:val="00836B1F"/>
    <w:rsid w:val="00837935"/>
    <w:rsid w:val="00846A0C"/>
    <w:rsid w:val="00847A24"/>
    <w:rsid w:val="00850DB5"/>
    <w:rsid w:val="008532AF"/>
    <w:rsid w:val="00860FAB"/>
    <w:rsid w:val="00862178"/>
    <w:rsid w:val="008634AF"/>
    <w:rsid w:val="00865438"/>
    <w:rsid w:val="008704CC"/>
    <w:rsid w:val="00871095"/>
    <w:rsid w:val="00875292"/>
    <w:rsid w:val="008860AB"/>
    <w:rsid w:val="00890102"/>
    <w:rsid w:val="00892B7F"/>
    <w:rsid w:val="008A1393"/>
    <w:rsid w:val="008B3BD3"/>
    <w:rsid w:val="008C3A9B"/>
    <w:rsid w:val="008D0761"/>
    <w:rsid w:val="008D3EC1"/>
    <w:rsid w:val="008D5897"/>
    <w:rsid w:val="008E20E2"/>
    <w:rsid w:val="008E2E6B"/>
    <w:rsid w:val="008E4818"/>
    <w:rsid w:val="008E5498"/>
    <w:rsid w:val="008E63B5"/>
    <w:rsid w:val="008E67C0"/>
    <w:rsid w:val="008F359D"/>
    <w:rsid w:val="008F3DFA"/>
    <w:rsid w:val="008F74C1"/>
    <w:rsid w:val="009069D8"/>
    <w:rsid w:val="00906B6D"/>
    <w:rsid w:val="009116B5"/>
    <w:rsid w:val="009149F7"/>
    <w:rsid w:val="009177AC"/>
    <w:rsid w:val="00920607"/>
    <w:rsid w:val="009236EA"/>
    <w:rsid w:val="00923E37"/>
    <w:rsid w:val="0092477F"/>
    <w:rsid w:val="0092526A"/>
    <w:rsid w:val="00925C77"/>
    <w:rsid w:val="00926624"/>
    <w:rsid w:val="0093080A"/>
    <w:rsid w:val="009317C6"/>
    <w:rsid w:val="00940E28"/>
    <w:rsid w:val="00943FD6"/>
    <w:rsid w:val="00945224"/>
    <w:rsid w:val="00951CEC"/>
    <w:rsid w:val="0095525D"/>
    <w:rsid w:val="00955C21"/>
    <w:rsid w:val="0096201C"/>
    <w:rsid w:val="00963E04"/>
    <w:rsid w:val="00967A4B"/>
    <w:rsid w:val="0097121A"/>
    <w:rsid w:val="00971DD8"/>
    <w:rsid w:val="00981853"/>
    <w:rsid w:val="0098518F"/>
    <w:rsid w:val="009856D9"/>
    <w:rsid w:val="00985A58"/>
    <w:rsid w:val="00990359"/>
    <w:rsid w:val="009944A9"/>
    <w:rsid w:val="009962CB"/>
    <w:rsid w:val="009A0C78"/>
    <w:rsid w:val="009A50E2"/>
    <w:rsid w:val="009A5953"/>
    <w:rsid w:val="009B0014"/>
    <w:rsid w:val="009B0352"/>
    <w:rsid w:val="009B09A3"/>
    <w:rsid w:val="009B0B9B"/>
    <w:rsid w:val="009B4A39"/>
    <w:rsid w:val="009B4B5F"/>
    <w:rsid w:val="009B4C70"/>
    <w:rsid w:val="009C2083"/>
    <w:rsid w:val="009C3035"/>
    <w:rsid w:val="009C368C"/>
    <w:rsid w:val="009C471B"/>
    <w:rsid w:val="009D4ACD"/>
    <w:rsid w:val="009D6D1C"/>
    <w:rsid w:val="009E1DDB"/>
    <w:rsid w:val="009E2E2E"/>
    <w:rsid w:val="009E3D28"/>
    <w:rsid w:val="009E3E4B"/>
    <w:rsid w:val="009E4529"/>
    <w:rsid w:val="009E4C32"/>
    <w:rsid w:val="009E593A"/>
    <w:rsid w:val="009F0C3E"/>
    <w:rsid w:val="009F55B5"/>
    <w:rsid w:val="00A006E7"/>
    <w:rsid w:val="00A047BA"/>
    <w:rsid w:val="00A10A6B"/>
    <w:rsid w:val="00A17045"/>
    <w:rsid w:val="00A2085C"/>
    <w:rsid w:val="00A25EC5"/>
    <w:rsid w:val="00A273A1"/>
    <w:rsid w:val="00A32ECC"/>
    <w:rsid w:val="00A35AF8"/>
    <w:rsid w:val="00A35F3D"/>
    <w:rsid w:val="00A379DA"/>
    <w:rsid w:val="00A4164B"/>
    <w:rsid w:val="00A418F3"/>
    <w:rsid w:val="00A43FF3"/>
    <w:rsid w:val="00A444F9"/>
    <w:rsid w:val="00A531E1"/>
    <w:rsid w:val="00A536DB"/>
    <w:rsid w:val="00A53F94"/>
    <w:rsid w:val="00A54C8E"/>
    <w:rsid w:val="00A557F7"/>
    <w:rsid w:val="00A56C44"/>
    <w:rsid w:val="00A570C6"/>
    <w:rsid w:val="00A57852"/>
    <w:rsid w:val="00A637B0"/>
    <w:rsid w:val="00A637C2"/>
    <w:rsid w:val="00A63D79"/>
    <w:rsid w:val="00A70225"/>
    <w:rsid w:val="00A73F6C"/>
    <w:rsid w:val="00A75443"/>
    <w:rsid w:val="00A8111D"/>
    <w:rsid w:val="00A8589B"/>
    <w:rsid w:val="00A93243"/>
    <w:rsid w:val="00A93AB0"/>
    <w:rsid w:val="00A97354"/>
    <w:rsid w:val="00AA198B"/>
    <w:rsid w:val="00AA492B"/>
    <w:rsid w:val="00AA5922"/>
    <w:rsid w:val="00AA653E"/>
    <w:rsid w:val="00AA7239"/>
    <w:rsid w:val="00AB1265"/>
    <w:rsid w:val="00AB386E"/>
    <w:rsid w:val="00AC1E41"/>
    <w:rsid w:val="00AC22B0"/>
    <w:rsid w:val="00AC7541"/>
    <w:rsid w:val="00AE1E65"/>
    <w:rsid w:val="00AE3EDA"/>
    <w:rsid w:val="00AE402E"/>
    <w:rsid w:val="00AE5C98"/>
    <w:rsid w:val="00AF178F"/>
    <w:rsid w:val="00AF1A43"/>
    <w:rsid w:val="00B07BD5"/>
    <w:rsid w:val="00B1162F"/>
    <w:rsid w:val="00B13C0E"/>
    <w:rsid w:val="00B147D6"/>
    <w:rsid w:val="00B1598A"/>
    <w:rsid w:val="00B15AAA"/>
    <w:rsid w:val="00B32A72"/>
    <w:rsid w:val="00B37D2D"/>
    <w:rsid w:val="00B4431D"/>
    <w:rsid w:val="00B443D0"/>
    <w:rsid w:val="00B46743"/>
    <w:rsid w:val="00B46ECC"/>
    <w:rsid w:val="00B51C7B"/>
    <w:rsid w:val="00B60151"/>
    <w:rsid w:val="00B6037A"/>
    <w:rsid w:val="00B61E09"/>
    <w:rsid w:val="00B647BD"/>
    <w:rsid w:val="00B65BE2"/>
    <w:rsid w:val="00B6647F"/>
    <w:rsid w:val="00B76919"/>
    <w:rsid w:val="00B85BF4"/>
    <w:rsid w:val="00B903FF"/>
    <w:rsid w:val="00B91E1C"/>
    <w:rsid w:val="00BA4C36"/>
    <w:rsid w:val="00BB44F8"/>
    <w:rsid w:val="00BB5071"/>
    <w:rsid w:val="00BB54E8"/>
    <w:rsid w:val="00BB7FF8"/>
    <w:rsid w:val="00BC040A"/>
    <w:rsid w:val="00BC44D1"/>
    <w:rsid w:val="00BD0BB8"/>
    <w:rsid w:val="00BD1429"/>
    <w:rsid w:val="00BD22AF"/>
    <w:rsid w:val="00BD5E0C"/>
    <w:rsid w:val="00BE077B"/>
    <w:rsid w:val="00BE096C"/>
    <w:rsid w:val="00BE4035"/>
    <w:rsid w:val="00BF2F0F"/>
    <w:rsid w:val="00BF324F"/>
    <w:rsid w:val="00BF581E"/>
    <w:rsid w:val="00BF5E07"/>
    <w:rsid w:val="00BF783C"/>
    <w:rsid w:val="00C02513"/>
    <w:rsid w:val="00C02ED0"/>
    <w:rsid w:val="00C042B0"/>
    <w:rsid w:val="00C048BF"/>
    <w:rsid w:val="00C1018A"/>
    <w:rsid w:val="00C101CB"/>
    <w:rsid w:val="00C128CE"/>
    <w:rsid w:val="00C140A7"/>
    <w:rsid w:val="00C20CDA"/>
    <w:rsid w:val="00C348F5"/>
    <w:rsid w:val="00C34963"/>
    <w:rsid w:val="00C429A8"/>
    <w:rsid w:val="00C431DE"/>
    <w:rsid w:val="00C4321F"/>
    <w:rsid w:val="00C46BAD"/>
    <w:rsid w:val="00C46EB6"/>
    <w:rsid w:val="00C51538"/>
    <w:rsid w:val="00C51B5B"/>
    <w:rsid w:val="00C53F22"/>
    <w:rsid w:val="00C5457F"/>
    <w:rsid w:val="00C55BE7"/>
    <w:rsid w:val="00C562A6"/>
    <w:rsid w:val="00C563F7"/>
    <w:rsid w:val="00C5748A"/>
    <w:rsid w:val="00C61E22"/>
    <w:rsid w:val="00C630C0"/>
    <w:rsid w:val="00C64B36"/>
    <w:rsid w:val="00C65038"/>
    <w:rsid w:val="00C65565"/>
    <w:rsid w:val="00C66E37"/>
    <w:rsid w:val="00C71992"/>
    <w:rsid w:val="00C71E29"/>
    <w:rsid w:val="00C746D4"/>
    <w:rsid w:val="00C75C7C"/>
    <w:rsid w:val="00C7790C"/>
    <w:rsid w:val="00C834A3"/>
    <w:rsid w:val="00C84530"/>
    <w:rsid w:val="00C84954"/>
    <w:rsid w:val="00C923FE"/>
    <w:rsid w:val="00C94520"/>
    <w:rsid w:val="00C95412"/>
    <w:rsid w:val="00C9656F"/>
    <w:rsid w:val="00C97818"/>
    <w:rsid w:val="00CA04D9"/>
    <w:rsid w:val="00CA20D9"/>
    <w:rsid w:val="00CA30D7"/>
    <w:rsid w:val="00CA5FAF"/>
    <w:rsid w:val="00CA6458"/>
    <w:rsid w:val="00CA6D0B"/>
    <w:rsid w:val="00CB537A"/>
    <w:rsid w:val="00CC14CA"/>
    <w:rsid w:val="00CC2E16"/>
    <w:rsid w:val="00CD4B2A"/>
    <w:rsid w:val="00CD757C"/>
    <w:rsid w:val="00CE4C30"/>
    <w:rsid w:val="00CE4F0C"/>
    <w:rsid w:val="00CE5382"/>
    <w:rsid w:val="00CF563F"/>
    <w:rsid w:val="00D106AC"/>
    <w:rsid w:val="00D11255"/>
    <w:rsid w:val="00D23CE5"/>
    <w:rsid w:val="00D27151"/>
    <w:rsid w:val="00D30256"/>
    <w:rsid w:val="00D308C7"/>
    <w:rsid w:val="00D31A5D"/>
    <w:rsid w:val="00D31D2E"/>
    <w:rsid w:val="00D3469D"/>
    <w:rsid w:val="00D361FE"/>
    <w:rsid w:val="00D41502"/>
    <w:rsid w:val="00D42C7A"/>
    <w:rsid w:val="00D44E39"/>
    <w:rsid w:val="00D46FC8"/>
    <w:rsid w:val="00D51C8E"/>
    <w:rsid w:val="00D544C0"/>
    <w:rsid w:val="00D644EA"/>
    <w:rsid w:val="00D72568"/>
    <w:rsid w:val="00D74F0D"/>
    <w:rsid w:val="00D75AE1"/>
    <w:rsid w:val="00D8637F"/>
    <w:rsid w:val="00D8645D"/>
    <w:rsid w:val="00D96AF5"/>
    <w:rsid w:val="00DA4CCA"/>
    <w:rsid w:val="00DA5FD4"/>
    <w:rsid w:val="00DB5A3E"/>
    <w:rsid w:val="00DC0433"/>
    <w:rsid w:val="00DC0811"/>
    <w:rsid w:val="00DC14EB"/>
    <w:rsid w:val="00DD5B4B"/>
    <w:rsid w:val="00DE0336"/>
    <w:rsid w:val="00DE1EA1"/>
    <w:rsid w:val="00DF0BD5"/>
    <w:rsid w:val="00DF1E5F"/>
    <w:rsid w:val="00DF3EA8"/>
    <w:rsid w:val="00DF4299"/>
    <w:rsid w:val="00DF69C6"/>
    <w:rsid w:val="00E0266C"/>
    <w:rsid w:val="00E1015B"/>
    <w:rsid w:val="00E1064C"/>
    <w:rsid w:val="00E1406E"/>
    <w:rsid w:val="00E17913"/>
    <w:rsid w:val="00E26462"/>
    <w:rsid w:val="00E30009"/>
    <w:rsid w:val="00E33AB1"/>
    <w:rsid w:val="00E35B57"/>
    <w:rsid w:val="00E36A29"/>
    <w:rsid w:val="00E370B1"/>
    <w:rsid w:val="00E40214"/>
    <w:rsid w:val="00E43CFA"/>
    <w:rsid w:val="00E46AC3"/>
    <w:rsid w:val="00E511DD"/>
    <w:rsid w:val="00E5358B"/>
    <w:rsid w:val="00E550A0"/>
    <w:rsid w:val="00E60936"/>
    <w:rsid w:val="00E6127E"/>
    <w:rsid w:val="00E61D6F"/>
    <w:rsid w:val="00E64382"/>
    <w:rsid w:val="00E71CB3"/>
    <w:rsid w:val="00E73C57"/>
    <w:rsid w:val="00E7640F"/>
    <w:rsid w:val="00E76CDB"/>
    <w:rsid w:val="00E80F83"/>
    <w:rsid w:val="00E816D6"/>
    <w:rsid w:val="00E82757"/>
    <w:rsid w:val="00E83483"/>
    <w:rsid w:val="00E934DB"/>
    <w:rsid w:val="00E9575B"/>
    <w:rsid w:val="00E95E92"/>
    <w:rsid w:val="00EA0D35"/>
    <w:rsid w:val="00EA1AD9"/>
    <w:rsid w:val="00EA3E51"/>
    <w:rsid w:val="00EA5206"/>
    <w:rsid w:val="00EA6AAE"/>
    <w:rsid w:val="00EB05DB"/>
    <w:rsid w:val="00EB1C3E"/>
    <w:rsid w:val="00EB4F45"/>
    <w:rsid w:val="00EB597F"/>
    <w:rsid w:val="00EB6C80"/>
    <w:rsid w:val="00EC0A5B"/>
    <w:rsid w:val="00EC1667"/>
    <w:rsid w:val="00EC465F"/>
    <w:rsid w:val="00EC4A0F"/>
    <w:rsid w:val="00EC5FB4"/>
    <w:rsid w:val="00ED01C7"/>
    <w:rsid w:val="00ED1FB2"/>
    <w:rsid w:val="00ED3944"/>
    <w:rsid w:val="00EE127B"/>
    <w:rsid w:val="00EE523B"/>
    <w:rsid w:val="00EE733F"/>
    <w:rsid w:val="00EF3C87"/>
    <w:rsid w:val="00EF7360"/>
    <w:rsid w:val="00EF736D"/>
    <w:rsid w:val="00F0088A"/>
    <w:rsid w:val="00F11287"/>
    <w:rsid w:val="00F14EEF"/>
    <w:rsid w:val="00F20120"/>
    <w:rsid w:val="00F216DE"/>
    <w:rsid w:val="00F249E6"/>
    <w:rsid w:val="00F322F9"/>
    <w:rsid w:val="00F33D35"/>
    <w:rsid w:val="00F36303"/>
    <w:rsid w:val="00F41A40"/>
    <w:rsid w:val="00F427F3"/>
    <w:rsid w:val="00F4426A"/>
    <w:rsid w:val="00F4449C"/>
    <w:rsid w:val="00F4751C"/>
    <w:rsid w:val="00F55E8E"/>
    <w:rsid w:val="00F64246"/>
    <w:rsid w:val="00F65365"/>
    <w:rsid w:val="00F66D8B"/>
    <w:rsid w:val="00F85F3E"/>
    <w:rsid w:val="00F91F21"/>
    <w:rsid w:val="00F96192"/>
    <w:rsid w:val="00FA45E0"/>
    <w:rsid w:val="00FA4A1E"/>
    <w:rsid w:val="00FA4C1B"/>
    <w:rsid w:val="00FB00C8"/>
    <w:rsid w:val="00FB32A2"/>
    <w:rsid w:val="00FB3C20"/>
    <w:rsid w:val="00FB4202"/>
    <w:rsid w:val="00FB5176"/>
    <w:rsid w:val="00FB622F"/>
    <w:rsid w:val="00FC3129"/>
    <w:rsid w:val="00FC66AC"/>
    <w:rsid w:val="00FC6E40"/>
    <w:rsid w:val="00FD610F"/>
    <w:rsid w:val="00FD7F9F"/>
    <w:rsid w:val="00FE3F82"/>
    <w:rsid w:val="00FE5180"/>
    <w:rsid w:val="00FF7D2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940F329"/>
  <w15:chartTrackingRefBased/>
  <w15:docId w15:val="{0EC22BBF-AE91-4824-A198-CD702A8E5A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7E3DFA"/>
  </w:style>
  <w:style w:type="paragraph" w:styleId="Nadpis1">
    <w:name w:val="heading 1"/>
    <w:basedOn w:val="Normln"/>
    <w:next w:val="Normln"/>
    <w:link w:val="Nadpis1Char"/>
    <w:qFormat/>
    <w:rsid w:val="00A006E7"/>
    <w:pPr>
      <w:keepNext/>
      <w:keepLines/>
      <w:suppressAutoHyphens/>
      <w:overflowPunct w:val="0"/>
      <w:autoSpaceDE w:val="0"/>
      <w:autoSpaceDN w:val="0"/>
      <w:adjustRightInd w:val="0"/>
      <w:spacing w:before="480" w:after="240" w:line="240" w:lineRule="auto"/>
      <w:textAlignment w:val="baseline"/>
      <w:outlineLvl w:val="0"/>
    </w:pPr>
    <w:rPr>
      <w:rFonts w:ascii="Arial Narrow" w:eastAsia="Times New Roman" w:hAnsi="Arial Narrow" w:cs="Times New Roman"/>
      <w:b/>
      <w:kern w:val="36"/>
      <w:sz w:val="36"/>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aliases w:val="Dot pt,Heading 2_sj,Indicator Text,List Paragraph (Czech Tourism),List Paragraph Char Char Char,List Paragraph1,Nad,No Spacing1,Numbered Para 1,Odrážky,Odstavec cíl se seznamem,Odstavec se seznamem5,Odstavec_muj,Report Para,2"/>
    <w:basedOn w:val="Normln"/>
    <w:link w:val="OdstavecseseznamemChar"/>
    <w:uiPriority w:val="34"/>
    <w:qFormat/>
    <w:rsid w:val="00742A7E"/>
    <w:pPr>
      <w:ind w:left="720"/>
      <w:contextualSpacing/>
    </w:pPr>
  </w:style>
  <w:style w:type="paragraph" w:styleId="Textpoznpodarou">
    <w:name w:val="footnote text"/>
    <w:aliases w:val=" Char Char,Boston 10,Char,Char Char,Char Char Char1,Char1,Font: Geneva 9,Fußnotentextf,Geneva 9,Podrozdzia3,Podrozdział,Schriftart: 10 pt,Schriftart: 8 pt,Schriftart: 9 pt,Text pozn. pod čarou1,Text poznámky pod čiarou 007,f,fn,ft,o"/>
    <w:basedOn w:val="Normln"/>
    <w:link w:val="TextpoznpodarouChar"/>
    <w:uiPriority w:val="99"/>
    <w:unhideWhenUsed/>
    <w:qFormat/>
    <w:rsid w:val="00742A7E"/>
    <w:pPr>
      <w:spacing w:after="0" w:line="240" w:lineRule="auto"/>
    </w:pPr>
    <w:rPr>
      <w:sz w:val="20"/>
      <w:szCs w:val="20"/>
    </w:rPr>
  </w:style>
  <w:style w:type="character" w:customStyle="1" w:styleId="TextpoznpodarouChar">
    <w:name w:val="Text pozn. pod čarou Char"/>
    <w:aliases w:val=" Char Char Char,Boston 10 Char,Char Char1,Char Char Char,Char Char Char1 Char,Char1 Char,Font: Geneva 9 Char,Fußnotentextf Char,Geneva 9 Char,Podrozdzia3 Char,Podrozdział Char,Schriftart: 10 pt Char,Schriftart: 8 pt Char,f Char"/>
    <w:basedOn w:val="Standardnpsmoodstavce"/>
    <w:link w:val="Textpoznpodarou"/>
    <w:uiPriority w:val="99"/>
    <w:rsid w:val="00742A7E"/>
    <w:rPr>
      <w:sz w:val="20"/>
      <w:szCs w:val="20"/>
    </w:rPr>
  </w:style>
  <w:style w:type="character" w:styleId="Znakapoznpodarou">
    <w:name w:val="footnote reference"/>
    <w:aliases w:val="12 b.,Footnote,Footnote call,PGI Fußnote Ziffer,PGI Fußnote Ziffer + Times New Roman,Zúžené o ...,Appel note de bas de p,Appel note de bas de page,BVI fnr,Char Car Car Car Car,Footnote Reference Superscript,Footnote symbol,Légende"/>
    <w:basedOn w:val="Standardnpsmoodstavce"/>
    <w:uiPriority w:val="99"/>
    <w:unhideWhenUsed/>
    <w:qFormat/>
    <w:rsid w:val="00742A7E"/>
    <w:rPr>
      <w:vertAlign w:val="superscript"/>
    </w:rPr>
  </w:style>
  <w:style w:type="paragraph" w:customStyle="1" w:styleId="Default">
    <w:name w:val="Default"/>
    <w:rsid w:val="00CE4F0C"/>
    <w:pPr>
      <w:autoSpaceDE w:val="0"/>
      <w:autoSpaceDN w:val="0"/>
      <w:adjustRightInd w:val="0"/>
      <w:spacing w:after="0" w:line="240" w:lineRule="auto"/>
    </w:pPr>
    <w:rPr>
      <w:rFonts w:ascii="Times New Roman" w:eastAsia="Calibri" w:hAnsi="Times New Roman" w:cs="Times New Roman"/>
      <w:color w:val="000000"/>
      <w:sz w:val="24"/>
      <w:szCs w:val="24"/>
      <w:lang w:eastAsia="cs-CZ"/>
    </w:rPr>
  </w:style>
  <w:style w:type="character" w:customStyle="1" w:styleId="Nadpis1Char">
    <w:name w:val="Nadpis 1 Char"/>
    <w:basedOn w:val="Standardnpsmoodstavce"/>
    <w:link w:val="Nadpis1"/>
    <w:rsid w:val="00A006E7"/>
    <w:rPr>
      <w:rFonts w:ascii="Arial Narrow" w:eastAsia="Times New Roman" w:hAnsi="Arial Narrow" w:cs="Times New Roman"/>
      <w:b/>
      <w:kern w:val="36"/>
      <w:sz w:val="36"/>
      <w:szCs w:val="20"/>
      <w:lang w:eastAsia="cs-CZ"/>
    </w:rPr>
  </w:style>
  <w:style w:type="paragraph" w:styleId="Zhlav">
    <w:name w:val="header"/>
    <w:basedOn w:val="Normln"/>
    <w:link w:val="ZhlavChar"/>
    <w:uiPriority w:val="99"/>
    <w:unhideWhenUsed/>
    <w:rsid w:val="00A006E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006E7"/>
  </w:style>
  <w:style w:type="paragraph" w:customStyle="1" w:styleId="poznmkapodarou">
    <w:name w:val="poznámka pod čarou"/>
    <w:basedOn w:val="Normln"/>
    <w:uiPriority w:val="99"/>
    <w:rsid w:val="00A006E7"/>
    <w:pPr>
      <w:spacing w:after="0" w:line="240" w:lineRule="auto"/>
      <w:ind w:left="284" w:hanging="284"/>
      <w:contextualSpacing/>
      <w:jc w:val="both"/>
    </w:pPr>
    <w:rPr>
      <w:rFonts w:ascii="Arial" w:eastAsia="Times New Roman" w:hAnsi="Arial" w:cs="Arial"/>
      <w:sz w:val="20"/>
      <w:szCs w:val="20"/>
    </w:rPr>
  </w:style>
  <w:style w:type="paragraph" w:styleId="Titulek">
    <w:name w:val="caption"/>
    <w:basedOn w:val="Normln"/>
    <w:next w:val="Normln"/>
    <w:uiPriority w:val="35"/>
    <w:unhideWhenUsed/>
    <w:qFormat/>
    <w:rsid w:val="001F610F"/>
    <w:pPr>
      <w:spacing w:after="200" w:line="240" w:lineRule="auto"/>
    </w:pPr>
    <w:rPr>
      <w:rFonts w:ascii="Times New Roman" w:eastAsia="Times New Roman" w:hAnsi="Times New Roman" w:cs="Times New Roman"/>
      <w:i/>
      <w:iCs/>
      <w:color w:val="44546A" w:themeColor="text2"/>
      <w:sz w:val="18"/>
      <w:szCs w:val="18"/>
    </w:rPr>
  </w:style>
  <w:style w:type="character" w:customStyle="1" w:styleId="OdstavecseseznamemChar">
    <w:name w:val="Odstavec se seznamem Char"/>
    <w:aliases w:val="Dot pt Char,Heading 2_sj Char,Indicator Text Char,List Paragraph (Czech Tourism) Char,List Paragraph Char Char Char Char,List Paragraph1 Char,Nad Char,No Spacing1 Char,Numbered Para 1 Char,Odrážky Char,Odstavec_muj Char,2 Char"/>
    <w:link w:val="Odstavecseseznamem"/>
    <w:uiPriority w:val="34"/>
    <w:qFormat/>
    <w:rsid w:val="00500B37"/>
  </w:style>
  <w:style w:type="character" w:styleId="Siln">
    <w:name w:val="Strong"/>
    <w:basedOn w:val="Standardnpsmoodstavce"/>
    <w:uiPriority w:val="22"/>
    <w:qFormat/>
    <w:rsid w:val="0010454B"/>
    <w:rPr>
      <w:b/>
      <w:bCs/>
    </w:rPr>
  </w:style>
  <w:style w:type="character" w:styleId="Odkaznakoment">
    <w:name w:val="annotation reference"/>
    <w:basedOn w:val="Standardnpsmoodstavce"/>
    <w:uiPriority w:val="99"/>
    <w:semiHidden/>
    <w:unhideWhenUsed/>
    <w:rsid w:val="00D96AF5"/>
    <w:rPr>
      <w:sz w:val="16"/>
      <w:szCs w:val="16"/>
    </w:rPr>
  </w:style>
  <w:style w:type="paragraph" w:styleId="Textkomente">
    <w:name w:val="annotation text"/>
    <w:basedOn w:val="Normln"/>
    <w:link w:val="TextkomenteChar"/>
    <w:uiPriority w:val="99"/>
    <w:semiHidden/>
    <w:unhideWhenUsed/>
    <w:rsid w:val="00D96AF5"/>
    <w:pPr>
      <w:spacing w:line="240" w:lineRule="auto"/>
    </w:pPr>
    <w:rPr>
      <w:sz w:val="20"/>
      <w:szCs w:val="20"/>
    </w:rPr>
  </w:style>
  <w:style w:type="character" w:customStyle="1" w:styleId="TextkomenteChar">
    <w:name w:val="Text komentáře Char"/>
    <w:basedOn w:val="Standardnpsmoodstavce"/>
    <w:link w:val="Textkomente"/>
    <w:uiPriority w:val="99"/>
    <w:semiHidden/>
    <w:rsid w:val="00D96AF5"/>
    <w:rPr>
      <w:sz w:val="20"/>
      <w:szCs w:val="20"/>
    </w:rPr>
  </w:style>
  <w:style w:type="paragraph" w:styleId="Textbubliny">
    <w:name w:val="Balloon Text"/>
    <w:basedOn w:val="Normln"/>
    <w:link w:val="TextbublinyChar"/>
    <w:uiPriority w:val="99"/>
    <w:semiHidden/>
    <w:unhideWhenUsed/>
    <w:rsid w:val="00D96AF5"/>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96AF5"/>
    <w:rPr>
      <w:rFonts w:ascii="Segoe UI" w:hAnsi="Segoe UI" w:cs="Segoe UI"/>
      <w:sz w:val="18"/>
      <w:szCs w:val="18"/>
    </w:rPr>
  </w:style>
  <w:style w:type="character" w:styleId="Hypertextovodkaz">
    <w:name w:val="Hyperlink"/>
    <w:basedOn w:val="Standardnpsmoodstavce"/>
    <w:uiPriority w:val="99"/>
    <w:unhideWhenUsed/>
    <w:rsid w:val="007C7C96"/>
    <w:rPr>
      <w:color w:val="0563C1" w:themeColor="hyperlink"/>
      <w:u w:val="single"/>
    </w:rPr>
  </w:style>
  <w:style w:type="character" w:customStyle="1" w:styleId="normaltextrun">
    <w:name w:val="normaltextrun"/>
    <w:rsid w:val="00A418F3"/>
  </w:style>
  <w:style w:type="character" w:customStyle="1" w:styleId="Zkladntext">
    <w:name w:val="Základní text_"/>
    <w:basedOn w:val="Standardnpsmoodstavce"/>
    <w:link w:val="Zkladntext1"/>
    <w:rsid w:val="00DA5FD4"/>
    <w:rPr>
      <w:rFonts w:ascii="Calibri" w:eastAsia="Calibri" w:hAnsi="Calibri" w:cs="Calibri"/>
      <w:shd w:val="clear" w:color="auto" w:fill="FFFFFF"/>
    </w:rPr>
  </w:style>
  <w:style w:type="paragraph" w:customStyle="1" w:styleId="Zkladntext1">
    <w:name w:val="Základní text1"/>
    <w:basedOn w:val="Normln"/>
    <w:link w:val="Zkladntext"/>
    <w:rsid w:val="00DA5FD4"/>
    <w:pPr>
      <w:widowControl w:val="0"/>
      <w:shd w:val="clear" w:color="auto" w:fill="FFFFFF"/>
      <w:spacing w:after="300" w:line="271" w:lineRule="auto"/>
      <w:jc w:val="both"/>
    </w:pPr>
    <w:rPr>
      <w:rFonts w:ascii="Calibri" w:eastAsia="Calibri" w:hAnsi="Calibri" w:cs="Calibri"/>
    </w:rPr>
  </w:style>
  <w:style w:type="paragraph" w:customStyle="1" w:styleId="KPnormalni">
    <w:name w:val="KP_normalni"/>
    <w:basedOn w:val="Normln"/>
    <w:qFormat/>
    <w:rsid w:val="006308DD"/>
    <w:pPr>
      <w:spacing w:after="0" w:line="240" w:lineRule="auto"/>
      <w:jc w:val="both"/>
    </w:pPr>
    <w:rPr>
      <w:rFonts w:ascii="Calibri" w:hAnsi="Calibri" w:cs="Calibri"/>
      <w:sz w:val="24"/>
      <w:szCs w:val="24"/>
    </w:rPr>
  </w:style>
  <w:style w:type="paragraph" w:styleId="Bezmezer">
    <w:name w:val="No Spacing"/>
    <w:uiPriority w:val="1"/>
    <w:qFormat/>
    <w:rsid w:val="006308DD"/>
    <w:pPr>
      <w:widowControl w:val="0"/>
      <w:spacing w:after="0" w:line="240" w:lineRule="auto"/>
    </w:pPr>
    <w:rPr>
      <w:rFonts w:ascii="Courier New" w:eastAsia="Courier New" w:hAnsi="Courier New" w:cs="Courier New"/>
      <w:color w:val="000000"/>
      <w:sz w:val="24"/>
      <w:szCs w:val="24"/>
      <w:lang w:eastAsia="cs-CZ" w:bidi="cs-CZ"/>
    </w:rPr>
  </w:style>
  <w:style w:type="character" w:customStyle="1" w:styleId="A4">
    <w:name w:val="A4"/>
    <w:uiPriority w:val="99"/>
    <w:rsid w:val="006308DD"/>
    <w:rPr>
      <w:color w:val="000000"/>
      <w:sz w:val="60"/>
      <w:szCs w:val="60"/>
    </w:rPr>
  </w:style>
  <w:style w:type="paragraph" w:styleId="Zpat">
    <w:name w:val="footer"/>
    <w:basedOn w:val="Normln"/>
    <w:link w:val="ZpatChar"/>
    <w:uiPriority w:val="99"/>
    <w:unhideWhenUsed/>
    <w:rsid w:val="00191FA0"/>
    <w:pPr>
      <w:tabs>
        <w:tab w:val="center" w:pos="4536"/>
        <w:tab w:val="right" w:pos="9072"/>
      </w:tabs>
      <w:spacing w:after="0" w:line="240" w:lineRule="auto"/>
    </w:pPr>
  </w:style>
  <w:style w:type="character" w:customStyle="1" w:styleId="ZpatChar">
    <w:name w:val="Zápatí Char"/>
    <w:basedOn w:val="Standardnpsmoodstavce"/>
    <w:link w:val="Zpat"/>
    <w:uiPriority w:val="99"/>
    <w:rsid w:val="00191FA0"/>
  </w:style>
  <w:style w:type="table" w:customStyle="1" w:styleId="TableGrid">
    <w:name w:val="TableGrid"/>
    <w:rsid w:val="0030176A"/>
    <w:pPr>
      <w:spacing w:after="0" w:line="240" w:lineRule="auto"/>
    </w:pPr>
    <w:rPr>
      <w:rFonts w:eastAsiaTheme="minorEastAsia"/>
      <w:lang w:eastAsia="cs-CZ"/>
    </w:rPr>
    <w:tblPr>
      <w:tblCellMar>
        <w:top w:w="0" w:type="dxa"/>
        <w:left w:w="0" w:type="dxa"/>
        <w:bottom w:w="0" w:type="dxa"/>
        <w:right w:w="0" w:type="dxa"/>
      </w:tblCellMar>
    </w:tblPr>
  </w:style>
  <w:style w:type="character" w:styleId="Sledovanodkaz">
    <w:name w:val="FollowedHyperlink"/>
    <w:basedOn w:val="Standardnpsmoodstavce"/>
    <w:uiPriority w:val="99"/>
    <w:semiHidden/>
    <w:unhideWhenUsed/>
    <w:rsid w:val="00C5748A"/>
    <w:rPr>
      <w:color w:val="954F72" w:themeColor="followedHyperlink"/>
      <w:u w:val="single"/>
    </w:rPr>
  </w:style>
  <w:style w:type="paragraph" w:styleId="Pedmtkomente">
    <w:name w:val="annotation subject"/>
    <w:basedOn w:val="Textkomente"/>
    <w:next w:val="Textkomente"/>
    <w:link w:val="PedmtkomenteChar"/>
    <w:uiPriority w:val="99"/>
    <w:semiHidden/>
    <w:unhideWhenUsed/>
    <w:rsid w:val="006F296F"/>
    <w:rPr>
      <w:b/>
      <w:bCs/>
    </w:rPr>
  </w:style>
  <w:style w:type="character" w:customStyle="1" w:styleId="PedmtkomenteChar">
    <w:name w:val="Předmět komentáře Char"/>
    <w:basedOn w:val="TextkomenteChar"/>
    <w:link w:val="Pedmtkomente"/>
    <w:uiPriority w:val="99"/>
    <w:semiHidden/>
    <w:rsid w:val="006F296F"/>
    <w:rPr>
      <w:b/>
      <w:bCs/>
      <w:sz w:val="20"/>
      <w:szCs w:val="20"/>
    </w:rPr>
  </w:style>
  <w:style w:type="paragraph" w:styleId="Revize">
    <w:name w:val="Revision"/>
    <w:hidden/>
    <w:uiPriority w:val="99"/>
    <w:semiHidden/>
    <w:rsid w:val="001F5620"/>
    <w:pPr>
      <w:spacing w:after="0" w:line="240" w:lineRule="auto"/>
    </w:pPr>
  </w:style>
  <w:style w:type="paragraph" w:customStyle="1" w:styleId="Bn">
    <w:name w:val="Běžný"/>
    <w:basedOn w:val="Normln"/>
    <w:qFormat/>
    <w:rsid w:val="00050B8D"/>
    <w:pPr>
      <w:spacing w:before="40" w:after="0" w:line="276" w:lineRule="auto"/>
      <w:ind w:firstLine="284"/>
      <w:jc w:val="both"/>
    </w:pPr>
    <w:rPr>
      <w:rFonts w:ascii="Calibri" w:eastAsia="Calibri" w:hAnsi="Calibri" w:cs="Times New Roman"/>
      <w:i/>
      <w:sz w:val="24"/>
      <w:lang w:eastAsia="cs-CZ"/>
    </w:rPr>
  </w:style>
  <w:style w:type="character" w:styleId="Nevyeenzmnka">
    <w:name w:val="Unresolved Mention"/>
    <w:basedOn w:val="Standardnpsmoodstavce"/>
    <w:uiPriority w:val="99"/>
    <w:semiHidden/>
    <w:unhideWhenUsed/>
    <w:rsid w:val="007E73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0.png"/><Relationship Id="rId39" Type="http://schemas.openxmlformats.org/officeDocument/2006/relationships/image" Target="media/image20.jpeg"/><Relationship Id="rId21" Type="http://schemas.openxmlformats.org/officeDocument/2006/relationships/hyperlink" Target="http://www.mapy.cz" TargetMode="External"/><Relationship Id="rId34" Type="http://schemas.openxmlformats.org/officeDocument/2006/relationships/image" Target="media/image17.jpeg"/><Relationship Id="rId42" Type="http://schemas.openxmlformats.org/officeDocument/2006/relationships/image" Target="media/image23.jpeg"/><Relationship Id="rId47" Type="http://schemas.openxmlformats.org/officeDocument/2006/relationships/image" Target="media/image28.emf"/><Relationship Id="rId50" Type="http://schemas.openxmlformats.org/officeDocument/2006/relationships/chart" Target="charts/chart3.xm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hyperlink" Target="https://www.nku.cz/assets/kon-zavery/k24001-priloha3.html" TargetMode="External"/><Relationship Id="rId24" Type="http://schemas.openxmlformats.org/officeDocument/2006/relationships/image" Target="media/image9.png"/><Relationship Id="rId32" Type="http://schemas.openxmlformats.org/officeDocument/2006/relationships/image" Target="media/image15.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emf"/><Relationship Id="rId53" Type="http://schemas.openxmlformats.org/officeDocument/2006/relationships/hyperlink" Target="https://www.nku.cz/assets/kon-zavery/k24001-priloha3.html" TargetMode="External"/><Relationship Id="rId58" Type="http://schemas.microsoft.com/office/2018/08/relationships/commentsExtensible" Target="commentsExtensible.xml"/><Relationship Id="rId5" Type="http://schemas.openxmlformats.org/officeDocument/2006/relationships/webSettings" Target="webSettings.xml"/><Relationship Id="rId19" Type="http://schemas.microsoft.com/office/2007/relationships/hdphoto" Target="media/hdphoto2.wdp"/><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3.jpeg"/><Relationship Id="rId35" Type="http://schemas.openxmlformats.org/officeDocument/2006/relationships/hyperlink" Target="http://www.mapy.cz" TargetMode="External"/><Relationship Id="rId43" Type="http://schemas.openxmlformats.org/officeDocument/2006/relationships/image" Target="media/image24.jpeg"/><Relationship Id="rId48" Type="http://schemas.openxmlformats.org/officeDocument/2006/relationships/hyperlink" Target="https://nku/sites/teamsites/ka2401"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microsoft.com/office/2007/relationships/hdphoto" Target="media/hdphoto4.wdp"/><Relationship Id="rId33" Type="http://schemas.openxmlformats.org/officeDocument/2006/relationships/image" Target="media/image16.jpeg"/><Relationship Id="rId38" Type="http://schemas.openxmlformats.org/officeDocument/2006/relationships/image" Target="media/image19.jpeg"/><Relationship Id="rId46" Type="http://schemas.openxmlformats.org/officeDocument/2006/relationships/image" Target="media/image27.emf"/><Relationship Id="rId20" Type="http://schemas.openxmlformats.org/officeDocument/2006/relationships/hyperlink" Target="http://www.mapy.cz" TargetMode="External"/><Relationship Id="rId41" Type="http://schemas.openxmlformats.org/officeDocument/2006/relationships/image" Target="media/image22.jpeg"/><Relationship Id="rId54" Type="http://schemas.openxmlformats.org/officeDocument/2006/relationships/hyperlink" Target="https://www.nku.cz/assets/kon-zavery/k24001-priloha3.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3.wdp"/><Relationship Id="rId28" Type="http://schemas.microsoft.com/office/2007/relationships/hdphoto" Target="media/hdphoto5.wdp"/><Relationship Id="rId36" Type="http://schemas.openxmlformats.org/officeDocument/2006/relationships/hyperlink" Target="http://www.mapy.cz" TargetMode="External"/><Relationship Id="rId49" Type="http://schemas.openxmlformats.org/officeDocument/2006/relationships/chart" Target="charts/chart2.xml"/><Relationship Id="rId57" Type="http://schemas.openxmlformats.org/officeDocument/2006/relationships/theme" Target="theme/theme1.xml"/><Relationship Id="rId10" Type="http://schemas.openxmlformats.org/officeDocument/2006/relationships/hyperlink" Target="https://www.nku.cz/assets/kon-zavery/k24001-priloha3.html" TargetMode="External"/><Relationship Id="rId31" Type="http://schemas.openxmlformats.org/officeDocument/2006/relationships/image" Target="media/image14.jpeg"/><Relationship Id="rId44" Type="http://schemas.openxmlformats.org/officeDocument/2006/relationships/image" Target="media/image25.emf"/><Relationship Id="rId52" Type="http://schemas.openxmlformats.org/officeDocument/2006/relationships/chart" Target="charts/chart5.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1\KUKLOVA\Dokumenty\KONTROLY\KA%2024_01%20CHODNIKY\GRAFY%20KZ_navrh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1\KUKLOVA\Dokumenty\KONTROLY\KA%2024_01%20CHODNIKY\GRAFY%20KZ_navrh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88055174232307"/>
          <c:y val="3.0425639566138571E-2"/>
          <c:w val="0.36481662781178259"/>
          <c:h val="0.80939110773803868"/>
        </c:manualLayout>
      </c:layout>
      <c:doughnutChart>
        <c:varyColors val="1"/>
        <c:ser>
          <c:idx val="0"/>
          <c:order val="0"/>
          <c:dPt>
            <c:idx val="0"/>
            <c:bubble3D val="0"/>
            <c:spPr>
              <a:solidFill>
                <a:srgbClr val="AF1953"/>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1-CB49-44A9-8A7E-655383A3F36C}"/>
              </c:ext>
            </c:extLst>
          </c:dPt>
          <c:dPt>
            <c:idx val="1"/>
            <c:bubble3D val="0"/>
            <c:spPr>
              <a:solidFill>
                <a:srgbClr val="2EB3A1"/>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3-CB49-44A9-8A7E-655383A3F36C}"/>
              </c:ext>
            </c:extLst>
          </c:dPt>
          <c:dPt>
            <c:idx val="2"/>
            <c:bubble3D val="0"/>
            <c:spPr>
              <a:solidFill>
                <a:srgbClr val="FDC300"/>
              </a:solidFill>
              <a:ln>
                <a:noFill/>
              </a:ln>
              <a:effectLst/>
              <a:scene3d>
                <a:camera prst="orthographicFront"/>
                <a:lightRig rig="brightRoom" dir="t"/>
              </a:scene3d>
              <a:sp3d prstMaterial="flat">
                <a:bevelT w="0" h="0" prst="angle"/>
                <a:contourClr>
                  <a:srgbClr val="000000"/>
                </a:contourClr>
              </a:sp3d>
            </c:spPr>
            <c:extLst>
              <c:ext xmlns:c16="http://schemas.microsoft.com/office/drawing/2014/chart" uri="{C3380CC4-5D6E-409C-BE32-E72D297353CC}">
                <c16:uniqueId val="{00000005-CB49-44A9-8A7E-655383A3F36C}"/>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B49-44A9-8A7E-655383A3F36C}"/>
              </c:ext>
            </c:extLst>
          </c:dPt>
          <c:dLbls>
            <c:dLbl>
              <c:idx val="0"/>
              <c:layout>
                <c:manualLayout>
                  <c:x val="-0.20033058844743643"/>
                  <c:y val="-8.4286874133385786E-2"/>
                </c:manualLayout>
              </c:layout>
              <c:tx>
                <c:rich>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mn-lt"/>
                        <a:ea typeface="+mn-ea"/>
                        <a:cs typeface="+mn-cs"/>
                      </a:defRPr>
                    </a:pPr>
                    <a:fld id="{F9EEABBD-3216-4D67-9CD4-F94ED446466B}" type="VALUE">
                      <a:rPr lang="en-US" sz="1100" b="1" i="0" baseline="0">
                        <a:solidFill>
                          <a:schemeClr val="tx1"/>
                        </a:solidFill>
                      </a:rPr>
                      <a:pPr>
                        <a:defRPr sz="1000">
                          <a:solidFill>
                            <a:schemeClr val="tx1"/>
                          </a:solidFill>
                        </a:defRPr>
                      </a:pPr>
                      <a:t>[HODNOTA]</a:t>
                    </a:fld>
                    <a:r>
                      <a:rPr lang="en-US" sz="1100" b="1" i="0" baseline="0">
                        <a:solidFill>
                          <a:schemeClr val="tx1"/>
                        </a:solidFill>
                      </a:rPr>
                      <a:t> projektů bylo neúčelných</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268991930636533"/>
                      <c:h val="0.15383200171249717"/>
                    </c:manualLayout>
                  </c15:layout>
                  <c15:dlblFieldTable/>
                  <c15:showDataLabelsRange val="0"/>
                </c:ext>
                <c:ext xmlns:c16="http://schemas.microsoft.com/office/drawing/2014/chart" uri="{C3380CC4-5D6E-409C-BE32-E72D297353CC}">
                  <c16:uniqueId val="{00000001-CB49-44A9-8A7E-655383A3F36C}"/>
                </c:ext>
              </c:extLst>
            </c:dLbl>
            <c:dLbl>
              <c:idx val="1"/>
              <c:layout>
                <c:manualLayout>
                  <c:x val="0.20723857215844202"/>
                  <c:y val="-7.6113942774052576E-2"/>
                </c:manualLayout>
              </c:layout>
              <c:tx>
                <c:rich>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mn-lt"/>
                        <a:ea typeface="+mn-ea"/>
                        <a:cs typeface="+mn-cs"/>
                      </a:defRPr>
                    </a:pPr>
                    <a:r>
                      <a:rPr lang="en-US" sz="1100" b="1" baseline="0">
                        <a:solidFill>
                          <a:schemeClr val="tx1"/>
                        </a:solidFill>
                      </a:rPr>
                      <a:t>6 projektů bylo účelných s mírnými nedostatky</a:t>
                    </a:r>
                    <a:endParaRPr lang="en-US" sz="1100" b="1"/>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3388743761914141"/>
                      <c:h val="0.23477571704139391"/>
                    </c:manualLayout>
                  </c15:layout>
                </c:ext>
                <c:ext xmlns:c16="http://schemas.microsoft.com/office/drawing/2014/chart" uri="{C3380CC4-5D6E-409C-BE32-E72D297353CC}">
                  <c16:uniqueId val="{00000003-CB49-44A9-8A7E-655383A3F36C}"/>
                </c:ext>
              </c:extLst>
            </c:dLbl>
            <c:dLbl>
              <c:idx val="2"/>
              <c:layout>
                <c:manualLayout>
                  <c:x val="-0.26888629093048283"/>
                  <c:y val="9.1759257520323559E-2"/>
                </c:manualLayout>
              </c:layout>
              <c:tx>
                <c:rich>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mn-lt"/>
                        <a:ea typeface="+mn-ea"/>
                        <a:cs typeface="+mn-cs"/>
                      </a:defRPr>
                    </a:pPr>
                    <a:r>
                      <a:rPr lang="en-US" sz="1100" b="1" baseline="0">
                        <a:solidFill>
                          <a:schemeClr val="tx1"/>
                        </a:solidFill>
                      </a:rPr>
                      <a:t>12 projektů bylo účelných jen omezeně</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3374703555804011"/>
                      <c:h val="0.2460339188370684"/>
                    </c:manualLayout>
                  </c15:layout>
                </c:ext>
                <c:ext xmlns:c16="http://schemas.microsoft.com/office/drawing/2014/chart" uri="{C3380CC4-5D6E-409C-BE32-E72D297353CC}">
                  <c16:uniqueId val="{00000005-CB49-44A9-8A7E-655383A3F36C}"/>
                </c:ext>
              </c:extLst>
            </c:dLbl>
            <c:dLbl>
              <c:idx val="3"/>
              <c:layout>
                <c:manualLayout>
                  <c:x val="0.14140084976257739"/>
                  <c:y val="2.4637203229831414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mn-lt"/>
                        <a:ea typeface="+mn-ea"/>
                        <a:cs typeface="+mn-cs"/>
                      </a:defRPr>
                    </a:pPr>
                    <a:endParaRPr lang="en-US" sz="1100" b="1" i="0" baseline="0">
                      <a:solidFill>
                        <a:srgbClr val="000000"/>
                      </a:solidFill>
                    </a:endParaRPr>
                  </a:p>
                  <a:p>
                    <a:pPr>
                      <a:defRPr sz="1000">
                        <a:solidFill>
                          <a:schemeClr val="tx1"/>
                        </a:solidFill>
                      </a:defRPr>
                    </a:pPr>
                    <a:r>
                      <a:rPr lang="en-US" sz="1100" b="1" i="0" baseline="0">
                        <a:solidFill>
                          <a:srgbClr val="000000"/>
                        </a:solidFill>
                      </a:rPr>
                      <a:t>žádný</a:t>
                    </a:r>
                  </a:p>
                  <a:p>
                    <a:pPr>
                      <a:defRPr sz="1000">
                        <a:solidFill>
                          <a:schemeClr val="tx1"/>
                        </a:solidFill>
                      </a:defRPr>
                    </a:pPr>
                    <a:r>
                      <a:rPr lang="en-US" sz="1100" b="1" i="0" baseline="0">
                        <a:solidFill>
                          <a:srgbClr val="000000"/>
                        </a:solidFill>
                      </a:rPr>
                      <a:t> projekt nebyl zcela účelný</a:t>
                    </a:r>
                    <a:endParaRPr lang="en-US" sz="1100"/>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layout>
                    <c:manualLayout>
                      <c:w val="0.19332305253350959"/>
                      <c:h val="0.4293770405811691"/>
                    </c:manualLayout>
                  </c15:layout>
                </c:ext>
                <c:ext xmlns:c16="http://schemas.microsoft.com/office/drawing/2014/chart" uri="{C3380CC4-5D6E-409C-BE32-E72D297353CC}">
                  <c16:uniqueId val="{00000007-CB49-44A9-8A7E-655383A3F36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showLeaderLines val="0"/>
            <c:extLst>
              <c:ext xmlns:c15="http://schemas.microsoft.com/office/drawing/2012/chart" uri="{CE6537A1-D6FC-4f65-9D91-7224C49458BB}"/>
            </c:extLst>
          </c:dLbls>
          <c:cat>
            <c:strRef>
              <c:f>'[Graf v aplikaci Microsoft Word]List1'!$C$22:$C$25</c:f>
              <c:strCache>
                <c:ptCount val="4"/>
                <c:pt idx="0">
                  <c:v>Projekt byl neúčelný</c:v>
                </c:pt>
                <c:pt idx="1">
                  <c:v>Projekt byl účelný s mírnými nedostatky</c:v>
                </c:pt>
                <c:pt idx="2">
                  <c:v>Projekt byl účelný jen omezeně</c:v>
                </c:pt>
                <c:pt idx="3">
                  <c:v>kontrolovaných projektů bylo účelných!</c:v>
                </c:pt>
              </c:strCache>
            </c:strRef>
          </c:cat>
          <c:val>
            <c:numRef>
              <c:f>'[Graf v aplikaci Microsoft Word]List1'!$D$22:$D$25</c:f>
              <c:numCache>
                <c:formatCode>General</c:formatCode>
                <c:ptCount val="4"/>
                <c:pt idx="0">
                  <c:v>5</c:v>
                </c:pt>
                <c:pt idx="1">
                  <c:v>6</c:v>
                </c:pt>
                <c:pt idx="2">
                  <c:v>12</c:v>
                </c:pt>
                <c:pt idx="3">
                  <c:v>0</c:v>
                </c:pt>
              </c:numCache>
            </c:numRef>
          </c:val>
          <c:extLst>
            <c:ext xmlns:c16="http://schemas.microsoft.com/office/drawing/2014/chart" uri="{C3380CC4-5D6E-409C-BE32-E72D297353CC}">
              <c16:uniqueId val="{00000008-CB49-44A9-8A7E-655383A3F36C}"/>
            </c:ext>
          </c:extLst>
        </c:ser>
        <c:dLbls>
          <c:showLegendKey val="0"/>
          <c:showVal val="0"/>
          <c:showCatName val="0"/>
          <c:showSerName val="0"/>
          <c:showPercent val="1"/>
          <c:showBubbleSize val="0"/>
          <c:showLeaderLines val="0"/>
        </c:dLbls>
        <c:firstSliceAng val="281"/>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100" b="1">
                <a:solidFill>
                  <a:schemeClr val="tx1"/>
                </a:solidFill>
              </a:rPr>
              <a:t>SFDI</a:t>
            </a:r>
            <a:r>
              <a:rPr lang="cs-CZ" sz="1100" b="1" baseline="0">
                <a:solidFill>
                  <a:schemeClr val="tx1"/>
                </a:solidFill>
              </a:rPr>
              <a:t> </a:t>
            </a:r>
            <a:r>
              <a:rPr lang="cs-CZ" sz="1100" b="1" baseline="0">
                <a:solidFill>
                  <a:schemeClr val="tx1"/>
                </a:solidFill>
                <a:latin typeface="Calibri" panose="020F0502020204030204" pitchFamily="34" charset="0"/>
                <a:ea typeface="Calibri" panose="020F0502020204030204" pitchFamily="34" charset="0"/>
                <a:cs typeface="Calibri" panose="020F0502020204030204" pitchFamily="34" charset="0"/>
              </a:rPr>
              <a:t>–</a:t>
            </a:r>
            <a:r>
              <a:rPr lang="cs-CZ" sz="1100" b="1" baseline="0">
                <a:solidFill>
                  <a:schemeClr val="tx1"/>
                </a:solidFill>
              </a:rPr>
              <a:t> vyhodnocení účelnosti projektů</a:t>
            </a:r>
            <a:endParaRPr lang="cs-CZ" sz="11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26456831525171465"/>
          <c:y val="0.13629359049588174"/>
          <c:w val="0.46594473028312322"/>
          <c:h val="0.82617472757380161"/>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283-4036-9191-CC0616B0A12C}"/>
              </c:ext>
            </c:extLst>
          </c:dPt>
          <c:dPt>
            <c:idx val="1"/>
            <c:bubble3D val="0"/>
            <c:spPr>
              <a:solidFill>
                <a:srgbClr val="2EB3A1"/>
              </a:solidFill>
              <a:ln w="19050">
                <a:noFill/>
              </a:ln>
              <a:effectLst/>
            </c:spPr>
            <c:extLst>
              <c:ext xmlns:c16="http://schemas.microsoft.com/office/drawing/2014/chart" uri="{C3380CC4-5D6E-409C-BE32-E72D297353CC}">
                <c16:uniqueId val="{00000003-7283-4036-9191-CC0616B0A12C}"/>
              </c:ext>
            </c:extLst>
          </c:dPt>
          <c:dPt>
            <c:idx val="2"/>
            <c:bubble3D val="0"/>
            <c:spPr>
              <a:solidFill>
                <a:srgbClr val="FDC300"/>
              </a:solidFill>
              <a:ln w="19050">
                <a:noFill/>
              </a:ln>
              <a:effectLst/>
            </c:spPr>
            <c:extLst>
              <c:ext xmlns:c16="http://schemas.microsoft.com/office/drawing/2014/chart" uri="{C3380CC4-5D6E-409C-BE32-E72D297353CC}">
                <c16:uniqueId val="{00000005-7283-4036-9191-CC0616B0A12C}"/>
              </c:ext>
            </c:extLst>
          </c:dPt>
          <c:dPt>
            <c:idx val="3"/>
            <c:bubble3D val="0"/>
            <c:spPr>
              <a:solidFill>
                <a:srgbClr val="AF1953"/>
              </a:solidFill>
              <a:ln w="19050">
                <a:noFill/>
              </a:ln>
              <a:effectLst/>
            </c:spPr>
            <c:extLst>
              <c:ext xmlns:c16="http://schemas.microsoft.com/office/drawing/2014/chart" uri="{C3380CC4-5D6E-409C-BE32-E72D297353CC}">
                <c16:uniqueId val="{00000007-7283-4036-9191-CC0616B0A12C}"/>
              </c:ext>
            </c:extLst>
          </c:dPt>
          <c:dLbls>
            <c:dLbl>
              <c:idx val="0"/>
              <c:layout>
                <c:manualLayout>
                  <c:x val="0"/>
                  <c:y val="0.19005637257895389"/>
                </c:manualLayout>
              </c:layout>
              <c:tx>
                <c:rich>
                  <a:bodyPr rot="0" spcFirstLastPara="1" vertOverflow="clip" horzOverflow="clip" vert="horz" wrap="square" lIns="0" tIns="0" rIns="0" bIns="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sz="900" b="1" baseline="0">
                        <a:solidFill>
                          <a:schemeClr val="tx1"/>
                        </a:solidFill>
                      </a:rPr>
                      <a:t>0 projektů bylo účelných</a:t>
                    </a:r>
                    <a:endParaRPr lang="en-US" sz="900" b="1" baseline="0"/>
                  </a:p>
                </c:rich>
              </c:tx>
              <c:spPr>
                <a:solidFill>
                  <a:sysClr val="window" lastClr="FFFFFF"/>
                </a:solidFill>
                <a:ln>
                  <a:noFill/>
                </a:ln>
                <a:effectLst/>
              </c:spPr>
              <c:txPr>
                <a:bodyPr rot="0" spcFirstLastPara="1" vertOverflow="clip" horzOverflow="clip" vert="horz" wrap="square" lIns="0" tIns="0" rIns="0" bIns="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15:layout>
                    <c:manualLayout>
                      <c:w val="0.21976612679512622"/>
                      <c:h val="0.21388825719889706"/>
                    </c:manualLayout>
                  </c15:layout>
                </c:ext>
                <c:ext xmlns:c16="http://schemas.microsoft.com/office/drawing/2014/chart" uri="{C3380CC4-5D6E-409C-BE32-E72D297353CC}">
                  <c16:uniqueId val="{00000001-7283-4036-9191-CC0616B0A12C}"/>
                </c:ext>
              </c:extLst>
            </c:dLbl>
            <c:dLbl>
              <c:idx val="1"/>
              <c:layout>
                <c:manualLayout>
                  <c:x val="0.23799728285996763"/>
                  <c:y val="-9.6293065465192326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sz="900" b="1">
                        <a:solidFill>
                          <a:schemeClr val="tx1"/>
                        </a:solidFill>
                      </a:rPr>
                      <a:t>2 projekty byly účelné</a:t>
                    </a:r>
                  </a:p>
                  <a:p>
                    <a:pPr>
                      <a:defRPr/>
                    </a:pPr>
                    <a:r>
                      <a:rPr lang="en-US" sz="900" b="1">
                        <a:solidFill>
                          <a:schemeClr val="tx1"/>
                        </a:solidFill>
                      </a:rPr>
                      <a:t>s mírnými nedostatky</a:t>
                    </a:r>
                    <a:endParaRPr lang="en-US" sz="900" b="1"/>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4567213651139136"/>
                      <c:h val="0.27996816282441223"/>
                    </c:manualLayout>
                  </c15:layout>
                </c:ext>
                <c:ext xmlns:c16="http://schemas.microsoft.com/office/drawing/2014/chart" uri="{C3380CC4-5D6E-409C-BE32-E72D297353CC}">
                  <c16:uniqueId val="{00000003-7283-4036-9191-CC0616B0A12C}"/>
                </c:ext>
              </c:extLst>
            </c:dLbl>
            <c:dLbl>
              <c:idx val="2"/>
              <c:layout>
                <c:manualLayout>
                  <c:x val="0.40337945186600133"/>
                  <c:y val="-1.1620080811388378E-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r>
                      <a:rPr lang="en-US" sz="900" b="1">
                        <a:solidFill>
                          <a:schemeClr val="tx1"/>
                        </a:solidFill>
                      </a:rPr>
                      <a:t>8 projektů bylo účelných jen omezeně</a:t>
                    </a:r>
                    <a:endParaRPr lang="en-US" sz="900" b="1"/>
                  </a:p>
                </c:rich>
              </c:tx>
              <c:spPr>
                <a:xfrm>
                  <a:off x="2038142" y="1736656"/>
                  <a:ext cx="685582" cy="705883"/>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95174"/>
                        <a:gd name="adj2" fmla="val -15267"/>
                      </a:avLst>
                    </a:prstGeom>
                    <a:noFill/>
                    <a:ln>
                      <a:noFill/>
                    </a:ln>
                  </c15:spPr>
                  <c15:layout>
                    <c:manualLayout>
                      <c:w val="0.24382490806535362"/>
                      <c:h val="0.24631669461894881"/>
                    </c:manualLayout>
                  </c15:layout>
                </c:ext>
                <c:ext xmlns:c16="http://schemas.microsoft.com/office/drawing/2014/chart" uri="{C3380CC4-5D6E-409C-BE32-E72D297353CC}">
                  <c16:uniqueId val="{00000005-7283-4036-9191-CC0616B0A12C}"/>
                </c:ext>
              </c:extLst>
            </c:dLbl>
            <c:dLbl>
              <c:idx val="3"/>
              <c:layout>
                <c:manualLayout>
                  <c:x val="-0.27372571822831088"/>
                  <c:y val="2.5798416669035916E-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r>
                      <a:rPr lang="en-US" sz="900" b="1">
                        <a:solidFill>
                          <a:schemeClr val="tx1"/>
                        </a:solidFill>
                      </a:rPr>
                      <a:t>1 projekt byl neúčelný</a:t>
                    </a:r>
                    <a:endParaRPr lang="en-US" sz="900" b="1"/>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8379851908755307"/>
                      <c:h val="0.21835434492168621"/>
                    </c:manualLayout>
                  </c15:layout>
                </c:ext>
                <c:ext xmlns:c16="http://schemas.microsoft.com/office/drawing/2014/chart" uri="{C3380CC4-5D6E-409C-BE32-E72D297353CC}">
                  <c16:uniqueId val="{00000007-7283-4036-9191-CC0616B0A12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ext>
            </c:extLst>
          </c:dLbls>
          <c:cat>
            <c:strRef>
              <c:f>'dle KO'!$B$14:$B$17</c:f>
              <c:strCache>
                <c:ptCount val="4"/>
                <c:pt idx="0">
                  <c:v>0 kontrolovaných projektů bylo účelných!</c:v>
                </c:pt>
                <c:pt idx="1">
                  <c:v>Projekt byl účelný s mírnými nedostatky:</c:v>
                </c:pt>
                <c:pt idx="2">
                  <c:v>Projekt byl účelný jen omezeně:</c:v>
                </c:pt>
                <c:pt idx="3">
                  <c:v>Projekt byl neúčelný:</c:v>
                </c:pt>
              </c:strCache>
            </c:strRef>
          </c:cat>
          <c:val>
            <c:numRef>
              <c:f>'dle KO'!$C$14:$C$17</c:f>
              <c:numCache>
                <c:formatCode>General</c:formatCode>
                <c:ptCount val="4"/>
                <c:pt idx="0">
                  <c:v>0</c:v>
                </c:pt>
                <c:pt idx="1">
                  <c:v>2</c:v>
                </c:pt>
                <c:pt idx="2">
                  <c:v>8</c:v>
                </c:pt>
                <c:pt idx="3">
                  <c:v>1</c:v>
                </c:pt>
              </c:numCache>
            </c:numRef>
          </c:val>
          <c:extLst>
            <c:ext xmlns:c16="http://schemas.microsoft.com/office/drawing/2014/chart" uri="{C3380CC4-5D6E-409C-BE32-E72D297353CC}">
              <c16:uniqueId val="{00000008-7283-4036-9191-CC0616B0A12C}"/>
            </c:ext>
          </c:extLst>
        </c:ser>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cs-CZ" sz="1100" b="1">
                <a:solidFill>
                  <a:schemeClr val="tx1"/>
                </a:solidFill>
              </a:rPr>
              <a:t>MMR </a:t>
            </a:r>
            <a:r>
              <a:rPr lang="cs-CZ" sz="1100" b="1">
                <a:solidFill>
                  <a:schemeClr val="tx1"/>
                </a:solidFill>
                <a:latin typeface="Calibri" panose="020F0502020204030204" pitchFamily="34" charset="0"/>
                <a:ea typeface="Calibri" panose="020F0502020204030204" pitchFamily="34" charset="0"/>
                <a:cs typeface="Calibri" panose="020F0502020204030204" pitchFamily="34" charset="0"/>
              </a:rPr>
              <a:t>–</a:t>
            </a:r>
            <a:r>
              <a:rPr lang="cs-CZ" sz="1100" b="1">
                <a:solidFill>
                  <a:schemeClr val="tx1"/>
                </a:solidFill>
              </a:rPr>
              <a:t> vyhodnocení</a:t>
            </a:r>
            <a:r>
              <a:rPr lang="cs-CZ" sz="1100" b="1" baseline="0">
                <a:solidFill>
                  <a:schemeClr val="tx1"/>
                </a:solidFill>
              </a:rPr>
              <a:t> účelnosti projektů</a:t>
            </a:r>
            <a:endParaRPr lang="cs-CZ" sz="1100" b="1">
              <a:solidFill>
                <a:schemeClr val="tx1"/>
              </a:solidFill>
            </a:endParaRPr>
          </a:p>
        </c:rich>
      </c:tx>
      <c:layout>
        <c:manualLayout>
          <c:xMode val="edge"/>
          <c:yMode val="edge"/>
          <c:x val="0.19654844973646587"/>
          <c:y val="3.21434129034265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26683211977535065"/>
          <c:y val="0.13798059163180815"/>
          <c:w val="0.46467366020880135"/>
          <c:h val="0.8221566863223273"/>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26F-419E-8768-EEA420157297}"/>
              </c:ext>
            </c:extLst>
          </c:dPt>
          <c:dPt>
            <c:idx val="1"/>
            <c:bubble3D val="0"/>
            <c:spPr>
              <a:solidFill>
                <a:srgbClr val="2EB3A1"/>
              </a:solidFill>
              <a:ln w="19050">
                <a:noFill/>
              </a:ln>
              <a:effectLst/>
            </c:spPr>
            <c:extLst>
              <c:ext xmlns:c16="http://schemas.microsoft.com/office/drawing/2014/chart" uri="{C3380CC4-5D6E-409C-BE32-E72D297353CC}">
                <c16:uniqueId val="{00000003-126F-419E-8768-EEA420157297}"/>
              </c:ext>
            </c:extLst>
          </c:dPt>
          <c:dPt>
            <c:idx val="2"/>
            <c:bubble3D val="0"/>
            <c:spPr>
              <a:solidFill>
                <a:srgbClr val="FDC300"/>
              </a:solidFill>
              <a:ln w="0">
                <a:noFill/>
              </a:ln>
              <a:effectLst/>
            </c:spPr>
            <c:extLst>
              <c:ext xmlns:c16="http://schemas.microsoft.com/office/drawing/2014/chart" uri="{C3380CC4-5D6E-409C-BE32-E72D297353CC}">
                <c16:uniqueId val="{00000005-126F-419E-8768-EEA420157297}"/>
              </c:ext>
            </c:extLst>
          </c:dPt>
          <c:dPt>
            <c:idx val="3"/>
            <c:bubble3D val="0"/>
            <c:spPr>
              <a:solidFill>
                <a:srgbClr val="AF1953"/>
              </a:solidFill>
              <a:ln w="19050">
                <a:noFill/>
              </a:ln>
              <a:effectLst/>
            </c:spPr>
            <c:extLst>
              <c:ext xmlns:c16="http://schemas.microsoft.com/office/drawing/2014/chart" uri="{C3380CC4-5D6E-409C-BE32-E72D297353CC}">
                <c16:uniqueId val="{00000007-126F-419E-8768-EEA420157297}"/>
              </c:ext>
            </c:extLst>
          </c:dPt>
          <c:dLbls>
            <c:dLbl>
              <c:idx val="0"/>
              <c:layout>
                <c:manualLayout>
                  <c:x val="4.5881968006031768E-3"/>
                  <c:y val="0.18496709650424131"/>
                </c:manualLayout>
              </c:layout>
              <c:tx>
                <c:rich>
                  <a:bodyPr rot="0" spcFirstLastPara="1" vertOverflow="clip" horzOverflow="clip"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r>
                      <a:rPr lang="en-US" sz="900" b="1" baseline="0">
                        <a:solidFill>
                          <a:schemeClr val="tx1"/>
                        </a:solidFill>
                      </a:rPr>
                      <a:t>0 projektů bylo účelných</a:t>
                    </a:r>
                    <a:endParaRPr lang="en-US" sz="900" b="1">
                      <a:solidFill>
                        <a:schemeClr val="tx1"/>
                      </a:solidFill>
                    </a:endParaRPr>
                  </a:p>
                </c:rich>
              </c:tx>
              <c:spPr>
                <a:solidFill>
                  <a:sysClr val="window" lastClr="FFFFFF"/>
                </a:solidFill>
                <a:ln>
                  <a:noFill/>
                </a:ln>
                <a:effectLst/>
              </c:spPr>
              <c:txPr>
                <a:bodyPr rot="0" spcFirstLastPara="1" vertOverflow="clip" horzOverflow="clip"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0.2063433127769598"/>
                      <c:h val="0.1937986506627383"/>
                    </c:manualLayout>
                  </c15:layout>
                </c:ext>
                <c:ext xmlns:c16="http://schemas.microsoft.com/office/drawing/2014/chart" uri="{C3380CC4-5D6E-409C-BE32-E72D297353CC}">
                  <c16:uniqueId val="{00000001-126F-419E-8768-EEA420157297}"/>
                </c:ext>
              </c:extLst>
            </c:dLbl>
            <c:dLbl>
              <c:idx val="1"/>
              <c:layout>
                <c:manualLayout>
                  <c:x val="0.18543058133993398"/>
                  <c:y val="-0.15125804432548701"/>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r>
                      <a:rPr lang="en-US" sz="900" b="1" baseline="0">
                        <a:solidFill>
                          <a:sysClr val="windowText" lastClr="000000"/>
                        </a:solidFill>
                      </a:rPr>
                      <a:t>4 projekty byly účelné</a:t>
                    </a:r>
                  </a:p>
                  <a:p>
                    <a:pPr>
                      <a:defRPr>
                        <a:solidFill>
                          <a:sysClr val="windowText" lastClr="000000"/>
                        </a:solidFill>
                      </a:defRPr>
                    </a:pPr>
                    <a:r>
                      <a:rPr lang="en-US" sz="900" b="1" baseline="0">
                        <a:solidFill>
                          <a:sysClr val="windowText" lastClr="000000"/>
                        </a:solidFill>
                      </a:rPr>
                      <a:t>s mírnými nedostatky</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4411275312924088"/>
                      <c:h val="0.27979936302428593"/>
                    </c:manualLayout>
                  </c15:layout>
                </c:ext>
                <c:ext xmlns:c16="http://schemas.microsoft.com/office/drawing/2014/chart" uri="{C3380CC4-5D6E-409C-BE32-E72D297353CC}">
                  <c16:uniqueId val="{00000003-126F-419E-8768-EEA420157297}"/>
                </c:ext>
              </c:extLst>
            </c:dLbl>
            <c:dLbl>
              <c:idx val="2"/>
              <c:layout>
                <c:manualLayout>
                  <c:x val="0.35141261034943549"/>
                  <c:y val="7.8027721884105367E-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r>
                      <a:rPr lang="en-US" sz="900" b="1">
                        <a:solidFill>
                          <a:sysClr val="windowText" lastClr="000000"/>
                        </a:solidFill>
                      </a:rPr>
                      <a:t>4 projekty</a:t>
                    </a:r>
                    <a:r>
                      <a:rPr lang="en-US" sz="900" b="1" baseline="0">
                        <a:solidFill>
                          <a:sysClr val="windowText" lastClr="000000"/>
                        </a:solidFill>
                      </a:rPr>
                      <a:t> byly účelné jen omezeně</a:t>
                    </a:r>
                    <a:endParaRPr lang="en-US" sz="900" b="1"/>
                  </a:p>
                </c:rich>
              </c:tx>
              <c:spPr>
                <a:xfrm>
                  <a:off x="2058394" y="1807945"/>
                  <a:ext cx="666506" cy="682671"/>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10834"/>
                        <a:gd name="adj2" fmla="val -13609"/>
                      </a:avLst>
                    </a:prstGeom>
                    <a:noFill/>
                    <a:ln>
                      <a:noFill/>
                    </a:ln>
                  </c15:spPr>
                  <c15:layout>
                    <c:manualLayout>
                      <c:w val="0.23704093355762679"/>
                      <c:h val="0.23607246722618166"/>
                    </c:manualLayout>
                  </c15:layout>
                </c:ext>
                <c:ext xmlns:c16="http://schemas.microsoft.com/office/drawing/2014/chart" uri="{C3380CC4-5D6E-409C-BE32-E72D297353CC}">
                  <c16:uniqueId val="{00000005-126F-419E-8768-EEA420157297}"/>
                </c:ext>
              </c:extLst>
            </c:dLbl>
            <c:dLbl>
              <c:idx val="3"/>
              <c:layout>
                <c:manualLayout>
                  <c:x val="-0.11622121929880716"/>
                  <c:y val="-0.1587966276942655"/>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r>
                      <a:rPr lang="en-US" sz="900" b="1" baseline="0">
                        <a:solidFill>
                          <a:sysClr val="windowText" lastClr="000000"/>
                        </a:solidFill>
                      </a:rPr>
                      <a:t>4 projekty byly neúčelné</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3531708849546207"/>
                      <c:h val="0.16980901102777171"/>
                    </c:manualLayout>
                  </c15:layout>
                </c:ext>
                <c:ext xmlns:c16="http://schemas.microsoft.com/office/drawing/2014/chart" uri="{C3380CC4-5D6E-409C-BE32-E72D297353CC}">
                  <c16:uniqueId val="{00000007-126F-419E-8768-EEA42015729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'dle KO'!$B$4:$B$7</c:f>
              <c:strCache>
                <c:ptCount val="4"/>
                <c:pt idx="0">
                  <c:v>0 kontrolovaných projektů bylo účelných!</c:v>
                </c:pt>
                <c:pt idx="1">
                  <c:v>Projekt byl účelný s mírnými nedostatky:</c:v>
                </c:pt>
                <c:pt idx="2">
                  <c:v>Projekt byl účelný jen omezeně:</c:v>
                </c:pt>
                <c:pt idx="3">
                  <c:v>Projekt byl neúčelný:</c:v>
                </c:pt>
              </c:strCache>
            </c:strRef>
          </c:cat>
          <c:val>
            <c:numRef>
              <c:f>'dle KO'!$C$4:$C$7</c:f>
              <c:numCache>
                <c:formatCode>General</c:formatCode>
                <c:ptCount val="4"/>
                <c:pt idx="0">
                  <c:v>0</c:v>
                </c:pt>
                <c:pt idx="1">
                  <c:v>4</c:v>
                </c:pt>
                <c:pt idx="2">
                  <c:v>4</c:v>
                </c:pt>
                <c:pt idx="3">
                  <c:v>4</c:v>
                </c:pt>
              </c:numCache>
            </c:numRef>
          </c:val>
          <c:extLst>
            <c:ext xmlns:c16="http://schemas.microsoft.com/office/drawing/2014/chart" uri="{C3380CC4-5D6E-409C-BE32-E72D297353CC}">
              <c16:uniqueId val="{00000008-126F-419E-8768-EEA420157297}"/>
            </c:ext>
          </c:extLst>
        </c:ser>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b="1">
                <a:solidFill>
                  <a:schemeClr val="tx1"/>
                </a:solidFill>
              </a:rPr>
              <a:t>SFDI</a:t>
            </a:r>
            <a:r>
              <a:rPr lang="cs-CZ" sz="1200" b="1" baseline="0">
                <a:solidFill>
                  <a:schemeClr val="tx1"/>
                </a:solidFill>
              </a:rPr>
              <a:t> </a:t>
            </a:r>
            <a:r>
              <a:rPr lang="cs-CZ" sz="1200" b="1" baseline="0">
                <a:solidFill>
                  <a:schemeClr val="tx1"/>
                </a:solidFill>
                <a:latin typeface="Calibri" panose="020F0502020204030204" pitchFamily="34" charset="0"/>
                <a:ea typeface="Calibri" panose="020F0502020204030204" pitchFamily="34" charset="0"/>
                <a:cs typeface="Calibri" panose="020F0502020204030204" pitchFamily="34" charset="0"/>
              </a:rPr>
              <a:t>–</a:t>
            </a:r>
            <a:r>
              <a:rPr lang="cs-CZ" sz="1200" b="1" baseline="0">
                <a:solidFill>
                  <a:schemeClr val="tx1"/>
                </a:solidFill>
              </a:rPr>
              <a:t> vyhodnocení hospodárnosti projektů</a:t>
            </a:r>
            <a:endParaRPr lang="cs-CZ"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27410050829560056"/>
          <c:y val="0.13187754079609348"/>
          <c:w val="0.47517419741516659"/>
          <c:h val="0.80874320568112201"/>
        </c:manualLayout>
      </c:layout>
      <c:doughnutChart>
        <c:varyColors val="1"/>
        <c:ser>
          <c:idx val="0"/>
          <c:order val="0"/>
          <c:dPt>
            <c:idx val="0"/>
            <c:bubble3D val="0"/>
            <c:spPr>
              <a:solidFill>
                <a:srgbClr val="185C52"/>
              </a:solidFill>
              <a:ln w="19050">
                <a:noFill/>
              </a:ln>
              <a:effectLst/>
            </c:spPr>
            <c:extLst>
              <c:ext xmlns:c16="http://schemas.microsoft.com/office/drawing/2014/chart" uri="{C3380CC4-5D6E-409C-BE32-E72D297353CC}">
                <c16:uniqueId val="{00000001-2CA2-4520-B68B-8244F3BAEFAF}"/>
              </c:ext>
            </c:extLst>
          </c:dPt>
          <c:dPt>
            <c:idx val="1"/>
            <c:bubble3D val="0"/>
            <c:spPr>
              <a:solidFill>
                <a:srgbClr val="2EB3A1"/>
              </a:solidFill>
              <a:ln w="19050">
                <a:noFill/>
              </a:ln>
              <a:effectLst/>
            </c:spPr>
            <c:extLst>
              <c:ext xmlns:c16="http://schemas.microsoft.com/office/drawing/2014/chart" uri="{C3380CC4-5D6E-409C-BE32-E72D297353CC}">
                <c16:uniqueId val="{00000003-2CA2-4520-B68B-8244F3BAEFAF}"/>
              </c:ext>
            </c:extLst>
          </c:dPt>
          <c:dPt>
            <c:idx val="2"/>
            <c:bubble3D val="0"/>
            <c:spPr>
              <a:solidFill>
                <a:srgbClr val="FDC300"/>
              </a:solidFill>
              <a:ln w="19050">
                <a:noFill/>
              </a:ln>
              <a:effectLst/>
            </c:spPr>
            <c:extLst>
              <c:ext xmlns:c16="http://schemas.microsoft.com/office/drawing/2014/chart" uri="{C3380CC4-5D6E-409C-BE32-E72D297353CC}">
                <c16:uniqueId val="{00000005-2CA2-4520-B68B-8244F3BAEFAF}"/>
              </c:ext>
            </c:extLst>
          </c:dPt>
          <c:dPt>
            <c:idx val="3"/>
            <c:bubble3D val="0"/>
            <c:spPr>
              <a:solidFill>
                <a:srgbClr val="AF1953"/>
              </a:solidFill>
              <a:ln w="19050">
                <a:noFill/>
              </a:ln>
              <a:effectLst/>
            </c:spPr>
            <c:extLst>
              <c:ext xmlns:c16="http://schemas.microsoft.com/office/drawing/2014/chart" uri="{C3380CC4-5D6E-409C-BE32-E72D297353CC}">
                <c16:uniqueId val="{00000007-2CA2-4520-B68B-8244F3BAEFAF}"/>
              </c:ext>
            </c:extLst>
          </c:dPt>
          <c:dLbls>
            <c:dLbl>
              <c:idx val="0"/>
              <c:layout>
                <c:manualLayout>
                  <c:x val="0.1329861233713498"/>
                  <c:y val="-0.17418147373174037"/>
                </c:manualLayout>
              </c:layout>
              <c:tx>
                <c:rich>
                  <a:bodyPr/>
                  <a:lstStyle/>
                  <a:p>
                    <a:r>
                      <a:rPr lang="en-US"/>
                      <a:t>4 projekty byly hospodárné</a:t>
                    </a:r>
                  </a:p>
                </c:rich>
              </c:tx>
              <c:showLegendKey val="0"/>
              <c:showVal val="1"/>
              <c:showCatName val="1"/>
              <c:showSerName val="0"/>
              <c:showPercent val="0"/>
              <c:showBubbleSize val="0"/>
              <c:extLst>
                <c:ext xmlns:c15="http://schemas.microsoft.com/office/drawing/2012/chart" uri="{CE6537A1-D6FC-4f65-9D91-7224C49458BB}">
                  <c15:layout>
                    <c:manualLayout>
                      <c:w val="0.2519610889445994"/>
                      <c:h val="0.16736856054223226"/>
                    </c:manualLayout>
                  </c15:layout>
                </c:ext>
                <c:ext xmlns:c16="http://schemas.microsoft.com/office/drawing/2014/chart" uri="{C3380CC4-5D6E-409C-BE32-E72D297353CC}">
                  <c16:uniqueId val="{00000001-2CA2-4520-B68B-8244F3BAEFAF}"/>
                </c:ext>
              </c:extLst>
            </c:dLbl>
            <c:dLbl>
              <c:idx val="1"/>
              <c:layout>
                <c:manualLayout>
                  <c:x val="0.31377493732565931"/>
                  <c:y val="0.12064029343101279"/>
                </c:manualLayout>
              </c:layout>
              <c:tx>
                <c:rich>
                  <a:bodyPr/>
                  <a:lstStyle/>
                  <a:p>
                    <a:r>
                      <a:rPr lang="en-US"/>
                      <a:t>3 projekty byly hospodárné </a:t>
                    </a:r>
                    <a:br>
                      <a:rPr lang="en-US"/>
                    </a:br>
                    <a:r>
                      <a:rPr lang="en-US"/>
                      <a:t>s mírnými nedostatky</a:t>
                    </a:r>
                  </a:p>
                </c:rich>
              </c:tx>
              <c:showLegendKey val="0"/>
              <c:showVal val="1"/>
              <c:showCatName val="1"/>
              <c:showSerName val="0"/>
              <c:showPercent val="0"/>
              <c:showBubbleSize val="0"/>
              <c:extLst>
                <c:ext xmlns:c15="http://schemas.microsoft.com/office/drawing/2012/chart" uri="{CE6537A1-D6FC-4f65-9D91-7224C49458BB}">
                  <c15:layout>
                    <c:manualLayout>
                      <c:w val="0.2773267186893118"/>
                      <c:h val="0.255009480557087"/>
                    </c:manualLayout>
                  </c15:layout>
                </c:ext>
                <c:ext xmlns:c16="http://schemas.microsoft.com/office/drawing/2014/chart" uri="{C3380CC4-5D6E-409C-BE32-E72D297353CC}">
                  <c16:uniqueId val="{00000003-2CA2-4520-B68B-8244F3BAEFAF}"/>
                </c:ext>
              </c:extLst>
            </c:dLbl>
            <c:dLbl>
              <c:idx val="2"/>
              <c:layout>
                <c:manualLayout>
                  <c:x val="-0.13743105822534515"/>
                  <c:y val="0.28006727187358382"/>
                </c:manualLayout>
              </c:layout>
              <c:tx>
                <c:rich>
                  <a:bodyPr/>
                  <a:lstStyle/>
                  <a:p>
                    <a:r>
                      <a:rPr lang="en-US"/>
                      <a:t>3 projekty byly hospodárné</a:t>
                    </a:r>
                    <a:r>
                      <a:rPr lang="en-US" baseline="0"/>
                      <a:t> jen omezeně</a:t>
                    </a:r>
                    <a:endParaRPr lang="en-US"/>
                  </a:p>
                </c:rich>
              </c:tx>
              <c:showLegendKey val="0"/>
              <c:showVal val="1"/>
              <c:showCatName val="1"/>
              <c:showSerName val="0"/>
              <c:showPercent val="0"/>
              <c:showBubbleSize val="0"/>
              <c:extLst>
                <c:ext xmlns:c15="http://schemas.microsoft.com/office/drawing/2012/chart" uri="{CE6537A1-D6FC-4f65-9D91-7224C49458BB}">
                  <c15:layout>
                    <c:manualLayout>
                      <c:w val="0.29228699551569504"/>
                      <c:h val="0.18767674817709909"/>
                    </c:manualLayout>
                  </c15:layout>
                </c:ext>
                <c:ext xmlns:c16="http://schemas.microsoft.com/office/drawing/2014/chart" uri="{C3380CC4-5D6E-409C-BE32-E72D297353CC}">
                  <c16:uniqueId val="{00000005-2CA2-4520-B68B-8244F3BAEFAF}"/>
                </c:ext>
              </c:extLst>
            </c:dLbl>
            <c:dLbl>
              <c:idx val="3"/>
              <c:layout>
                <c:manualLayout>
                  <c:x val="-0.26123177147699589"/>
                  <c:y val="-6.990581610500432E-2"/>
                </c:manualLayout>
              </c:layout>
              <c:tx>
                <c:rich>
                  <a:bodyPr/>
                  <a:lstStyle/>
                  <a:p>
                    <a:r>
                      <a:rPr lang="en-US"/>
                      <a:t>1 projekt</a:t>
                    </a:r>
                    <a:r>
                      <a:rPr lang="en-US" baseline="0"/>
                      <a:t> byl nehospodárný</a:t>
                    </a:r>
                    <a:endParaRPr lang="en-US"/>
                  </a:p>
                </c:rich>
              </c:tx>
              <c:showLegendKey val="0"/>
              <c:showVal val="1"/>
              <c:showCatName val="1"/>
              <c:showSerName val="0"/>
              <c:showPercent val="0"/>
              <c:showBubbleSize val="0"/>
              <c:extLst>
                <c:ext xmlns:c15="http://schemas.microsoft.com/office/drawing/2012/chart" uri="{CE6537A1-D6FC-4f65-9D91-7224C49458BB}">
                  <c15:layout>
                    <c:manualLayout>
                      <c:w val="0.29281946258959779"/>
                      <c:h val="0.13412526114476706"/>
                    </c:manualLayout>
                  </c15:layout>
                </c:ext>
                <c:ext xmlns:c16="http://schemas.microsoft.com/office/drawing/2014/chart" uri="{C3380CC4-5D6E-409C-BE32-E72D297353CC}">
                  <c16:uniqueId val="{00000007-2CA2-4520-B68B-8244F3BAEFA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'dle KO'!$B$35:$B$38</c:f>
              <c:strCache>
                <c:ptCount val="4"/>
                <c:pt idx="0">
                  <c:v>Projekt byl hospodárný:</c:v>
                </c:pt>
                <c:pt idx="1">
                  <c:v>Projekt byl hospodárný s mírnými nedostatky:</c:v>
                </c:pt>
                <c:pt idx="2">
                  <c:v>Projekt byl hospodárný jen omezeně:</c:v>
                </c:pt>
                <c:pt idx="3">
                  <c:v>Projekt byl nehospodárný:</c:v>
                </c:pt>
              </c:strCache>
            </c:strRef>
          </c:cat>
          <c:val>
            <c:numRef>
              <c:f>'dle KO'!$C$35:$C$38</c:f>
              <c:numCache>
                <c:formatCode>General</c:formatCode>
                <c:ptCount val="4"/>
                <c:pt idx="0">
                  <c:v>4</c:v>
                </c:pt>
                <c:pt idx="1">
                  <c:v>3</c:v>
                </c:pt>
                <c:pt idx="2">
                  <c:v>3</c:v>
                </c:pt>
                <c:pt idx="3">
                  <c:v>1</c:v>
                </c:pt>
              </c:numCache>
            </c:numRef>
          </c:val>
          <c:extLst>
            <c:ext xmlns:c16="http://schemas.microsoft.com/office/drawing/2014/chart" uri="{C3380CC4-5D6E-409C-BE32-E72D297353CC}">
              <c16:uniqueId val="{00000008-2CA2-4520-B68B-8244F3BAEFAF}"/>
            </c:ext>
          </c:extLst>
        </c:ser>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b="1" baseline="0">
                <a:solidFill>
                  <a:schemeClr val="tx1"/>
                </a:solidFill>
              </a:rPr>
              <a:t>MMR </a:t>
            </a:r>
            <a:r>
              <a:rPr lang="cs-CZ" sz="1200" b="1" baseline="0">
                <a:solidFill>
                  <a:schemeClr val="tx1"/>
                </a:solidFill>
                <a:latin typeface="Calibri" panose="020F0502020204030204" pitchFamily="34" charset="0"/>
                <a:ea typeface="Calibri" panose="020F0502020204030204" pitchFamily="34" charset="0"/>
                <a:cs typeface="Calibri" panose="020F0502020204030204" pitchFamily="34" charset="0"/>
              </a:rPr>
              <a:t>–</a:t>
            </a:r>
            <a:r>
              <a:rPr lang="cs-CZ" sz="1200" b="1" baseline="0">
                <a:solidFill>
                  <a:schemeClr val="tx1"/>
                </a:solidFill>
              </a:rPr>
              <a:t> vyhodnocení hospodárnosti projektů</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28263059953926201"/>
          <c:y val="0.12915522187633521"/>
          <c:w val="0.4705570501522614"/>
          <c:h val="0.81727369834584629"/>
        </c:manualLayout>
      </c:layout>
      <c:doughnutChart>
        <c:varyColors val="1"/>
        <c:ser>
          <c:idx val="0"/>
          <c:order val="0"/>
          <c:dPt>
            <c:idx val="0"/>
            <c:bubble3D val="0"/>
            <c:spPr>
              <a:solidFill>
                <a:srgbClr val="185C52"/>
              </a:solidFill>
              <a:ln w="19050">
                <a:noFill/>
              </a:ln>
              <a:effectLst/>
            </c:spPr>
            <c:extLst>
              <c:ext xmlns:c16="http://schemas.microsoft.com/office/drawing/2014/chart" uri="{C3380CC4-5D6E-409C-BE32-E72D297353CC}">
                <c16:uniqueId val="{00000001-A726-4F25-8DAA-76E362F63FB3}"/>
              </c:ext>
            </c:extLst>
          </c:dPt>
          <c:dPt>
            <c:idx val="1"/>
            <c:bubble3D val="0"/>
            <c:spPr>
              <a:solidFill>
                <a:srgbClr val="2EB3A1"/>
              </a:solidFill>
              <a:ln w="19050">
                <a:noFill/>
              </a:ln>
              <a:effectLst/>
            </c:spPr>
            <c:extLst>
              <c:ext xmlns:c16="http://schemas.microsoft.com/office/drawing/2014/chart" uri="{C3380CC4-5D6E-409C-BE32-E72D297353CC}">
                <c16:uniqueId val="{00000003-A726-4F25-8DAA-76E362F63FB3}"/>
              </c:ext>
            </c:extLst>
          </c:dPt>
          <c:dPt>
            <c:idx val="2"/>
            <c:bubble3D val="0"/>
            <c:spPr>
              <a:solidFill>
                <a:srgbClr val="FDC300"/>
              </a:solidFill>
              <a:ln w="19050">
                <a:noFill/>
              </a:ln>
              <a:effectLst/>
            </c:spPr>
            <c:extLst>
              <c:ext xmlns:c16="http://schemas.microsoft.com/office/drawing/2014/chart" uri="{C3380CC4-5D6E-409C-BE32-E72D297353CC}">
                <c16:uniqueId val="{00000005-A726-4F25-8DAA-76E362F63FB3}"/>
              </c:ext>
            </c:extLst>
          </c:dPt>
          <c:dPt>
            <c:idx val="3"/>
            <c:bubble3D val="0"/>
            <c:spPr>
              <a:solidFill>
                <a:srgbClr val="AF1953"/>
              </a:solidFill>
              <a:ln w="19050">
                <a:noFill/>
              </a:ln>
              <a:effectLst/>
            </c:spPr>
            <c:extLst>
              <c:ext xmlns:c16="http://schemas.microsoft.com/office/drawing/2014/chart" uri="{C3380CC4-5D6E-409C-BE32-E72D297353CC}">
                <c16:uniqueId val="{00000007-A726-4F25-8DAA-76E362F63FB3}"/>
              </c:ext>
            </c:extLst>
          </c:dPt>
          <c:dLbls>
            <c:dLbl>
              <c:idx val="0"/>
              <c:layout>
                <c:manualLayout>
                  <c:x val="0.14011991620313516"/>
                  <c:y val="-0.19026319097630939"/>
                </c:manualLayout>
              </c:layout>
              <c:tx>
                <c:rich>
                  <a:bodyPr/>
                  <a:lstStyle/>
                  <a:p>
                    <a:r>
                      <a:rPr lang="en-US"/>
                      <a:t>5 projektů bylo hospodárných</a:t>
                    </a:r>
                  </a:p>
                </c:rich>
              </c:tx>
              <c:showLegendKey val="0"/>
              <c:showVal val="1"/>
              <c:showCatName val="1"/>
              <c:showSerName val="0"/>
              <c:showPercent val="0"/>
              <c:showBubbleSize val="0"/>
              <c:extLst>
                <c:ext xmlns:c15="http://schemas.microsoft.com/office/drawing/2012/chart" uri="{CE6537A1-D6FC-4f65-9D91-7224C49458BB}">
                  <c15:layout>
                    <c:manualLayout>
                      <c:w val="0.28362710395145557"/>
                      <c:h val="0.17531513205261534"/>
                    </c:manualLayout>
                  </c15:layout>
                </c:ext>
                <c:ext xmlns:c16="http://schemas.microsoft.com/office/drawing/2014/chart" uri="{C3380CC4-5D6E-409C-BE32-E72D297353CC}">
                  <c16:uniqueId val="{00000001-A726-4F25-8DAA-76E362F63FB3}"/>
                </c:ext>
              </c:extLst>
            </c:dLbl>
            <c:dLbl>
              <c:idx val="1"/>
              <c:layout>
                <c:manualLayout>
                  <c:x val="0.26963989019721157"/>
                  <c:y val="0.10389227471384654"/>
                </c:manualLayout>
              </c:layout>
              <c:tx>
                <c:rich>
                  <a:bodyPr/>
                  <a:lstStyle/>
                  <a:p>
                    <a:r>
                      <a:rPr lang="en-US"/>
                      <a:t>1 projekt byl hospodárný </a:t>
                    </a:r>
                  </a:p>
                  <a:p>
                    <a:r>
                      <a:rPr lang="en-US"/>
                      <a:t>s mírnými nedostatky</a:t>
                    </a:r>
                  </a:p>
                </c:rich>
              </c:tx>
              <c:showLegendKey val="0"/>
              <c:showVal val="1"/>
              <c:showCatName val="1"/>
              <c:showSerName val="0"/>
              <c:showPercent val="0"/>
              <c:showBubbleSize val="0"/>
              <c:extLst>
                <c:ext xmlns:c15="http://schemas.microsoft.com/office/drawing/2012/chart" uri="{CE6537A1-D6FC-4f65-9D91-7224C49458BB}">
                  <c15:layout>
                    <c:manualLayout>
                      <c:w val="0.26325182402658381"/>
                      <c:h val="0.23695840632402806"/>
                    </c:manualLayout>
                  </c15:layout>
                </c:ext>
                <c:ext xmlns:c16="http://schemas.microsoft.com/office/drawing/2014/chart" uri="{C3380CC4-5D6E-409C-BE32-E72D297353CC}">
                  <c16:uniqueId val="{00000003-A726-4F25-8DAA-76E362F63FB3}"/>
                </c:ext>
              </c:extLst>
            </c:dLbl>
            <c:dLbl>
              <c:idx val="2"/>
              <c:layout>
                <c:manualLayout>
                  <c:x val="-0.16164054034530087"/>
                  <c:y val="0.14813369664060483"/>
                </c:manualLayout>
              </c:layout>
              <c:tx>
                <c:rich>
                  <a:bodyPr/>
                  <a:lstStyle/>
                  <a:p>
                    <a:r>
                      <a:rPr lang="en-US"/>
                      <a:t>2 projekty byly hospodárné jen omezeně</a:t>
                    </a:r>
                  </a:p>
                </c:rich>
              </c:tx>
              <c:showLegendKey val="0"/>
              <c:showVal val="1"/>
              <c:showCatName val="1"/>
              <c:showSerName val="0"/>
              <c:showPercent val="0"/>
              <c:showBubbleSize val="0"/>
              <c:extLst>
                <c:ext xmlns:c15="http://schemas.microsoft.com/office/drawing/2012/chart" uri="{CE6537A1-D6FC-4f65-9D91-7224C49458BB}">
                  <c15:layout>
                    <c:manualLayout>
                      <c:w val="0.285333742685834"/>
                      <c:h val="0.20472538900707077"/>
                    </c:manualLayout>
                  </c15:layout>
                </c:ext>
                <c:ext xmlns:c16="http://schemas.microsoft.com/office/drawing/2014/chart" uri="{C3380CC4-5D6E-409C-BE32-E72D297353CC}">
                  <c16:uniqueId val="{00000005-A726-4F25-8DAA-76E362F63FB3}"/>
                </c:ext>
              </c:extLst>
            </c:dLbl>
            <c:dLbl>
              <c:idx val="3"/>
              <c:layout>
                <c:manualLayout>
                  <c:x val="-0.12166329552842592"/>
                  <c:y val="-0.1625168769723814"/>
                </c:manualLayout>
              </c:layout>
              <c:tx>
                <c:rich>
                  <a:bodyPr/>
                  <a:lstStyle/>
                  <a:p>
                    <a:r>
                      <a:rPr lang="en-US"/>
                      <a:t>4 projekty byly nehospodárné</a:t>
                    </a:r>
                  </a:p>
                </c:rich>
              </c:tx>
              <c:showLegendKey val="0"/>
              <c:showVal val="1"/>
              <c:showCatName val="1"/>
              <c:showSerName val="0"/>
              <c:showPercent val="0"/>
              <c:showBubbleSize val="0"/>
              <c:extLst>
                <c:ext xmlns:c15="http://schemas.microsoft.com/office/drawing/2012/chart" uri="{CE6537A1-D6FC-4f65-9D91-7224C49458BB}">
                  <c15:layout>
                    <c:manualLayout>
                      <c:w val="0.28992089864913673"/>
                      <c:h val="0.13799396265597424"/>
                    </c:manualLayout>
                  </c15:layout>
                </c:ext>
                <c:ext xmlns:c16="http://schemas.microsoft.com/office/drawing/2014/chart" uri="{C3380CC4-5D6E-409C-BE32-E72D297353CC}">
                  <c16:uniqueId val="{00000007-A726-4F25-8DAA-76E362F63FB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'dle KO'!$B$25:$B$28</c:f>
              <c:strCache>
                <c:ptCount val="4"/>
                <c:pt idx="0">
                  <c:v>Projektů bylo hospodárných:</c:v>
                </c:pt>
                <c:pt idx="1">
                  <c:v>Projekt byl hospodárný s mírnými nedostatky:</c:v>
                </c:pt>
                <c:pt idx="2">
                  <c:v>Projekt byl hospodárný jen omezeně:</c:v>
                </c:pt>
                <c:pt idx="3">
                  <c:v>Projekt byl nehospodárný:</c:v>
                </c:pt>
              </c:strCache>
            </c:strRef>
          </c:cat>
          <c:val>
            <c:numRef>
              <c:f>'dle KO'!$C$25:$C$28</c:f>
              <c:numCache>
                <c:formatCode>General</c:formatCode>
                <c:ptCount val="4"/>
                <c:pt idx="0">
                  <c:v>5</c:v>
                </c:pt>
                <c:pt idx="1">
                  <c:v>1</c:v>
                </c:pt>
                <c:pt idx="2">
                  <c:v>2</c:v>
                </c:pt>
                <c:pt idx="3">
                  <c:v>4</c:v>
                </c:pt>
              </c:numCache>
            </c:numRef>
          </c:val>
          <c:extLst>
            <c:ext xmlns:c16="http://schemas.microsoft.com/office/drawing/2014/chart" uri="{C3380CC4-5D6E-409C-BE32-E72D297353CC}">
              <c16:uniqueId val="{00000008-A726-4F25-8DAA-76E362F63FB3}"/>
            </c:ext>
          </c:extLst>
        </c:ser>
        <c:dLbls>
          <c:showLegendKey val="0"/>
          <c:showVal val="0"/>
          <c:showCatName val="0"/>
          <c:showSerName val="0"/>
          <c:showPercent val="0"/>
          <c:showBubbleSize val="0"/>
          <c:showLeaderLines val="0"/>
        </c:dLbls>
        <c:firstSliceAng val="0"/>
        <c:holeSize val="6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D9396-E6A0-4C49-910A-6D68C9EA2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40</Pages>
  <Words>12194</Words>
  <Characters>71950</Characters>
  <Application>Microsoft Office Word</Application>
  <DocSecurity>0</DocSecurity>
  <Lines>599</Lines>
  <Paragraphs>167</Paragraphs>
  <ScaleCrop>false</ScaleCrop>
  <HeadingPairs>
    <vt:vector size="2" baseType="variant">
      <vt:variant>
        <vt:lpstr>Název</vt:lpstr>
      </vt:variant>
      <vt:variant>
        <vt:i4>1</vt:i4>
      </vt:variant>
    </vt:vector>
  </HeadingPairs>
  <TitlesOfParts>
    <vt:vector size="1" baseType="lpstr">
      <vt:lpstr>Kontrolní závěr z kontrolní akce NKÚ č. 24/01 - Peněžní prostředky státu a Evropské unie určené na výstavbu a rekonstrukce komunikací pro pěší</vt:lpstr>
    </vt:vector>
  </TitlesOfParts>
  <Company>NKÚ</Company>
  <LinksUpToDate>false</LinksUpToDate>
  <CharactersWithSpaces>83977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Kontrolní závěr z kontrolní akce NKÚ č. 24/01 - Peněžní prostředky státu a Evropské unie určené na výstavbu a rekonstrukce komunikací pro pěší</dc:title>
  <dc:subject>Kontrolní závěr z kontrolní akce NKÚ č. 24/01 - Peněžní prostředky státu a Evropské unie určené na výstavbu a rekonstrukce komunikací pro pěší</dc:subject>
  <dc:creator>Nejvyšší kontrolní úřad</dc:creator>
  <cp:keywords>kontrolní závěr; komunikace pro pěší; chodníky; stezky</cp:keywords>
  <dc:description/>
  <cp:lastModifiedBy>KOKRDA Daniel</cp:lastModifiedBy>
  <cp:revision>5</cp:revision>
  <cp:lastPrinted>2024-11-25T10:07:00Z</cp:lastPrinted>
  <dcterms:created xsi:type="dcterms:W3CDTF">2024-11-26T12:53:00Z</dcterms:created>
  <dcterms:modified xsi:type="dcterms:W3CDTF">2024-12-10T08:36:00Z</dcterms:modified>
</cp:coreProperties>
</file>