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7159A" w14:textId="5A289EE2" w:rsidR="00974FA2" w:rsidRPr="00B903E3" w:rsidRDefault="00974FA2" w:rsidP="00AF282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903E3">
        <w:rPr>
          <w:rFonts w:ascii="Calibri" w:hAnsi="Calibri" w:cs="Calibri"/>
          <w:noProof/>
        </w:rPr>
        <w:drawing>
          <wp:anchor distT="0" distB="0" distL="114300" distR="114300" simplePos="0" relativeHeight="251663360" behindDoc="0" locked="0" layoutInCell="1" allowOverlap="1" wp14:anchorId="636423C8" wp14:editId="0BF71E20">
            <wp:simplePos x="0" y="0"/>
            <wp:positionH relativeFrom="column">
              <wp:posOffset>2529205</wp:posOffset>
            </wp:positionH>
            <wp:positionV relativeFrom="paragraph">
              <wp:posOffset>1158</wp:posOffset>
            </wp:positionV>
            <wp:extent cx="702860" cy="572417"/>
            <wp:effectExtent l="0" t="0" r="2540" b="0"/>
            <wp:wrapTopAndBottom/>
            <wp:docPr id="3" name="Obrázek 1" descr="Obsah obrázku logo, Grafika, Písmo, symbol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Obsah obrázku logo, Grafika, Písmo, symbol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60" cy="57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951AE" w14:textId="77777777" w:rsidR="00E71E76" w:rsidRDefault="00E71E76" w:rsidP="00AF282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3D25475" w14:textId="77777777" w:rsidR="004B0867" w:rsidRPr="00B903E3" w:rsidRDefault="004B0867" w:rsidP="00AF282D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54E15C4" w14:textId="04440182" w:rsidR="00E600C2" w:rsidRPr="00B903E3" w:rsidRDefault="00E600C2" w:rsidP="00AF282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903E3">
        <w:rPr>
          <w:rFonts w:ascii="Calibri" w:hAnsi="Calibri" w:cs="Calibri"/>
          <w:b/>
          <w:bCs/>
          <w:sz w:val="28"/>
          <w:szCs w:val="28"/>
        </w:rPr>
        <w:t>Kontrolní závěr z kontrolní akce</w:t>
      </w:r>
    </w:p>
    <w:p w14:paraId="1A9CDD20" w14:textId="224B62EE" w:rsidR="00E600C2" w:rsidRPr="00B903E3" w:rsidRDefault="00E600C2" w:rsidP="002A4CB5">
      <w:pPr>
        <w:tabs>
          <w:tab w:val="left" w:pos="7200"/>
        </w:tabs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9ACFFA9" w14:textId="521AB2E6" w:rsidR="00E600C2" w:rsidRPr="00B903E3" w:rsidRDefault="00E600C2" w:rsidP="00AF282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903E3">
        <w:rPr>
          <w:rFonts w:ascii="Calibri" w:hAnsi="Calibri" w:cs="Calibri"/>
          <w:b/>
          <w:bCs/>
          <w:sz w:val="28"/>
          <w:szCs w:val="28"/>
        </w:rPr>
        <w:t>24/15</w:t>
      </w:r>
    </w:p>
    <w:p w14:paraId="1A588CB5" w14:textId="77777777" w:rsidR="00E600C2" w:rsidRPr="00B903E3" w:rsidRDefault="00E600C2" w:rsidP="00AF282D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8C5620" w14:textId="7EC4E92B" w:rsidR="00E600C2" w:rsidRPr="00B903E3" w:rsidRDefault="00E600C2" w:rsidP="00AF282D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B903E3">
        <w:rPr>
          <w:rFonts w:ascii="Calibri" w:hAnsi="Calibri" w:cs="Calibri"/>
          <w:b/>
          <w:bCs/>
          <w:sz w:val="28"/>
          <w:szCs w:val="28"/>
        </w:rPr>
        <w:t xml:space="preserve">Majetek a peněžní prostředky, se kterými je příslušný hospodařit </w:t>
      </w:r>
      <w:r w:rsidR="004B0867">
        <w:rPr>
          <w:rFonts w:ascii="Calibri" w:hAnsi="Calibri" w:cs="Calibri"/>
          <w:b/>
          <w:bCs/>
          <w:sz w:val="28"/>
          <w:szCs w:val="28"/>
        </w:rPr>
        <w:br/>
      </w:r>
      <w:r w:rsidRPr="00B903E3">
        <w:rPr>
          <w:rFonts w:ascii="Calibri" w:hAnsi="Calibri" w:cs="Calibri"/>
          <w:b/>
          <w:bCs/>
          <w:sz w:val="28"/>
          <w:szCs w:val="28"/>
        </w:rPr>
        <w:t>Energetický regulační úřad</w:t>
      </w:r>
    </w:p>
    <w:p w14:paraId="021B72CD" w14:textId="77777777" w:rsidR="00E600C2" w:rsidRPr="00B903E3" w:rsidRDefault="00E600C2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1F81FE" w14:textId="77777777" w:rsidR="00E600C2" w:rsidRPr="00B903E3" w:rsidRDefault="00E600C2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2BFBD" w14:textId="77777777" w:rsidR="0086275A" w:rsidRPr="00B903E3" w:rsidRDefault="0086275A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B68576" w14:textId="37B0D1B0" w:rsidR="00E600C2" w:rsidRPr="00B903E3" w:rsidRDefault="00E600C2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903E3">
        <w:rPr>
          <w:rFonts w:ascii="Calibri" w:hAnsi="Calibri" w:cs="Calibri"/>
          <w:sz w:val="24"/>
          <w:szCs w:val="24"/>
        </w:rPr>
        <w:t>Kontrolní akce byla zařazena do plánu kontrolní činnosti Nejvyššího kontrolního úřadu (dále také „NKÚ“) na rok 2024 pod číslem 24/15. Kontrolní akci řídil a kontrolní závěr vypracoval člen</w:t>
      </w:r>
      <w:r w:rsidR="004B0867">
        <w:rPr>
          <w:rFonts w:ascii="Calibri" w:hAnsi="Calibri" w:cs="Calibri"/>
          <w:sz w:val="24"/>
          <w:szCs w:val="24"/>
        </w:rPr>
        <w:t> </w:t>
      </w:r>
      <w:r w:rsidRPr="00B903E3">
        <w:rPr>
          <w:rFonts w:ascii="Calibri" w:hAnsi="Calibri" w:cs="Calibri"/>
          <w:sz w:val="24"/>
          <w:szCs w:val="24"/>
        </w:rPr>
        <w:t>NKÚ Ing.</w:t>
      </w:r>
      <w:r w:rsidR="004B0867">
        <w:rPr>
          <w:rFonts w:ascii="Calibri" w:hAnsi="Calibri" w:cs="Calibri"/>
          <w:sz w:val="24"/>
          <w:szCs w:val="24"/>
        </w:rPr>
        <w:t> </w:t>
      </w:r>
      <w:r w:rsidRPr="00B903E3">
        <w:rPr>
          <w:rFonts w:ascii="Calibri" w:hAnsi="Calibri" w:cs="Calibri"/>
          <w:sz w:val="24"/>
          <w:szCs w:val="24"/>
        </w:rPr>
        <w:t xml:space="preserve">Michal </w:t>
      </w:r>
      <w:proofErr w:type="spellStart"/>
      <w:r w:rsidRPr="00B903E3">
        <w:rPr>
          <w:rFonts w:ascii="Calibri" w:hAnsi="Calibri" w:cs="Calibri"/>
          <w:sz w:val="24"/>
          <w:szCs w:val="24"/>
        </w:rPr>
        <w:t>Šmucr</w:t>
      </w:r>
      <w:proofErr w:type="spellEnd"/>
      <w:r w:rsidRPr="00B903E3">
        <w:rPr>
          <w:rFonts w:ascii="Calibri" w:hAnsi="Calibri" w:cs="Calibri"/>
          <w:sz w:val="24"/>
          <w:szCs w:val="24"/>
        </w:rPr>
        <w:t>.</w:t>
      </w:r>
    </w:p>
    <w:p w14:paraId="738E4375" w14:textId="77777777" w:rsidR="00E600C2" w:rsidRPr="00B903E3" w:rsidRDefault="00E600C2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67C7182" w14:textId="77777777" w:rsidR="00DA1FEE" w:rsidRPr="00B903E3" w:rsidRDefault="00DA1FEE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1FB949" w14:textId="57BC6D21" w:rsidR="0086275A" w:rsidRPr="00B903E3" w:rsidRDefault="00E600C2" w:rsidP="00AF282D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B903E3">
        <w:rPr>
          <w:rFonts w:ascii="Calibri" w:hAnsi="Calibri" w:cs="Calibri"/>
          <w:sz w:val="24"/>
          <w:szCs w:val="24"/>
        </w:rPr>
        <w:t xml:space="preserve">Cílem kontroly bylo prověřit, zda </w:t>
      </w:r>
      <w:r w:rsidR="0086275A" w:rsidRPr="00B903E3">
        <w:rPr>
          <w:rFonts w:ascii="Calibri" w:hAnsi="Calibri" w:cs="Calibri"/>
          <w:bCs/>
          <w:iCs/>
          <w:sz w:val="24"/>
          <w:szCs w:val="24"/>
        </w:rPr>
        <w:t>Energetický regulační úřad hospodařil s</w:t>
      </w:r>
      <w:r w:rsidR="00E71E76" w:rsidRPr="00B903E3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86275A" w:rsidRPr="00B903E3">
        <w:rPr>
          <w:rFonts w:ascii="Calibri" w:hAnsi="Calibri" w:cs="Calibri"/>
          <w:bCs/>
          <w:iCs/>
          <w:sz w:val="24"/>
          <w:szCs w:val="24"/>
        </w:rPr>
        <w:t>majetkem a</w:t>
      </w:r>
      <w:r w:rsidR="00E71E76" w:rsidRPr="00B903E3">
        <w:rPr>
          <w:rFonts w:ascii="Calibri" w:hAnsi="Calibri" w:cs="Calibri"/>
          <w:bCs/>
          <w:iCs/>
          <w:sz w:val="24"/>
          <w:szCs w:val="24"/>
        </w:rPr>
        <w:t> </w:t>
      </w:r>
      <w:r w:rsidR="0086275A" w:rsidRPr="00B903E3">
        <w:rPr>
          <w:rFonts w:ascii="Calibri" w:hAnsi="Calibri" w:cs="Calibri"/>
          <w:bCs/>
          <w:iCs/>
          <w:sz w:val="24"/>
          <w:szCs w:val="24"/>
        </w:rPr>
        <w:t>peněžními prostředky účelně, hospodárně a v souladu s právními předpisy.</w:t>
      </w:r>
    </w:p>
    <w:p w14:paraId="232218AE" w14:textId="77777777" w:rsidR="0086275A" w:rsidRPr="00B903E3" w:rsidRDefault="0086275A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40DDDF" w14:textId="77777777" w:rsidR="00DA1FEE" w:rsidRPr="00B903E3" w:rsidRDefault="00DA1FEE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7C07276" w14:textId="3EFEFC8F" w:rsidR="00E71E76" w:rsidRPr="00B903E3" w:rsidRDefault="00E71E76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903E3">
        <w:rPr>
          <w:rFonts w:ascii="Calibri" w:hAnsi="Calibri" w:cs="Calibri"/>
          <w:sz w:val="24"/>
          <w:szCs w:val="24"/>
        </w:rPr>
        <w:t>Kontrolovaným obdobím byly roky 2019 až 2022, v případě věcných souvislostí i období předcházející či následující.</w:t>
      </w:r>
    </w:p>
    <w:p w14:paraId="7CF3D87A" w14:textId="77777777" w:rsidR="00E71E76" w:rsidRPr="00B903E3" w:rsidRDefault="00E71E76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C4C8B1" w14:textId="77777777" w:rsidR="00E71E76" w:rsidRPr="00B903E3" w:rsidRDefault="00E71E76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53F841" w14:textId="77777777" w:rsidR="00E71E76" w:rsidRPr="00B903E3" w:rsidRDefault="00E71E76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903E3">
        <w:rPr>
          <w:rFonts w:ascii="Calibri" w:hAnsi="Calibri" w:cs="Calibri"/>
          <w:sz w:val="24"/>
          <w:szCs w:val="24"/>
        </w:rPr>
        <w:t>Kontrola byla prováděna u kontrolované osoby v době od července 2024 do ledna 2025.</w:t>
      </w:r>
    </w:p>
    <w:p w14:paraId="635DD451" w14:textId="77777777" w:rsidR="00E71E76" w:rsidRPr="00B903E3" w:rsidRDefault="00E71E76" w:rsidP="00AF282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28315DD" w14:textId="77777777" w:rsidR="00E71E76" w:rsidRPr="00B903E3" w:rsidRDefault="00E71E76" w:rsidP="00AF282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80739C8" w14:textId="21A71952" w:rsidR="0086275A" w:rsidRPr="00B903E3" w:rsidRDefault="00E600C2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903E3">
        <w:rPr>
          <w:rFonts w:ascii="Calibri" w:hAnsi="Calibri" w:cs="Calibri"/>
          <w:b/>
          <w:bCs/>
          <w:sz w:val="24"/>
          <w:szCs w:val="24"/>
        </w:rPr>
        <w:t>Kontrolovan</w:t>
      </w:r>
      <w:r w:rsidR="0086275A" w:rsidRPr="00B903E3">
        <w:rPr>
          <w:rFonts w:ascii="Calibri" w:hAnsi="Calibri" w:cs="Calibri"/>
          <w:b/>
          <w:bCs/>
          <w:sz w:val="24"/>
          <w:szCs w:val="24"/>
        </w:rPr>
        <w:t>á</w:t>
      </w:r>
      <w:r w:rsidRPr="00B903E3">
        <w:rPr>
          <w:rFonts w:ascii="Calibri" w:hAnsi="Calibri" w:cs="Calibri"/>
          <w:b/>
          <w:bCs/>
          <w:sz w:val="24"/>
          <w:szCs w:val="24"/>
        </w:rPr>
        <w:t xml:space="preserve"> osob</w:t>
      </w:r>
      <w:r w:rsidR="0086275A" w:rsidRPr="00B903E3">
        <w:rPr>
          <w:rFonts w:ascii="Calibri" w:hAnsi="Calibri" w:cs="Calibri"/>
          <w:b/>
          <w:bCs/>
          <w:sz w:val="24"/>
          <w:szCs w:val="24"/>
        </w:rPr>
        <w:t>a</w:t>
      </w:r>
      <w:r w:rsidRPr="00B903E3">
        <w:rPr>
          <w:rFonts w:ascii="Calibri" w:hAnsi="Calibri" w:cs="Calibri"/>
          <w:sz w:val="24"/>
          <w:szCs w:val="24"/>
        </w:rPr>
        <w:t>:</w:t>
      </w:r>
    </w:p>
    <w:p w14:paraId="4C043C31" w14:textId="15128319" w:rsidR="0086275A" w:rsidRPr="00B903E3" w:rsidRDefault="0086275A" w:rsidP="00AF282D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B903E3">
        <w:rPr>
          <w:rFonts w:ascii="Calibri" w:hAnsi="Calibri" w:cs="Calibri"/>
          <w:bCs/>
          <w:iCs/>
          <w:sz w:val="24"/>
          <w:szCs w:val="24"/>
        </w:rPr>
        <w:t>Energetický regulační úřad</w:t>
      </w:r>
      <w:r w:rsidR="00BC7F18">
        <w:rPr>
          <w:rFonts w:ascii="Calibri" w:hAnsi="Calibri" w:cs="Calibri"/>
          <w:bCs/>
          <w:iCs/>
          <w:sz w:val="24"/>
          <w:szCs w:val="24"/>
        </w:rPr>
        <w:t>, Jihlava</w:t>
      </w:r>
      <w:r w:rsidR="00E35968" w:rsidRPr="00B903E3">
        <w:rPr>
          <w:rFonts w:ascii="Calibri" w:hAnsi="Calibri" w:cs="Calibri"/>
          <w:bCs/>
          <w:iCs/>
          <w:sz w:val="24"/>
          <w:szCs w:val="24"/>
        </w:rPr>
        <w:t xml:space="preserve"> (dále také „ERÚ“)</w:t>
      </w:r>
      <w:r w:rsidR="005C3FD4">
        <w:rPr>
          <w:rFonts w:ascii="Calibri" w:hAnsi="Calibri" w:cs="Calibri"/>
          <w:bCs/>
          <w:iCs/>
          <w:sz w:val="24"/>
          <w:szCs w:val="24"/>
        </w:rPr>
        <w:t>.</w:t>
      </w:r>
    </w:p>
    <w:p w14:paraId="0703CFDD" w14:textId="77777777" w:rsidR="0086275A" w:rsidRPr="00B903E3" w:rsidRDefault="0086275A" w:rsidP="00AF282D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5CB25251" w14:textId="77777777" w:rsidR="00DA1FEE" w:rsidRPr="00B903E3" w:rsidRDefault="00DA1FEE" w:rsidP="00AF282D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0D3B35C2" w14:textId="77777777" w:rsidR="0086275A" w:rsidRPr="00B903E3" w:rsidRDefault="0086275A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4264B4C" w14:textId="77777777" w:rsidR="0086275A" w:rsidRPr="00B903E3" w:rsidRDefault="0086275A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CC5796" w14:textId="77777777" w:rsidR="0086275A" w:rsidRPr="00B903E3" w:rsidRDefault="0086275A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3673739" w14:textId="317C16D5" w:rsidR="0086275A" w:rsidRPr="00AF629F" w:rsidRDefault="00E600C2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F629F">
        <w:rPr>
          <w:rFonts w:ascii="Calibri" w:hAnsi="Calibri" w:cs="Calibri"/>
          <w:b/>
          <w:bCs/>
          <w:i/>
          <w:iCs/>
          <w:sz w:val="24"/>
          <w:szCs w:val="24"/>
        </w:rPr>
        <w:t xml:space="preserve">K o l e g i u m </w:t>
      </w:r>
      <w:r w:rsidR="001E4B4B" w:rsidRPr="00AF629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E71E76" w:rsidRPr="00AF629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AF629F">
        <w:rPr>
          <w:rFonts w:ascii="Calibri" w:hAnsi="Calibri" w:cs="Calibri"/>
          <w:b/>
          <w:bCs/>
          <w:i/>
          <w:iCs/>
          <w:sz w:val="24"/>
          <w:szCs w:val="24"/>
        </w:rPr>
        <w:t>N K Ú</w:t>
      </w:r>
      <w:r w:rsidRPr="00AF629F">
        <w:rPr>
          <w:rFonts w:ascii="Calibri" w:hAnsi="Calibri" w:cs="Calibri"/>
          <w:sz w:val="24"/>
          <w:szCs w:val="24"/>
        </w:rPr>
        <w:t xml:space="preserve"> </w:t>
      </w:r>
      <w:r w:rsidR="00E71E76" w:rsidRPr="00AF629F">
        <w:rPr>
          <w:rFonts w:ascii="Calibri" w:hAnsi="Calibri" w:cs="Calibri"/>
          <w:sz w:val="24"/>
          <w:szCs w:val="24"/>
        </w:rPr>
        <w:t xml:space="preserve"> </w:t>
      </w:r>
      <w:r w:rsidR="001E4B4B" w:rsidRPr="00AF629F">
        <w:rPr>
          <w:rFonts w:ascii="Calibri" w:hAnsi="Calibri" w:cs="Calibri"/>
          <w:sz w:val="24"/>
          <w:szCs w:val="24"/>
        </w:rPr>
        <w:t xml:space="preserve"> </w:t>
      </w:r>
      <w:r w:rsidRPr="00AF629F">
        <w:rPr>
          <w:rFonts w:ascii="Calibri" w:hAnsi="Calibri" w:cs="Calibri"/>
          <w:sz w:val="24"/>
          <w:szCs w:val="24"/>
        </w:rPr>
        <w:t xml:space="preserve">na svém </w:t>
      </w:r>
      <w:r w:rsidR="00AF629F" w:rsidRPr="00AF629F">
        <w:rPr>
          <w:rFonts w:ascii="Calibri" w:hAnsi="Calibri" w:cs="Calibri"/>
          <w:sz w:val="24"/>
          <w:szCs w:val="24"/>
        </w:rPr>
        <w:t>VII</w:t>
      </w:r>
      <w:r w:rsidRPr="00AF629F">
        <w:rPr>
          <w:rFonts w:ascii="Calibri" w:hAnsi="Calibri" w:cs="Calibri"/>
          <w:sz w:val="24"/>
          <w:szCs w:val="24"/>
        </w:rPr>
        <w:t xml:space="preserve">. jednání, které se konalo dne </w:t>
      </w:r>
      <w:r w:rsidR="00AF629F" w:rsidRPr="00AF629F">
        <w:rPr>
          <w:rFonts w:ascii="Calibri" w:hAnsi="Calibri" w:cs="Calibri"/>
          <w:sz w:val="24"/>
          <w:szCs w:val="24"/>
        </w:rPr>
        <w:t>19</w:t>
      </w:r>
      <w:r w:rsidR="001E4B4B" w:rsidRPr="00AF629F">
        <w:rPr>
          <w:rFonts w:ascii="Calibri" w:hAnsi="Calibri" w:cs="Calibri"/>
          <w:sz w:val="24"/>
          <w:szCs w:val="24"/>
        </w:rPr>
        <w:t xml:space="preserve">. </w:t>
      </w:r>
      <w:r w:rsidR="00AF629F" w:rsidRPr="00AF629F">
        <w:rPr>
          <w:rFonts w:ascii="Calibri" w:hAnsi="Calibri" w:cs="Calibri"/>
          <w:sz w:val="24"/>
          <w:szCs w:val="24"/>
        </w:rPr>
        <w:t>května</w:t>
      </w:r>
      <w:r w:rsidRPr="00AF629F">
        <w:rPr>
          <w:rFonts w:ascii="Calibri" w:hAnsi="Calibri" w:cs="Calibri"/>
          <w:sz w:val="24"/>
          <w:szCs w:val="24"/>
        </w:rPr>
        <w:t xml:space="preserve"> 202</w:t>
      </w:r>
      <w:r w:rsidR="00134FF2" w:rsidRPr="00AF629F">
        <w:rPr>
          <w:rFonts w:ascii="Calibri" w:hAnsi="Calibri" w:cs="Calibri"/>
          <w:sz w:val="24"/>
          <w:szCs w:val="24"/>
        </w:rPr>
        <w:t>5</w:t>
      </w:r>
      <w:r w:rsidRPr="00AF629F">
        <w:rPr>
          <w:rFonts w:ascii="Calibri" w:hAnsi="Calibri" w:cs="Calibri"/>
          <w:sz w:val="24"/>
          <w:szCs w:val="24"/>
        </w:rPr>
        <w:t>,</w:t>
      </w:r>
    </w:p>
    <w:p w14:paraId="583EC5B4" w14:textId="77777777" w:rsidR="0086275A" w:rsidRPr="00AF629F" w:rsidRDefault="0086275A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865AAF" w14:textId="1E3D6B41" w:rsidR="0086275A" w:rsidRPr="00AF629F" w:rsidRDefault="00E600C2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F629F">
        <w:rPr>
          <w:rFonts w:ascii="Calibri" w:hAnsi="Calibri" w:cs="Calibri"/>
          <w:b/>
          <w:bCs/>
          <w:i/>
          <w:iCs/>
          <w:sz w:val="24"/>
          <w:szCs w:val="24"/>
        </w:rPr>
        <w:t>s c h v á l i l o</w:t>
      </w:r>
      <w:r w:rsidRPr="00AF629F">
        <w:rPr>
          <w:rFonts w:ascii="Calibri" w:hAnsi="Calibri" w:cs="Calibri"/>
          <w:sz w:val="24"/>
          <w:szCs w:val="24"/>
        </w:rPr>
        <w:t xml:space="preserve"> </w:t>
      </w:r>
      <w:r w:rsidR="001E4B4B" w:rsidRPr="00AF629F">
        <w:rPr>
          <w:rFonts w:ascii="Calibri" w:hAnsi="Calibri" w:cs="Calibri"/>
          <w:sz w:val="24"/>
          <w:szCs w:val="24"/>
        </w:rPr>
        <w:t xml:space="preserve"> </w:t>
      </w:r>
      <w:r w:rsidR="00E71E76" w:rsidRPr="00AF629F">
        <w:rPr>
          <w:rFonts w:ascii="Calibri" w:hAnsi="Calibri" w:cs="Calibri"/>
          <w:sz w:val="24"/>
          <w:szCs w:val="24"/>
        </w:rPr>
        <w:t xml:space="preserve"> </w:t>
      </w:r>
      <w:r w:rsidRPr="00AF629F">
        <w:rPr>
          <w:rFonts w:ascii="Calibri" w:hAnsi="Calibri" w:cs="Calibri"/>
          <w:sz w:val="24"/>
          <w:szCs w:val="24"/>
        </w:rPr>
        <w:t xml:space="preserve">usnesením č. </w:t>
      </w:r>
      <w:r w:rsidR="0025057A">
        <w:rPr>
          <w:rFonts w:ascii="Calibri" w:hAnsi="Calibri" w:cs="Calibri"/>
          <w:sz w:val="24"/>
          <w:szCs w:val="24"/>
        </w:rPr>
        <w:t>9</w:t>
      </w:r>
      <w:r w:rsidR="00AF629F" w:rsidRPr="00AF629F">
        <w:rPr>
          <w:rFonts w:ascii="Calibri" w:hAnsi="Calibri" w:cs="Calibri"/>
          <w:sz w:val="24"/>
          <w:szCs w:val="24"/>
        </w:rPr>
        <w:t>/VII/2025</w:t>
      </w:r>
    </w:p>
    <w:p w14:paraId="2468E3B4" w14:textId="77777777" w:rsidR="0086275A" w:rsidRPr="00AF629F" w:rsidRDefault="0086275A" w:rsidP="00AF282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86FB83" w14:textId="411F0BDE" w:rsidR="00990708" w:rsidRPr="00B903E3" w:rsidRDefault="00E600C2" w:rsidP="00AF282D">
      <w:pPr>
        <w:spacing w:after="0" w:line="240" w:lineRule="auto"/>
        <w:jc w:val="both"/>
        <w:rPr>
          <w:rStyle w:val="Siln"/>
          <w:rFonts w:ascii="Calibri" w:hAnsi="Calibri" w:cs="Calibri"/>
          <w:b w:val="0"/>
          <w:bCs w:val="0"/>
          <w:sz w:val="24"/>
          <w:szCs w:val="24"/>
        </w:rPr>
      </w:pPr>
      <w:r w:rsidRPr="00AF629F">
        <w:rPr>
          <w:rFonts w:ascii="Calibri" w:hAnsi="Calibri" w:cs="Calibri"/>
          <w:b/>
          <w:bCs/>
          <w:i/>
          <w:iCs/>
          <w:sz w:val="24"/>
          <w:szCs w:val="24"/>
        </w:rPr>
        <w:t>k o n t r o l n í</w:t>
      </w:r>
      <w:r w:rsidR="00E71E76" w:rsidRPr="00AF629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AF629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1E4B4B" w:rsidRPr="00AF629F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AF629F">
        <w:rPr>
          <w:rFonts w:ascii="Calibri" w:hAnsi="Calibri" w:cs="Calibri"/>
          <w:b/>
          <w:bCs/>
          <w:i/>
          <w:iCs/>
          <w:sz w:val="24"/>
          <w:szCs w:val="24"/>
        </w:rPr>
        <w:t>z á v ě r</w:t>
      </w:r>
      <w:r w:rsidRPr="00AF629F">
        <w:rPr>
          <w:rFonts w:ascii="Calibri" w:hAnsi="Calibri" w:cs="Calibri"/>
          <w:sz w:val="24"/>
          <w:szCs w:val="24"/>
        </w:rPr>
        <w:t xml:space="preserve"> </w:t>
      </w:r>
      <w:r w:rsidR="00E71E76" w:rsidRPr="00AF629F">
        <w:rPr>
          <w:rFonts w:ascii="Calibri" w:hAnsi="Calibri" w:cs="Calibri"/>
          <w:sz w:val="24"/>
          <w:szCs w:val="24"/>
        </w:rPr>
        <w:t xml:space="preserve"> </w:t>
      </w:r>
      <w:r w:rsidR="001E4B4B" w:rsidRPr="00AF629F">
        <w:rPr>
          <w:rFonts w:ascii="Calibri" w:hAnsi="Calibri" w:cs="Calibri"/>
          <w:sz w:val="24"/>
          <w:szCs w:val="24"/>
        </w:rPr>
        <w:t xml:space="preserve"> </w:t>
      </w:r>
      <w:r w:rsidRPr="00AF629F">
        <w:rPr>
          <w:rFonts w:ascii="Calibri" w:hAnsi="Calibri" w:cs="Calibri"/>
          <w:sz w:val="24"/>
          <w:szCs w:val="24"/>
        </w:rPr>
        <w:t>v tomto znění:</w:t>
      </w:r>
    </w:p>
    <w:p w14:paraId="2652B7A3" w14:textId="77777777" w:rsidR="00990708" w:rsidRPr="00B903E3" w:rsidRDefault="00990708" w:rsidP="00AF282D">
      <w:pPr>
        <w:spacing w:after="0" w:line="240" w:lineRule="auto"/>
        <w:jc w:val="both"/>
        <w:rPr>
          <w:rStyle w:val="Siln"/>
          <w:rFonts w:ascii="Calibri" w:hAnsi="Calibri" w:cs="Calibri"/>
          <w:b w:val="0"/>
          <w:bCs w:val="0"/>
          <w:sz w:val="24"/>
          <w:szCs w:val="24"/>
        </w:rPr>
      </w:pPr>
    </w:p>
    <w:p w14:paraId="156B6F3B" w14:textId="77777777" w:rsidR="002A4CB5" w:rsidRDefault="002A4CB5">
      <w:pPr>
        <w:rPr>
          <w:rStyle w:val="Siln"/>
          <w:rFonts w:ascii="Calibri" w:hAnsi="Calibri" w:cs="Calibri"/>
          <w:sz w:val="28"/>
          <w:szCs w:val="40"/>
        </w:rPr>
      </w:pPr>
      <w:r>
        <w:rPr>
          <w:rStyle w:val="Siln"/>
          <w:rFonts w:ascii="Calibri" w:hAnsi="Calibri" w:cs="Calibri"/>
          <w:sz w:val="28"/>
          <w:szCs w:val="40"/>
        </w:rPr>
        <w:br w:type="page"/>
      </w:r>
    </w:p>
    <w:p w14:paraId="0D72A1B2" w14:textId="5F172175" w:rsidR="00350E8E" w:rsidRPr="00DA243D" w:rsidRDefault="00350E8E" w:rsidP="00045FF7">
      <w:pPr>
        <w:spacing w:after="120" w:line="240" w:lineRule="auto"/>
        <w:jc w:val="center"/>
        <w:rPr>
          <w:rStyle w:val="Siln"/>
          <w:rFonts w:ascii="Calibri" w:hAnsi="Calibri" w:cs="Calibri"/>
          <w:sz w:val="28"/>
          <w:szCs w:val="40"/>
        </w:rPr>
      </w:pPr>
      <w:r w:rsidRPr="00DA243D">
        <w:rPr>
          <w:rStyle w:val="Siln"/>
          <w:rFonts w:ascii="Calibri" w:hAnsi="Calibri" w:cs="Calibri"/>
          <w:sz w:val="28"/>
          <w:szCs w:val="40"/>
        </w:rPr>
        <w:lastRenderedPageBreak/>
        <w:t xml:space="preserve">Energetický regulační úřad </w:t>
      </w:r>
    </w:p>
    <w:p w14:paraId="01B1CEE8" w14:textId="77777777" w:rsidR="00350E8E" w:rsidRPr="00DA243D" w:rsidRDefault="00350E8E" w:rsidP="00045FF7">
      <w:pPr>
        <w:pStyle w:val="Nadpis2"/>
        <w:spacing w:line="240" w:lineRule="auto"/>
      </w:pPr>
    </w:p>
    <w:p w14:paraId="1D5B5853" w14:textId="77777777" w:rsidR="00350E8E" w:rsidRPr="00DA49C3" w:rsidRDefault="00350E8E" w:rsidP="00045FF7">
      <w:pPr>
        <w:tabs>
          <w:tab w:val="left" w:pos="1115"/>
        </w:tabs>
        <w:spacing w:line="240" w:lineRule="auto"/>
        <w:ind w:left="1416" w:hanging="1416"/>
        <w:jc w:val="center"/>
        <w:rPr>
          <w:rFonts w:ascii="Calibri" w:hAnsi="Calibri" w:cs="Calibri"/>
          <w:caps/>
        </w:rPr>
      </w:pPr>
      <w:r w:rsidRPr="00DA49C3">
        <w:rPr>
          <w:rFonts w:ascii="Calibri" w:hAnsi="Calibri" w:cs="Calibri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4609" wp14:editId="1B80C30E">
                <wp:simplePos x="0" y="0"/>
                <wp:positionH relativeFrom="column">
                  <wp:posOffset>-29845</wp:posOffset>
                </wp:positionH>
                <wp:positionV relativeFrom="paragraph">
                  <wp:posOffset>92710</wp:posOffset>
                </wp:positionV>
                <wp:extent cx="230505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0694B" id="Přímá spojnic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7.3pt" to="179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Pr="00DA49C3">
        <w:rPr>
          <w:rFonts w:ascii="Calibri" w:hAnsi="Calibri" w:cs="Calibri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7A643" wp14:editId="47421854">
                <wp:simplePos x="0" y="0"/>
                <wp:positionH relativeFrom="margin">
                  <wp:posOffset>3435350</wp:posOffset>
                </wp:positionH>
                <wp:positionV relativeFrom="paragraph">
                  <wp:posOffset>106045</wp:posOffset>
                </wp:positionV>
                <wp:extent cx="230505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57C60" id="Přímá spojnic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0.5pt,8.35pt" to="45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caps/>
        </w:rPr>
        <w:t>KLÍČOVÁ</w:t>
      </w:r>
      <w:r w:rsidRPr="00DA49C3">
        <w:rPr>
          <w:rFonts w:ascii="Calibri" w:hAnsi="Calibri" w:cs="Calibri"/>
          <w:caps/>
        </w:rPr>
        <w:t xml:space="preserve"> fakta </w:t>
      </w:r>
    </w:p>
    <w:tbl>
      <w:tblPr>
        <w:tblW w:w="9072" w:type="dxa"/>
        <w:jc w:val="center"/>
        <w:shd w:val="clear" w:color="auto" w:fill="FFFFFF" w:themeFill="background1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E8E" w:rsidRPr="00DA243D" w14:paraId="026F738C" w14:textId="77777777" w:rsidTr="00F11F9C">
        <w:trPr>
          <w:trHeight w:val="475"/>
          <w:jc w:val="center"/>
        </w:trPr>
        <w:tc>
          <w:tcPr>
            <w:tcW w:w="3024" w:type="dxa"/>
            <w:shd w:val="clear" w:color="auto" w:fill="FFFFFF" w:themeFill="background1"/>
          </w:tcPr>
          <w:p w14:paraId="54582AEA" w14:textId="1B9CD2C9" w:rsidR="00350E8E" w:rsidRPr="00DA243D" w:rsidRDefault="00A167F6" w:rsidP="00045FF7">
            <w:pPr>
              <w:pStyle w:val="Pa18"/>
              <w:spacing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bookmarkStart w:id="0" w:name="_Hlk145416707"/>
            <w:r>
              <w:rPr>
                <w:rFonts w:cs="Calibri"/>
                <w:b/>
                <w:bCs/>
                <w:sz w:val="32"/>
                <w:szCs w:val="32"/>
              </w:rPr>
              <w:t>1 190</w:t>
            </w:r>
            <w:r w:rsidR="00350E8E" w:rsidRPr="00DA243D">
              <w:rPr>
                <w:rFonts w:cs="Calibri"/>
                <w:b/>
                <w:bCs/>
                <w:sz w:val="32"/>
                <w:szCs w:val="32"/>
              </w:rPr>
              <w:t xml:space="preserve"> mil. Kč</w:t>
            </w:r>
          </w:p>
        </w:tc>
        <w:tc>
          <w:tcPr>
            <w:tcW w:w="3024" w:type="dxa"/>
            <w:shd w:val="clear" w:color="auto" w:fill="FFFFFF" w:themeFill="background1"/>
          </w:tcPr>
          <w:p w14:paraId="55733DC8" w14:textId="77777777" w:rsidR="00350E8E" w:rsidRPr="00DA243D" w:rsidRDefault="00350E8E" w:rsidP="00045FF7">
            <w:pPr>
              <w:pStyle w:val="Pa18"/>
              <w:spacing w:line="240" w:lineRule="auto"/>
              <w:jc w:val="center"/>
              <w:rPr>
                <w:rStyle w:val="A14"/>
                <w:rFonts w:cs="Calibri"/>
                <w:bCs/>
                <w:sz w:val="32"/>
                <w:szCs w:val="32"/>
              </w:rPr>
            </w:pPr>
            <w:r w:rsidRPr="00DA243D">
              <w:rPr>
                <w:rFonts w:cs="Calibri"/>
                <w:b/>
                <w:bCs/>
                <w:sz w:val="32"/>
                <w:szCs w:val="32"/>
              </w:rPr>
              <w:t>114 mil. Kč</w:t>
            </w:r>
          </w:p>
        </w:tc>
        <w:tc>
          <w:tcPr>
            <w:tcW w:w="3024" w:type="dxa"/>
            <w:shd w:val="clear" w:color="auto" w:fill="FFFFFF" w:themeFill="background1"/>
          </w:tcPr>
          <w:p w14:paraId="4115F547" w14:textId="79E76C55" w:rsidR="00350E8E" w:rsidRPr="00A167F6" w:rsidRDefault="00A167F6" w:rsidP="00045FF7">
            <w:pPr>
              <w:pStyle w:val="Pa19"/>
              <w:spacing w:before="20" w:after="2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A167F6">
              <w:rPr>
                <w:rFonts w:cs="Calibri"/>
                <w:b/>
                <w:sz w:val="32"/>
                <w:szCs w:val="32"/>
              </w:rPr>
              <w:t>117 mil. Kč</w:t>
            </w:r>
          </w:p>
        </w:tc>
      </w:tr>
      <w:tr w:rsidR="00A775D1" w:rsidRPr="00DA243D" w14:paraId="6E28A887" w14:textId="77777777" w:rsidTr="00F11F9C">
        <w:trPr>
          <w:trHeight w:val="475"/>
          <w:jc w:val="center"/>
        </w:trPr>
        <w:tc>
          <w:tcPr>
            <w:tcW w:w="3024" w:type="dxa"/>
            <w:shd w:val="clear" w:color="auto" w:fill="FFFFFF" w:themeFill="background1"/>
          </w:tcPr>
          <w:p w14:paraId="2F6F8D31" w14:textId="103ACC47" w:rsidR="00A775D1" w:rsidRPr="00A167F6" w:rsidRDefault="00A775D1" w:rsidP="00045FF7">
            <w:pPr>
              <w:pStyle w:val="Pa19"/>
              <w:spacing w:before="20" w:after="2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DA243D">
              <w:rPr>
                <w:rFonts w:cs="Calibri"/>
                <w:sz w:val="22"/>
                <w:szCs w:val="22"/>
              </w:rPr>
              <w:t xml:space="preserve">celkové výdaje ERÚ v letech 2019–2022 </w:t>
            </w:r>
          </w:p>
        </w:tc>
        <w:tc>
          <w:tcPr>
            <w:tcW w:w="3024" w:type="dxa"/>
            <w:shd w:val="clear" w:color="auto" w:fill="FFFFFF" w:themeFill="background1"/>
          </w:tcPr>
          <w:p w14:paraId="65884E9D" w14:textId="54735C39" w:rsidR="00A775D1" w:rsidRPr="00A167F6" w:rsidRDefault="00A775D1" w:rsidP="00045FF7">
            <w:pPr>
              <w:pStyle w:val="Pa18"/>
              <w:spacing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A243D">
              <w:rPr>
                <w:rFonts w:cs="Calibri"/>
                <w:sz w:val="22"/>
                <w:szCs w:val="28"/>
              </w:rPr>
              <w:t>kontrolované výdaje na pořízení majetku a</w:t>
            </w:r>
            <w:r>
              <w:rPr>
                <w:rFonts w:cs="Calibri"/>
                <w:sz w:val="22"/>
                <w:szCs w:val="28"/>
              </w:rPr>
              <w:t> </w:t>
            </w:r>
            <w:r w:rsidRPr="00DA243D">
              <w:rPr>
                <w:rFonts w:cs="Calibri"/>
                <w:sz w:val="22"/>
                <w:szCs w:val="28"/>
              </w:rPr>
              <w:t>služeb</w:t>
            </w:r>
          </w:p>
        </w:tc>
        <w:tc>
          <w:tcPr>
            <w:tcW w:w="3024" w:type="dxa"/>
            <w:shd w:val="clear" w:color="auto" w:fill="FFFFFF" w:themeFill="background1"/>
          </w:tcPr>
          <w:p w14:paraId="393CD79E" w14:textId="42D53153" w:rsidR="00A775D1" w:rsidRPr="00DA243D" w:rsidRDefault="00A775D1" w:rsidP="00045FF7">
            <w:pPr>
              <w:pStyle w:val="Pa18"/>
              <w:spacing w:line="240" w:lineRule="auto"/>
              <w:jc w:val="center"/>
              <w:rPr>
                <w:rFonts w:cs="Calibri"/>
                <w:szCs w:val="32"/>
              </w:rPr>
            </w:pPr>
            <w:r w:rsidRPr="00DA243D">
              <w:rPr>
                <w:rFonts w:cs="Calibri"/>
                <w:sz w:val="22"/>
                <w:szCs w:val="22"/>
              </w:rPr>
              <w:t>kontrolovaný objem pohledávek ERÚ</w:t>
            </w:r>
          </w:p>
        </w:tc>
      </w:tr>
      <w:tr w:rsidR="00A775D1" w:rsidRPr="00DA243D" w14:paraId="6EC2B71E" w14:textId="77777777" w:rsidTr="00F11F9C">
        <w:trPr>
          <w:trHeight w:val="250"/>
          <w:jc w:val="center"/>
        </w:trPr>
        <w:tc>
          <w:tcPr>
            <w:tcW w:w="3024" w:type="dxa"/>
            <w:shd w:val="clear" w:color="auto" w:fill="FFFFFF" w:themeFill="background1"/>
          </w:tcPr>
          <w:p w14:paraId="242A163C" w14:textId="02C792C4" w:rsidR="00A775D1" w:rsidRPr="00A167F6" w:rsidRDefault="00A775D1" w:rsidP="00045FF7">
            <w:pPr>
              <w:pStyle w:val="Pa19"/>
              <w:spacing w:before="20" w:after="20" w:line="24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z toho:</w:t>
            </w:r>
          </w:p>
        </w:tc>
        <w:tc>
          <w:tcPr>
            <w:tcW w:w="3024" w:type="dxa"/>
            <w:shd w:val="clear" w:color="auto" w:fill="FFFFFF" w:themeFill="background1"/>
          </w:tcPr>
          <w:p w14:paraId="7DA3BCD5" w14:textId="77777777" w:rsidR="00A775D1" w:rsidRPr="00A167F6" w:rsidRDefault="00A775D1" w:rsidP="00045FF7">
            <w:pPr>
              <w:pStyle w:val="Pa18"/>
              <w:spacing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D902AB2" w14:textId="77777777" w:rsidR="00A775D1" w:rsidRPr="00DA243D" w:rsidRDefault="00A775D1" w:rsidP="00045FF7">
            <w:pPr>
              <w:pStyle w:val="Pa18"/>
              <w:spacing w:line="240" w:lineRule="auto"/>
              <w:rPr>
                <w:rFonts w:cs="Calibri"/>
                <w:szCs w:val="32"/>
              </w:rPr>
            </w:pPr>
          </w:p>
        </w:tc>
      </w:tr>
      <w:tr w:rsidR="00A775D1" w:rsidRPr="00DA243D" w14:paraId="1FE4903C" w14:textId="77777777" w:rsidTr="00F11F9C">
        <w:trPr>
          <w:trHeight w:val="250"/>
          <w:jc w:val="center"/>
        </w:trPr>
        <w:tc>
          <w:tcPr>
            <w:tcW w:w="3024" w:type="dxa"/>
            <w:shd w:val="clear" w:color="auto" w:fill="FFFFFF" w:themeFill="background1"/>
          </w:tcPr>
          <w:p w14:paraId="2D2496DD" w14:textId="45575732" w:rsidR="00A775D1" w:rsidRPr="00A775D1" w:rsidRDefault="00A775D1" w:rsidP="00045F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75D1">
              <w:rPr>
                <w:rFonts w:ascii="Calibri" w:hAnsi="Calibri" w:cs="Calibri"/>
                <w:b/>
                <w:bCs/>
                <w:sz w:val="28"/>
                <w:szCs w:val="28"/>
              </w:rPr>
              <w:t>936 mil. Kč</w:t>
            </w:r>
          </w:p>
        </w:tc>
        <w:tc>
          <w:tcPr>
            <w:tcW w:w="3024" w:type="dxa"/>
            <w:shd w:val="clear" w:color="auto" w:fill="FFFFFF" w:themeFill="background1"/>
          </w:tcPr>
          <w:p w14:paraId="6FBC5BF9" w14:textId="77777777" w:rsidR="00A775D1" w:rsidRPr="00A167F6" w:rsidRDefault="00A775D1" w:rsidP="00045FF7">
            <w:pPr>
              <w:pStyle w:val="Pa18"/>
              <w:spacing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821486F" w14:textId="77777777" w:rsidR="00A775D1" w:rsidRPr="00DA243D" w:rsidRDefault="00A775D1" w:rsidP="00045FF7">
            <w:pPr>
              <w:pStyle w:val="Pa18"/>
              <w:spacing w:line="240" w:lineRule="auto"/>
              <w:rPr>
                <w:rFonts w:cs="Calibri"/>
                <w:szCs w:val="32"/>
              </w:rPr>
            </w:pPr>
          </w:p>
        </w:tc>
      </w:tr>
      <w:tr w:rsidR="00A775D1" w:rsidRPr="00DA243D" w14:paraId="605E24B3" w14:textId="77777777" w:rsidTr="00F11F9C">
        <w:trPr>
          <w:trHeight w:val="601"/>
          <w:jc w:val="center"/>
        </w:trPr>
        <w:tc>
          <w:tcPr>
            <w:tcW w:w="3024" w:type="dxa"/>
            <w:shd w:val="clear" w:color="auto" w:fill="FFFFFF" w:themeFill="background1"/>
          </w:tcPr>
          <w:p w14:paraId="6EC6E741" w14:textId="77777777" w:rsidR="00A775D1" w:rsidRDefault="00A775D1" w:rsidP="00045FF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167F6">
              <w:rPr>
                <w:rFonts w:ascii="Calibri" w:hAnsi="Calibri" w:cs="Calibri"/>
              </w:rPr>
              <w:t xml:space="preserve">výdaje na platy </w:t>
            </w:r>
          </w:p>
          <w:p w14:paraId="22947F7C" w14:textId="4BC5652A" w:rsidR="00A775D1" w:rsidRPr="00A775D1" w:rsidRDefault="00A775D1" w:rsidP="00045F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167F6">
              <w:rPr>
                <w:rFonts w:ascii="Calibri" w:hAnsi="Calibri" w:cs="Calibri"/>
              </w:rPr>
              <w:t>(vč. povinných odvodů)</w:t>
            </w:r>
            <w:r w:rsidRPr="00A167F6">
              <w:rPr>
                <w:rStyle w:val="Znakapoznpodarou"/>
                <w:rFonts w:ascii="Calibri" w:hAnsi="Calibri" w:cs="Calibri"/>
              </w:rPr>
              <w:footnoteReference w:id="1"/>
            </w:r>
          </w:p>
        </w:tc>
        <w:tc>
          <w:tcPr>
            <w:tcW w:w="3024" w:type="dxa"/>
            <w:shd w:val="clear" w:color="auto" w:fill="FFFFFF" w:themeFill="background1"/>
          </w:tcPr>
          <w:p w14:paraId="35EB7C3C" w14:textId="77777777" w:rsidR="00A775D1" w:rsidRPr="00A167F6" w:rsidRDefault="00A775D1" w:rsidP="00045FF7">
            <w:pPr>
              <w:pStyle w:val="Pa18"/>
              <w:spacing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609C884" w14:textId="77777777" w:rsidR="00A775D1" w:rsidRPr="00DA243D" w:rsidRDefault="00A775D1" w:rsidP="00045FF7">
            <w:pPr>
              <w:pStyle w:val="Pa18"/>
              <w:spacing w:line="240" w:lineRule="auto"/>
              <w:rPr>
                <w:rFonts w:cs="Calibri"/>
                <w:szCs w:val="32"/>
              </w:rPr>
            </w:pPr>
          </w:p>
        </w:tc>
      </w:tr>
      <w:tr w:rsidR="00A775D1" w:rsidRPr="00DA243D" w14:paraId="1FA28320" w14:textId="77777777" w:rsidTr="00F11F9C">
        <w:trPr>
          <w:trHeight w:val="284"/>
          <w:jc w:val="center"/>
        </w:trPr>
        <w:tc>
          <w:tcPr>
            <w:tcW w:w="3024" w:type="dxa"/>
            <w:shd w:val="clear" w:color="auto" w:fill="FFFFFF" w:themeFill="background1"/>
          </w:tcPr>
          <w:p w14:paraId="12DECAC7" w14:textId="051EDA26" w:rsidR="00A775D1" w:rsidRPr="00A775D1" w:rsidRDefault="00A775D1" w:rsidP="00045F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775D1">
              <w:rPr>
                <w:rFonts w:ascii="Calibri" w:hAnsi="Calibri" w:cs="Calibri"/>
                <w:b/>
                <w:bCs/>
                <w:sz w:val="28"/>
                <w:szCs w:val="28"/>
              </w:rPr>
              <w:t>25</w:t>
            </w:r>
            <w:r w:rsidR="00DF5ADA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 w:rsidRPr="00A775D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mil. Kč</w:t>
            </w:r>
          </w:p>
        </w:tc>
        <w:tc>
          <w:tcPr>
            <w:tcW w:w="3024" w:type="dxa"/>
            <w:shd w:val="clear" w:color="auto" w:fill="FFFFFF" w:themeFill="background1"/>
          </w:tcPr>
          <w:p w14:paraId="0815FB41" w14:textId="77777777" w:rsidR="00A775D1" w:rsidRPr="00A167F6" w:rsidRDefault="00A775D1" w:rsidP="00045FF7">
            <w:pPr>
              <w:pStyle w:val="Pa18"/>
              <w:spacing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E54A09D" w14:textId="77777777" w:rsidR="00A775D1" w:rsidRPr="00DA243D" w:rsidRDefault="00A775D1" w:rsidP="00045FF7">
            <w:pPr>
              <w:pStyle w:val="Pa18"/>
              <w:spacing w:line="240" w:lineRule="auto"/>
              <w:rPr>
                <w:rFonts w:cs="Calibri"/>
                <w:szCs w:val="32"/>
              </w:rPr>
            </w:pPr>
          </w:p>
        </w:tc>
      </w:tr>
      <w:tr w:rsidR="00A775D1" w:rsidRPr="00DA243D" w14:paraId="2AAE7CDC" w14:textId="77777777" w:rsidTr="00F11F9C">
        <w:trPr>
          <w:trHeight w:val="334"/>
          <w:jc w:val="center"/>
        </w:trPr>
        <w:tc>
          <w:tcPr>
            <w:tcW w:w="3024" w:type="dxa"/>
            <w:shd w:val="clear" w:color="auto" w:fill="FFFFFF" w:themeFill="background1"/>
          </w:tcPr>
          <w:p w14:paraId="08B071AB" w14:textId="42DCD11E" w:rsidR="00A775D1" w:rsidRPr="00A775D1" w:rsidRDefault="00A775D1" w:rsidP="00045FF7">
            <w:pPr>
              <w:spacing w:after="0" w:line="240" w:lineRule="auto"/>
              <w:jc w:val="center"/>
              <w:rPr>
                <w:lang w:eastAsia="cs-CZ"/>
              </w:rPr>
            </w:pPr>
            <w:r>
              <w:rPr>
                <w:lang w:eastAsia="cs-CZ"/>
              </w:rPr>
              <w:t>ostatní výdaje</w:t>
            </w:r>
          </w:p>
        </w:tc>
        <w:tc>
          <w:tcPr>
            <w:tcW w:w="3024" w:type="dxa"/>
            <w:shd w:val="clear" w:color="auto" w:fill="FFFFFF" w:themeFill="background1"/>
          </w:tcPr>
          <w:p w14:paraId="74055C40" w14:textId="29F5C42B" w:rsidR="00A775D1" w:rsidRPr="00DA243D" w:rsidRDefault="00A775D1" w:rsidP="00045FF7">
            <w:pPr>
              <w:pStyle w:val="Pa19"/>
              <w:spacing w:before="20" w:after="20" w:line="24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17B851C" w14:textId="31C3DE8C" w:rsidR="00A775D1" w:rsidRPr="00DA243D" w:rsidRDefault="00A775D1" w:rsidP="00045FF7">
            <w:pPr>
              <w:pStyle w:val="Pa19"/>
              <w:spacing w:before="20" w:after="20" w:line="240" w:lineRule="auto"/>
              <w:rPr>
                <w:rFonts w:cs="Calibri"/>
                <w:sz w:val="22"/>
                <w:szCs w:val="22"/>
              </w:rPr>
            </w:pPr>
          </w:p>
        </w:tc>
      </w:tr>
    </w:tbl>
    <w:bookmarkEnd w:id="0"/>
    <w:p w14:paraId="01AD87FE" w14:textId="1792B8C3" w:rsidR="00350E8E" w:rsidRDefault="00350E8E" w:rsidP="00045FF7">
      <w:pPr>
        <w:pStyle w:val="NormlnKZ"/>
        <w:ind w:firstLine="0"/>
        <w:rPr>
          <w:rFonts w:asciiTheme="minorHAnsi" w:hAnsiTheme="minorHAnsi" w:cstheme="minorHAnsi"/>
          <w:b/>
          <w:color w:val="auto"/>
        </w:rPr>
      </w:pPr>
      <w:r w:rsidRPr="00C90F69">
        <w:rPr>
          <w:rFonts w:asciiTheme="minorHAnsi" w:hAnsiTheme="minorHAnsi" w:cstheme="minorHAnsi"/>
          <w:b/>
          <w:color w:val="auto"/>
        </w:rPr>
        <w:t xml:space="preserve"> </w:t>
      </w:r>
    </w:p>
    <w:p w14:paraId="1DFEEEEE" w14:textId="77777777" w:rsidR="00350E8E" w:rsidRPr="00DA49C3" w:rsidRDefault="00350E8E" w:rsidP="00045FF7">
      <w:pPr>
        <w:tabs>
          <w:tab w:val="left" w:pos="1115"/>
        </w:tabs>
        <w:spacing w:line="240" w:lineRule="auto"/>
        <w:ind w:left="1416" w:hanging="1416"/>
        <w:jc w:val="center"/>
        <w:rPr>
          <w:rFonts w:ascii="Calibri" w:hAnsi="Calibri" w:cs="Calibri"/>
          <w:caps/>
        </w:rPr>
      </w:pPr>
      <w:r w:rsidRPr="00DA49C3">
        <w:rPr>
          <w:rFonts w:ascii="Calibri" w:hAnsi="Calibri" w:cs="Calibri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C2D00" wp14:editId="614734B6">
                <wp:simplePos x="0" y="0"/>
                <wp:positionH relativeFrom="margin">
                  <wp:posOffset>3711575</wp:posOffset>
                </wp:positionH>
                <wp:positionV relativeFrom="paragraph">
                  <wp:posOffset>106045</wp:posOffset>
                </wp:positionV>
                <wp:extent cx="201600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C7D29" id="Přímá spojnice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92.25pt,8.35pt" to="45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A49C3">
        <w:rPr>
          <w:rFonts w:ascii="Calibri" w:hAnsi="Calibri" w:cs="Calibri"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E108C" wp14:editId="2D8D89F3">
                <wp:simplePos x="0" y="0"/>
                <wp:positionH relativeFrom="column">
                  <wp:posOffset>-29845</wp:posOffset>
                </wp:positionH>
                <wp:positionV relativeFrom="paragraph">
                  <wp:posOffset>92710</wp:posOffset>
                </wp:positionV>
                <wp:extent cx="2052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37616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7.3pt" to="1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caps/>
        </w:rPr>
        <w:t>Zjištěné skutečnosti</w:t>
      </w:r>
      <w:r w:rsidRPr="00DA49C3">
        <w:rPr>
          <w:rFonts w:ascii="Calibri" w:hAnsi="Calibri" w:cs="Calibri"/>
          <w:caps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13"/>
        <w:gridCol w:w="7249"/>
      </w:tblGrid>
      <w:tr w:rsidR="00350E8E" w:rsidRPr="00C90F69" w14:paraId="16DAEDF8" w14:textId="77777777" w:rsidTr="00D05CC7">
        <w:trPr>
          <w:trHeight w:val="558"/>
        </w:trPr>
        <w:tc>
          <w:tcPr>
            <w:tcW w:w="1813" w:type="dxa"/>
            <w:vAlign w:val="center"/>
          </w:tcPr>
          <w:p w14:paraId="5820F129" w14:textId="77777777" w:rsidR="00350E8E" w:rsidRPr="00DA243D" w:rsidRDefault="00350E8E" w:rsidP="00045FF7">
            <w:pPr>
              <w:pStyle w:val="NormlnKZ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color w:val="AF1953"/>
                <w:sz w:val="32"/>
                <w:szCs w:val="32"/>
              </w:rPr>
            </w:pPr>
            <w:r w:rsidRPr="00DA243D">
              <w:rPr>
                <w:rFonts w:ascii="Calibri" w:hAnsi="Calibri" w:cs="Calibri"/>
                <w:b/>
                <w:bCs/>
                <w:color w:val="AF1953"/>
                <w:sz w:val="32"/>
                <w:szCs w:val="32"/>
              </w:rPr>
              <w:t>39 mil. Kč</w:t>
            </w:r>
          </w:p>
        </w:tc>
        <w:tc>
          <w:tcPr>
            <w:tcW w:w="7249" w:type="dxa"/>
            <w:vAlign w:val="center"/>
          </w:tcPr>
          <w:p w14:paraId="02D0946E" w14:textId="0E4E35C4" w:rsidR="00350E8E" w:rsidRPr="00DA243D" w:rsidRDefault="00350E8E" w:rsidP="00045FF7">
            <w:pPr>
              <w:pStyle w:val="NormlnKZ"/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DA243D">
              <w:rPr>
                <w:rFonts w:ascii="Calibri" w:hAnsi="Calibri" w:cs="Calibri"/>
                <w:szCs w:val="28"/>
              </w:rPr>
              <w:t xml:space="preserve">provozní výdaje na </w:t>
            </w:r>
            <w:r w:rsidRPr="00DA243D">
              <w:rPr>
                <w:rFonts w:ascii="Calibri" w:hAnsi="Calibri" w:cs="Calibri"/>
                <w:b/>
                <w:szCs w:val="28"/>
              </w:rPr>
              <w:t>dislokované pracoviště Praha</w:t>
            </w:r>
            <w:r w:rsidRPr="00DA243D">
              <w:rPr>
                <w:rFonts w:ascii="Calibri" w:hAnsi="Calibri" w:cs="Calibri"/>
                <w:szCs w:val="28"/>
              </w:rPr>
              <w:t xml:space="preserve"> </w:t>
            </w:r>
            <w:r w:rsidR="00D05CC7" w:rsidRPr="00DA243D">
              <w:rPr>
                <w:rFonts w:ascii="Calibri" w:hAnsi="Calibri" w:cs="Calibri"/>
                <w:szCs w:val="28"/>
              </w:rPr>
              <w:t>v letech 2019–2022</w:t>
            </w:r>
            <w:r w:rsidR="00D05CC7">
              <w:rPr>
                <w:rFonts w:ascii="Calibri" w:hAnsi="Calibri" w:cs="Calibri"/>
                <w:szCs w:val="28"/>
              </w:rPr>
              <w:t xml:space="preserve"> </w:t>
            </w:r>
            <w:r w:rsidR="00D05CC7" w:rsidRPr="002C4353">
              <w:rPr>
                <w:rFonts w:ascii="Calibri" w:hAnsi="Calibri" w:cs="Calibri"/>
                <w:szCs w:val="28"/>
              </w:rPr>
              <w:t>umístěné v pronajatých komerčních prostorách</w:t>
            </w:r>
            <w:r w:rsidR="00D05CC7">
              <w:rPr>
                <w:rFonts w:ascii="Calibri" w:hAnsi="Calibri" w:cs="Calibri"/>
                <w:szCs w:val="28"/>
              </w:rPr>
              <w:t xml:space="preserve"> </w:t>
            </w:r>
          </w:p>
        </w:tc>
      </w:tr>
      <w:tr w:rsidR="00350E8E" w:rsidRPr="00C90F69" w14:paraId="4EA31648" w14:textId="77777777" w:rsidTr="00434EF2">
        <w:tc>
          <w:tcPr>
            <w:tcW w:w="1813" w:type="dxa"/>
            <w:vAlign w:val="center"/>
          </w:tcPr>
          <w:p w14:paraId="67E80ACD" w14:textId="77777777" w:rsidR="00350E8E" w:rsidRPr="00DA243D" w:rsidRDefault="00350E8E" w:rsidP="00045FF7">
            <w:pPr>
              <w:rPr>
                <w:rFonts w:cstheme="minorHAnsi"/>
                <w:b/>
                <w:color w:val="AF1953"/>
                <w:sz w:val="32"/>
                <w:szCs w:val="32"/>
              </w:rPr>
            </w:pPr>
            <w:r w:rsidRPr="00DA243D">
              <w:rPr>
                <w:rFonts w:ascii="Calibri" w:hAnsi="Calibri" w:cs="Calibri"/>
                <w:b/>
                <w:bCs/>
                <w:color w:val="2EB3A1"/>
                <w:sz w:val="32"/>
                <w:szCs w:val="32"/>
              </w:rPr>
              <w:t>7 mil. Kč</w:t>
            </w:r>
          </w:p>
        </w:tc>
        <w:tc>
          <w:tcPr>
            <w:tcW w:w="7249" w:type="dxa"/>
            <w:vAlign w:val="center"/>
          </w:tcPr>
          <w:p w14:paraId="4BF344CC" w14:textId="680B4DBD" w:rsidR="00350E8E" w:rsidRPr="00DA243D" w:rsidRDefault="00350E8E" w:rsidP="00045F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A243D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provozní výdaje na </w:t>
            </w:r>
            <w:r w:rsidRPr="00DA243D">
              <w:rPr>
                <w:rFonts w:ascii="Calibri" w:hAnsi="Calibri" w:cs="Calibri"/>
                <w:b/>
                <w:color w:val="000000" w:themeColor="text1"/>
                <w:sz w:val="24"/>
                <w:szCs w:val="28"/>
              </w:rPr>
              <w:t>dislokované pracoviště Ostrava</w:t>
            </w:r>
            <w:r w:rsidRPr="00DA243D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D05CC7" w:rsidRPr="00DA243D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v letech 2019</w:t>
            </w:r>
            <w:r w:rsidR="00D05CC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–</w:t>
            </w:r>
            <w:r w:rsidR="00D05CC7" w:rsidRPr="00DA243D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2022</w:t>
            </w:r>
            <w:r w:rsidR="00D05CC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D05CC7" w:rsidRPr="002C4353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umístěné </w:t>
            </w:r>
            <w:r w:rsidR="00D05CC7" w:rsidRPr="00A8499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v</w:t>
            </w:r>
            <w:r w:rsidR="00183121" w:rsidRPr="00A8499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 </w:t>
            </w:r>
            <w:r w:rsidR="00D05CC7" w:rsidRPr="00A8499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 xml:space="preserve">prostorách </w:t>
            </w:r>
            <w:r w:rsidR="00183121" w:rsidRPr="00A84997">
              <w:rPr>
                <w:rFonts w:ascii="Calibri" w:hAnsi="Calibri" w:cs="Calibri"/>
                <w:color w:val="000000" w:themeColor="text1"/>
                <w:sz w:val="24"/>
                <w:szCs w:val="28"/>
              </w:rPr>
              <w:t>v majetku státu</w:t>
            </w:r>
          </w:p>
        </w:tc>
      </w:tr>
    </w:tbl>
    <w:p w14:paraId="60274930" w14:textId="77777777" w:rsidR="00350E8E" w:rsidRDefault="00350E8E" w:rsidP="00045FF7">
      <w:pPr>
        <w:pStyle w:val="NormlnKZ"/>
        <w:ind w:left="1418" w:hanging="1418"/>
        <w:rPr>
          <w:rFonts w:asciiTheme="minorHAnsi" w:hAnsiTheme="minorHAnsi" w:cstheme="minorHAnsi"/>
          <w:color w:val="232323"/>
          <w:shd w:val="clear" w:color="auto" w:fill="FFFFFF"/>
        </w:rPr>
      </w:pPr>
    </w:p>
    <w:p w14:paraId="68F682BD" w14:textId="77777777" w:rsidR="00045FF7" w:rsidRDefault="009A1303" w:rsidP="00045FF7">
      <w:pPr>
        <w:pStyle w:val="NormlnKZ"/>
        <w:ind w:firstLine="0"/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463F581D" wp14:editId="3642168B">
            <wp:extent cx="5571877" cy="3061335"/>
            <wp:effectExtent l="0" t="0" r="0" b="5715"/>
            <wp:docPr id="161594247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886FD65-CF33-4004-C2D4-D17384EEB8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7981A6" w14:textId="627370C3" w:rsidR="0010117D" w:rsidRPr="009E3919" w:rsidRDefault="00CC3370" w:rsidP="00045FF7">
      <w:pPr>
        <w:pStyle w:val="NormlnKZ"/>
        <w:ind w:left="142" w:firstLine="0"/>
        <w:jc w:val="left"/>
        <w:rPr>
          <w:rFonts w:asciiTheme="minorHAnsi" w:hAnsiTheme="minorHAnsi" w:cstheme="minorHAnsi"/>
          <w:color w:val="232323"/>
          <w:shd w:val="clear" w:color="auto" w:fill="FFFFFF"/>
        </w:rPr>
      </w:pPr>
      <w:r w:rsidRPr="002A4CB5">
        <w:rPr>
          <w:rFonts w:ascii="Calibri" w:hAnsi="Calibri" w:cs="Calibri"/>
          <w:b/>
          <w:bCs/>
          <w:sz w:val="20"/>
          <w:szCs w:val="20"/>
        </w:rPr>
        <w:t>Z</w:t>
      </w:r>
      <w:r w:rsidR="00EC44FA" w:rsidRPr="002A4CB5">
        <w:rPr>
          <w:rFonts w:ascii="Calibri" w:hAnsi="Calibri" w:cs="Calibri"/>
          <w:b/>
          <w:bCs/>
          <w:sz w:val="20"/>
          <w:szCs w:val="20"/>
        </w:rPr>
        <w:t xml:space="preserve">droj: </w:t>
      </w:r>
      <w:r w:rsidR="004B0867">
        <w:rPr>
          <w:rFonts w:ascii="Calibri" w:hAnsi="Calibri" w:cs="Calibri"/>
          <w:sz w:val="20"/>
          <w:szCs w:val="20"/>
        </w:rPr>
        <w:t>i</w:t>
      </w:r>
      <w:r w:rsidR="00EC44FA" w:rsidRPr="00D5704E">
        <w:rPr>
          <w:rFonts w:ascii="Calibri" w:hAnsi="Calibri" w:cs="Calibri"/>
          <w:sz w:val="20"/>
          <w:szCs w:val="20"/>
        </w:rPr>
        <w:t>nformace ERÚ</w:t>
      </w:r>
      <w:r w:rsidR="00EC44FA">
        <w:rPr>
          <w:rFonts w:ascii="Calibri" w:hAnsi="Calibri" w:cs="Calibri"/>
          <w:sz w:val="20"/>
          <w:szCs w:val="20"/>
        </w:rPr>
        <w:t xml:space="preserve">; </w:t>
      </w:r>
      <w:r w:rsidR="004B0867">
        <w:rPr>
          <w:rFonts w:ascii="Calibri" w:hAnsi="Calibri" w:cs="Calibri"/>
          <w:sz w:val="20"/>
          <w:szCs w:val="20"/>
        </w:rPr>
        <w:t>vypracoval</w:t>
      </w:r>
      <w:r w:rsidR="00EC44FA">
        <w:rPr>
          <w:rFonts w:ascii="Calibri" w:hAnsi="Calibri" w:cs="Calibri"/>
          <w:sz w:val="20"/>
          <w:szCs w:val="20"/>
        </w:rPr>
        <w:t xml:space="preserve"> NKÚ.</w:t>
      </w:r>
    </w:p>
    <w:p w14:paraId="70E43921" w14:textId="435582CE" w:rsidR="0015633C" w:rsidRPr="00B903E3" w:rsidRDefault="0015633C" w:rsidP="002A4CB5">
      <w:pPr>
        <w:spacing w:after="24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903E3">
        <w:rPr>
          <w:rFonts w:ascii="Calibri" w:hAnsi="Calibri" w:cs="Calibri"/>
          <w:b/>
          <w:bCs/>
          <w:sz w:val="28"/>
          <w:szCs w:val="28"/>
        </w:rPr>
        <w:lastRenderedPageBreak/>
        <w:t>I. Shrnutí a vyhodnocení</w:t>
      </w:r>
    </w:p>
    <w:p w14:paraId="26E3F175" w14:textId="3B104A23" w:rsidR="00B27F75" w:rsidRDefault="00900E36" w:rsidP="00900E36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1.1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E73D45"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provedl kontrolu majetku a peněžních prostředků státu, se kterými je příslušný hospodařit Energetický regulační úřad.</w:t>
      </w:r>
      <w:r w:rsidR="005676E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E73D45" w:rsidRPr="005676E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Cílem kontroly bylo prověřit, </w:t>
      </w:r>
      <w:r w:rsidR="00E73D45" w:rsidRPr="005676E0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zda</w:t>
      </w:r>
      <w:r w:rsidR="00C50C12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</w:t>
      </w:r>
      <w:r w:rsidR="00E73D45" w:rsidRPr="005676E0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Energetický regulační úřad hospodařil s majetkem a peněžními prostředky státu účelně, hospodárně a v</w:t>
      </w:r>
      <w:r w:rsidR="00CF1CA7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</w:t>
      </w:r>
      <w:r w:rsidR="00E73D45" w:rsidRPr="005676E0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souladu s právními předpisy</w:t>
      </w:r>
      <w:r w:rsidR="00E73D45" w:rsidRPr="005676E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</w:t>
      </w:r>
      <w:r w:rsid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Kontrolovaným obdobím byly </w:t>
      </w:r>
      <w:r w:rsidR="009E5E3D" w:rsidRP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>roky 2019</w:t>
      </w:r>
      <w:r w:rsidR="005717AB">
        <w:rPr>
          <w:rFonts w:ascii="Calibri" w:eastAsia="Calibri" w:hAnsi="Calibri" w:cs="Calibri"/>
          <w:kern w:val="0"/>
          <w:sz w:val="24"/>
          <w:szCs w:val="24"/>
          <w14:ligatures w14:val="none"/>
        </w:rPr>
        <w:t>–</w:t>
      </w:r>
      <w:r w:rsidR="009E5E3D" w:rsidRP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>2022, v</w:t>
      </w:r>
      <w:r w:rsid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9E5E3D" w:rsidRP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>případě věcných souvislostí i období předcházející či následující.</w:t>
      </w:r>
    </w:p>
    <w:p w14:paraId="1B753EAF" w14:textId="105BE1A3" w:rsidR="009E5E3D" w:rsidRPr="005676E0" w:rsidRDefault="00603CFB" w:rsidP="00900E36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1.2 </w:t>
      </w:r>
      <w:r w:rsidR="00900E36"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>Kontrola byla zaměřena na oblast programového financování,</w:t>
      </w:r>
      <w:r w:rsidR="00CF1CA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9E5E3D" w:rsidRPr="001E6773">
        <w:rPr>
          <w:rFonts w:ascii="Calibri" w:eastAsia="Calibri" w:hAnsi="Calibri" w:cs="Calibri"/>
          <w:kern w:val="0"/>
          <w:sz w:val="24"/>
          <w:szCs w:val="24"/>
          <w14:ligatures w14:val="none"/>
        </w:rPr>
        <w:t>pořizování majet</w:t>
      </w:r>
      <w:r w:rsidR="00CB108C" w:rsidRPr="001E677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ku a služeb, </w:t>
      </w:r>
      <w:r w:rsidR="009E5E3D" w:rsidRPr="001E6773">
        <w:rPr>
          <w:rFonts w:ascii="Calibri" w:eastAsia="Calibri" w:hAnsi="Calibri" w:cs="Calibri"/>
          <w:kern w:val="0"/>
          <w:sz w:val="24"/>
          <w:szCs w:val="24"/>
          <w14:ligatures w14:val="none"/>
        </w:rPr>
        <w:t>evidenci</w:t>
      </w:r>
      <w:r w:rsid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>, inventarizaci a vyřazování majetku,</w:t>
      </w:r>
      <w:r w:rsidR="00CB108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>vymáhání pohledávek a fungování vnitřního kontrolního systému ERÚ. V</w:t>
      </w:r>
      <w:r w:rsidR="00CB108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rámci kontroly oblasti služeb NKÚ rovněž zjišťoval </w:t>
      </w:r>
      <w:r w:rsidR="00DE4F4A">
        <w:rPr>
          <w:rFonts w:ascii="Calibri" w:eastAsia="Calibri" w:hAnsi="Calibri" w:cs="Calibri"/>
          <w:kern w:val="0"/>
          <w:sz w:val="24"/>
          <w:szCs w:val="24"/>
          <w14:ligatures w14:val="none"/>
        </w:rPr>
        <w:t>výdaje</w:t>
      </w:r>
      <w:r w:rsidR="009E5E3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ERÚ na provoz dislokovaných pracovišť. </w:t>
      </w:r>
    </w:p>
    <w:p w14:paraId="263EE81A" w14:textId="3D9EFB76" w:rsidR="00471C80" w:rsidRPr="00A84997" w:rsidRDefault="00603CFB" w:rsidP="00603CFB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1.3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ab/>
      </w:r>
      <w:r w:rsidR="000C7A92" w:rsidRPr="00A8499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NKÚ při kontrole hospodaření ERÚ s vybraným majetkem a peněžními prostředky státu nezjistil významné nedostatky. NKÚ zjistil méně významné nedostatky v</w:t>
      </w:r>
      <w:r w:rsidR="00AF4EBA" w:rsidRPr="00A8499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183121" w:rsidRPr="00A8499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oblasti </w:t>
      </w:r>
      <w:r w:rsidR="000C7A92" w:rsidRPr="00A8499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programového financování a v účinnosti vnitřního kontrolního systému při pořizování majetku a služeb. </w:t>
      </w:r>
    </w:p>
    <w:p w14:paraId="6BD4B1D5" w14:textId="0278AB8C" w:rsidR="000C7A92" w:rsidRPr="00A84997" w:rsidRDefault="00603CFB" w:rsidP="00603CFB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1.4 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0C7A92" w:rsidRPr="00A84997">
        <w:rPr>
          <w:rFonts w:ascii="Calibri" w:hAnsi="Calibri" w:cs="Calibri"/>
          <w:b/>
          <w:bCs/>
          <w:sz w:val="24"/>
          <w:szCs w:val="24"/>
        </w:rPr>
        <w:t xml:space="preserve">NKÚ </w:t>
      </w:r>
      <w:r w:rsidR="003F4B35" w:rsidRPr="00A84997">
        <w:rPr>
          <w:rFonts w:ascii="Calibri" w:hAnsi="Calibri" w:cs="Calibri"/>
          <w:b/>
          <w:bCs/>
          <w:sz w:val="24"/>
          <w:szCs w:val="24"/>
        </w:rPr>
        <w:t xml:space="preserve">v rámci kontrolní akce provedl </w:t>
      </w:r>
      <w:r w:rsidR="00183121" w:rsidRPr="00A84997">
        <w:rPr>
          <w:rFonts w:ascii="Calibri" w:hAnsi="Calibri" w:cs="Calibri"/>
          <w:b/>
          <w:bCs/>
          <w:sz w:val="24"/>
          <w:szCs w:val="24"/>
        </w:rPr>
        <w:t>kontrolu</w:t>
      </w:r>
      <w:r w:rsidR="003F4B35" w:rsidRPr="00A849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C160E" w:rsidRPr="00A84997">
        <w:rPr>
          <w:rFonts w:ascii="Calibri" w:hAnsi="Calibri" w:cs="Calibri"/>
          <w:b/>
          <w:bCs/>
          <w:sz w:val="24"/>
          <w:szCs w:val="24"/>
        </w:rPr>
        <w:t>výdajů</w:t>
      </w:r>
      <w:r w:rsidR="003F4B35" w:rsidRPr="00A84997">
        <w:rPr>
          <w:rFonts w:ascii="Calibri" w:hAnsi="Calibri" w:cs="Calibri"/>
          <w:b/>
          <w:bCs/>
          <w:sz w:val="24"/>
          <w:szCs w:val="24"/>
        </w:rPr>
        <w:t xml:space="preserve"> na provoz dislokovaných pracovišť ERÚ</w:t>
      </w:r>
      <w:r w:rsidR="001C160E" w:rsidRPr="00A84997">
        <w:rPr>
          <w:rFonts w:ascii="Calibri" w:hAnsi="Calibri" w:cs="Calibri"/>
          <w:b/>
          <w:bCs/>
          <w:sz w:val="24"/>
          <w:szCs w:val="24"/>
        </w:rPr>
        <w:t xml:space="preserve"> v Praze a Ostravě</w:t>
      </w:r>
      <w:r w:rsidR="003F4B35" w:rsidRPr="00A84997">
        <w:rPr>
          <w:rFonts w:ascii="Calibri" w:hAnsi="Calibri" w:cs="Calibri"/>
          <w:b/>
          <w:bCs/>
          <w:sz w:val="24"/>
          <w:szCs w:val="24"/>
        </w:rPr>
        <w:t>, při které</w:t>
      </w:r>
      <w:r w:rsidR="000C7A92" w:rsidRPr="00A84997">
        <w:rPr>
          <w:rFonts w:ascii="Calibri" w:hAnsi="Calibri" w:cs="Calibri"/>
          <w:b/>
          <w:bCs/>
          <w:sz w:val="24"/>
          <w:szCs w:val="24"/>
        </w:rPr>
        <w:t xml:space="preserve"> zjistil</w:t>
      </w:r>
      <w:r w:rsidR="003F4B35" w:rsidRPr="00A84997">
        <w:rPr>
          <w:rFonts w:ascii="Calibri" w:hAnsi="Calibri" w:cs="Calibri"/>
          <w:b/>
          <w:bCs/>
          <w:sz w:val="24"/>
          <w:szCs w:val="24"/>
        </w:rPr>
        <w:t xml:space="preserve"> významný rozdíl v provozních </w:t>
      </w:r>
      <w:r w:rsidR="001C160E" w:rsidRPr="00A84997">
        <w:rPr>
          <w:rFonts w:ascii="Calibri" w:hAnsi="Calibri" w:cs="Calibri"/>
          <w:b/>
          <w:bCs/>
          <w:sz w:val="24"/>
          <w:szCs w:val="24"/>
        </w:rPr>
        <w:t>výdajích</w:t>
      </w:r>
      <w:r w:rsidR="003F4B35" w:rsidRPr="00A84997">
        <w:rPr>
          <w:rFonts w:ascii="Calibri" w:hAnsi="Calibri" w:cs="Calibri"/>
          <w:b/>
          <w:bCs/>
          <w:sz w:val="24"/>
          <w:szCs w:val="24"/>
        </w:rPr>
        <w:t xml:space="preserve"> jednotlivých pracovišť</w:t>
      </w:r>
      <w:r w:rsidR="0010117D" w:rsidRPr="00A8499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DE427D" w:rsidRPr="00A84997">
        <w:rPr>
          <w:rFonts w:ascii="Calibri" w:hAnsi="Calibri" w:cs="Calibri"/>
          <w:b/>
          <w:bCs/>
          <w:sz w:val="24"/>
          <w:szCs w:val="24"/>
        </w:rPr>
        <w:t xml:space="preserve">Významně vyšší provozní </w:t>
      </w:r>
      <w:r w:rsidR="00B31F09">
        <w:rPr>
          <w:rFonts w:ascii="Calibri" w:hAnsi="Calibri" w:cs="Calibri"/>
          <w:b/>
          <w:bCs/>
          <w:sz w:val="24"/>
          <w:szCs w:val="24"/>
        </w:rPr>
        <w:t>výdaje</w:t>
      </w:r>
      <w:r w:rsidR="00DE427D" w:rsidRPr="00A84997">
        <w:rPr>
          <w:rFonts w:ascii="Calibri" w:hAnsi="Calibri" w:cs="Calibri"/>
          <w:b/>
          <w:bCs/>
          <w:sz w:val="24"/>
          <w:szCs w:val="24"/>
        </w:rPr>
        <w:t xml:space="preserve"> na pracoviště Praha</w:t>
      </w:r>
      <w:r w:rsidR="00E231AA" w:rsidRPr="00A849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E427D" w:rsidRPr="00A84997">
        <w:rPr>
          <w:rFonts w:ascii="Calibri" w:hAnsi="Calibri" w:cs="Calibri"/>
          <w:b/>
          <w:bCs/>
          <w:sz w:val="24"/>
          <w:szCs w:val="24"/>
        </w:rPr>
        <w:t>byly převážně způsobeny komerčním nájemným</w:t>
      </w:r>
      <w:r w:rsidR="001C160E" w:rsidRPr="00A84997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5DDCB3BA" w14:textId="3ED109E5" w:rsidR="00C3636E" w:rsidRPr="00603CFB" w:rsidRDefault="00603CFB" w:rsidP="00603CFB">
      <w:pPr>
        <w:spacing w:after="120" w:line="240" w:lineRule="auto"/>
        <w:ind w:left="567" w:hanging="567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</w:rPr>
        <w:t xml:space="preserve">1.5 </w:t>
      </w:r>
      <w:r>
        <w:rPr>
          <w:rFonts w:ascii="Calibri" w:hAnsi="Calibri" w:cs="Calibri"/>
          <w:sz w:val="24"/>
          <w:szCs w:val="24"/>
        </w:rPr>
        <w:tab/>
      </w:r>
      <w:r w:rsidR="00E73D45" w:rsidRPr="00603CFB">
        <w:rPr>
          <w:rFonts w:ascii="Calibri" w:hAnsi="Calibri" w:cs="Calibri"/>
          <w:sz w:val="24"/>
          <w:szCs w:val="24"/>
        </w:rPr>
        <w:t>Toto celkové vyhodnocení se opírá o následující zjištění</w:t>
      </w:r>
      <w:r w:rsidR="008827F5" w:rsidRPr="00603CFB">
        <w:rPr>
          <w:rFonts w:ascii="Calibri" w:hAnsi="Calibri" w:cs="Calibri"/>
          <w:sz w:val="24"/>
          <w:szCs w:val="24"/>
        </w:rPr>
        <w:t xml:space="preserve"> z kontroly</w:t>
      </w:r>
      <w:r w:rsidR="00E73D45" w:rsidRPr="00603CFB">
        <w:rPr>
          <w:rFonts w:ascii="Calibri" w:hAnsi="Calibri" w:cs="Calibri"/>
          <w:sz w:val="24"/>
          <w:szCs w:val="24"/>
        </w:rPr>
        <w:t>:</w:t>
      </w:r>
    </w:p>
    <w:p w14:paraId="1A67D7E2" w14:textId="33A6EA7A" w:rsidR="00C3636E" w:rsidRPr="000B0A2D" w:rsidRDefault="00CB7BFA" w:rsidP="00CE4F88">
      <w:pPr>
        <w:pStyle w:val="Odstavecseseznamem"/>
        <w:numPr>
          <w:ilvl w:val="0"/>
          <w:numId w:val="26"/>
        </w:numPr>
        <w:spacing w:after="12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NKÚ zjistil, že </w:t>
      </w:r>
      <w:r w:rsidR="00C3636E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ERÚ v kontrolovaném období let 2019</w:t>
      </w:r>
      <w:r w:rsidR="00C30D16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="00C3636E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2022 spravoval celkem </w:t>
      </w:r>
      <w:r w:rsidR="00C50C1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tři</w:t>
      </w:r>
      <w:r w:rsidR="00C3636E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na sebe navazující programy na rozvoj a obnovu materiálně-technické základny</w:t>
      </w:r>
      <w:r w:rsidR="00CE4F88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="00CE4F88" w:rsidRPr="000B0A2D">
        <w:rPr>
          <w:rStyle w:val="Znakapoznpodarou"/>
          <w:rFonts w:ascii="Calibri" w:eastAsia="Times New Roman" w:hAnsi="Calibri" w:cs="Calibri"/>
          <w:kern w:val="0"/>
          <w:sz w:val="24"/>
          <w:szCs w:val="24"/>
          <w14:ligatures w14:val="none"/>
        </w:rPr>
        <w:footnoteReference w:id="2"/>
      </w:r>
      <w:r w:rsidR="00CE4F88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Realizaci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programu 149 02</w:t>
      </w:r>
      <w:r w:rsidR="00045FF7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0</w:t>
      </w:r>
      <w:r w:rsidR="00CE4F88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ERÚ 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dvakrát prodlouž</w:t>
      </w:r>
      <w:r w:rsidR="00045FF7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il</w:t>
      </w:r>
      <w:r w:rsidR="00A86E3A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045FF7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z důvodu </w:t>
      </w:r>
      <w:r w:rsidR="00045FF7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rozpracovanosti a</w:t>
      </w:r>
      <w:r w:rsidR="00C50C1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="00045FF7" w:rsidRPr="000B0A2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časového posunu realizace některých projektů</w:t>
      </w:r>
      <w:r w:rsidR="00045FF7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. </w:t>
      </w:r>
      <w:r w:rsidR="000B0A2D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ERÚ stanovil v 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dokumentaci programu 149</w:t>
      </w:r>
      <w:r w:rsidR="00A86E3A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 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020 parametry programu, které po </w:t>
      </w:r>
      <w:r w:rsidR="000B0A2D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jeho 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aktualizaci</w:t>
      </w:r>
      <w:r w:rsidR="000B0A2D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nezměnil, </w:t>
      </w:r>
      <w:r w:rsidR="00C3636E" w:rsidRPr="000B0A2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přestože financování programu bylo redukováno z částky 90 180 tis. Kč na částku 67 095 tis.</w:t>
      </w:r>
      <w:r w:rsidR="00C50C1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 </w:t>
      </w:r>
      <w:r w:rsidR="00C3636E" w:rsidRPr="000B0A2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Kč</w:t>
      </w:r>
      <w:r w:rsidR="00C3636E" w:rsidRPr="000B0A2D">
        <w:rPr>
          <w:rStyle w:val="Znakapoznpodarou"/>
          <w:rFonts w:ascii="Calibri" w:eastAsia="Times New Roman" w:hAnsi="Calibri" w:cs="Calibri"/>
          <w:bCs/>
          <w:sz w:val="24"/>
          <w:szCs w:val="24"/>
          <w:lang w:eastAsia="cs-CZ"/>
        </w:rPr>
        <w:footnoteReference w:id="3"/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(viz odst. 4.</w:t>
      </w:r>
      <w:r w:rsidR="00CE4F88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5</w:t>
      </w:r>
      <w:r w:rsidR="00D81613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až 4.1</w:t>
      </w:r>
      <w:r w:rsidR="00442302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  <w:r w:rsidR="00C3636E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>).</w:t>
      </w:r>
      <w:r w:rsidR="00D81613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3813F1" w:rsidRPr="000B0A2D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  </w:t>
      </w:r>
    </w:p>
    <w:p w14:paraId="1CD1A623" w14:textId="21CA8272" w:rsidR="00C3636E" w:rsidRDefault="00C3636E" w:rsidP="00AF282D">
      <w:pPr>
        <w:pStyle w:val="Odstavecseseznamem"/>
        <w:numPr>
          <w:ilvl w:val="0"/>
          <w:numId w:val="26"/>
        </w:numPr>
        <w:spacing w:after="12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bookmarkStart w:id="3" w:name="_Hlk192856780"/>
      <w:r w:rsidRPr="003813F1">
        <w:rPr>
          <w:rFonts w:ascii="Calibri" w:eastAsia="Times New Roman" w:hAnsi="Calibri" w:cs="Calibri"/>
          <w:bCs/>
          <w:sz w:val="24"/>
          <w:szCs w:val="24"/>
          <w:lang w:eastAsia="cs-CZ"/>
        </w:rPr>
        <w:t>NKÚ na vzorku</w:t>
      </w:r>
      <w:r w:rsidR="0061756B" w:rsidRPr="003813F1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3813F1">
        <w:rPr>
          <w:rFonts w:ascii="Calibri" w:eastAsia="Times New Roman" w:hAnsi="Calibri" w:cs="Calibri"/>
          <w:bCs/>
          <w:sz w:val="24"/>
          <w:szCs w:val="24"/>
          <w:lang w:eastAsia="cs-CZ"/>
        </w:rPr>
        <w:t>nákupů</w:t>
      </w:r>
      <w:r w:rsidRPr="004C2C09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majetku</w:t>
      </w:r>
      <w:r w:rsidRPr="0053128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ověřil, že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E17CE5">
        <w:rPr>
          <w:rFonts w:ascii="Calibri" w:eastAsia="Times New Roman" w:hAnsi="Calibri" w:cs="Calibri"/>
          <w:bCs/>
          <w:sz w:val="24"/>
          <w:szCs w:val="24"/>
          <w:lang w:eastAsia="cs-CZ"/>
        </w:rPr>
        <w:t>ERÚ v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>e většině kontrolovaných</w:t>
      </w:r>
      <w:r w:rsidRPr="00E17CE5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případ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>ů</w:t>
      </w:r>
      <w:r w:rsidRPr="00E17CE5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postupoval účelně, hospodárně a v souladu s právními předpisy.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bookmarkEnd w:id="3"/>
      <w:r w:rsidR="001C63D6">
        <w:rPr>
          <w:rFonts w:ascii="Calibri" w:eastAsia="Times New Roman" w:hAnsi="Calibri" w:cs="Calibri"/>
          <w:bCs/>
          <w:sz w:val="24"/>
          <w:szCs w:val="24"/>
          <w:lang w:eastAsia="cs-CZ"/>
        </w:rPr>
        <w:t>NKÚ zjistil, že ERÚ ve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t</w:t>
      </w:r>
      <w:r w:rsidR="001C63D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řech 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>případ</w:t>
      </w:r>
      <w:r w:rsidR="001C63D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ech </w:t>
      </w:r>
      <w:r w:rsidR="00337500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kontrolovaných </w:t>
      </w:r>
      <w:r w:rsidR="001C63D6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nákupů </w:t>
      </w:r>
      <w:r w:rsidRPr="003C7BD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pořizoval </w:t>
      </w:r>
      <w:r w:rsidRPr="003C7BD7">
        <w:rPr>
          <w:rFonts w:ascii="Calibri" w:eastAsia="Calibri" w:hAnsi="Calibri" w:cs="Calibri"/>
          <w:kern w:val="0"/>
          <w:sz w:val="24"/>
          <w:szCs w:val="24"/>
          <w14:ligatures w14:val="none"/>
        </w:rPr>
        <w:t>prostředky ICT</w:t>
      </w:r>
      <w:r w:rsidRPr="00B903E3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4"/>
      </w:r>
      <w:r w:rsidRPr="003C7BD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1C63D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vybrané </w:t>
      </w:r>
      <w:r w:rsidRPr="003C7BD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značky </w:t>
      </w:r>
      <w:r w:rsidR="001C63D6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vyšší cenové úrovně </w:t>
      </w:r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bez řádného odůvodnění potřeby nákupu</w:t>
      </w:r>
      <w:r w:rsidR="00A84997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NKÚ vyhodnotil, že ERÚ v těchto případech neprovedl </w:t>
      </w:r>
      <w:bookmarkStart w:id="4" w:name="_Hlk193285332"/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předběžnou říd</w:t>
      </w:r>
      <w:r w:rsidR="000F151E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cí kontrolu řádným způsobem</w:t>
      </w:r>
      <w:bookmarkEnd w:id="4"/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CA06D2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když</w:t>
      </w:r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odpovídajícím způsobem neposoudil hospodárnost a účelnost připravované operace</w:t>
      </w:r>
      <w:r w:rsidR="002E2768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. Nákup jedné položky vyhodnotil NKÚ jako neúčelný</w:t>
      </w:r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(viz odst. 4.1</w:t>
      </w:r>
      <w:r w:rsidR="00442302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6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až 4.2</w:t>
      </w:r>
      <w:r w:rsidR="00442302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).</w:t>
      </w:r>
    </w:p>
    <w:p w14:paraId="31DF4690" w14:textId="3F0E7E7A" w:rsidR="00C3636E" w:rsidRPr="009551B5" w:rsidRDefault="00C3636E" w:rsidP="00AF282D">
      <w:pPr>
        <w:pStyle w:val="Odstavecseseznamem"/>
        <w:numPr>
          <w:ilvl w:val="0"/>
          <w:numId w:val="26"/>
        </w:numPr>
        <w:spacing w:after="12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NKÚ </w:t>
      </w:r>
      <w:r w:rsidRPr="004C2C09">
        <w:rPr>
          <w:rFonts w:ascii="Calibri" w:eastAsia="Times New Roman" w:hAnsi="Calibri" w:cs="Calibri"/>
          <w:bCs/>
          <w:sz w:val="24"/>
          <w:szCs w:val="24"/>
          <w:lang w:eastAsia="cs-CZ"/>
        </w:rPr>
        <w:t>na vzorku</w:t>
      </w:r>
      <w:r w:rsidR="0061756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4C2C09">
        <w:rPr>
          <w:rFonts w:ascii="Calibri" w:eastAsia="Times New Roman" w:hAnsi="Calibri" w:cs="Calibri"/>
          <w:bCs/>
          <w:sz w:val="24"/>
          <w:szCs w:val="24"/>
          <w:lang w:eastAsia="cs-CZ"/>
        </w:rPr>
        <w:t>nákupů služeb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ověřil, že ERÚ ve většině kontrolovaných případů postupoval účelně</w:t>
      </w:r>
      <w:r w:rsidR="00470A30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a v souladu s právními předpisy. </w:t>
      </w:r>
      <w:r w:rsidR="00337500">
        <w:rPr>
          <w:rFonts w:ascii="Calibri" w:eastAsia="Times New Roman" w:hAnsi="Calibri" w:cs="Calibri"/>
          <w:bCs/>
          <w:sz w:val="24"/>
          <w:szCs w:val="24"/>
          <w:lang w:eastAsia="cs-CZ"/>
        </w:rPr>
        <w:t>NKÚ zjistil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, </w:t>
      </w:r>
      <w:r w:rsidR="00337500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že 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ERÚ </w:t>
      </w:r>
      <w:r w:rsidR="00337500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v jednom případě 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>kontrolovaných veřejných zakázek na služby neprovedl předběžnou říd</w:t>
      </w:r>
      <w:r w:rsidR="000F151E">
        <w:rPr>
          <w:rFonts w:ascii="Calibri" w:eastAsia="Times New Roman" w:hAnsi="Calibri" w:cs="Calibri"/>
          <w:bCs/>
          <w:sz w:val="24"/>
          <w:szCs w:val="24"/>
          <w:lang w:eastAsia="cs-CZ"/>
        </w:rPr>
        <w:t>i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cí 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lastRenderedPageBreak/>
        <w:t xml:space="preserve">kontrolu řádným způsobem, když neprovedl relevantní průzkum trhu pro stanovení předpokládané hodnoty 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veřejné </w:t>
      </w:r>
      <w:r w:rsidRPr="001E6773">
        <w:rPr>
          <w:rFonts w:ascii="Calibri" w:eastAsia="Times New Roman" w:hAnsi="Calibri" w:cs="Calibri"/>
          <w:bCs/>
          <w:sz w:val="24"/>
          <w:szCs w:val="24"/>
          <w:lang w:eastAsia="cs-CZ"/>
        </w:rPr>
        <w:t>zakázky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(</w:t>
      </w:r>
      <w:r w:rsidRPr="00461D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viz odst. </w:t>
      </w:r>
      <w:r w:rsidRPr="00442302">
        <w:rPr>
          <w:rFonts w:ascii="Calibri" w:eastAsia="Times New Roman" w:hAnsi="Calibri" w:cs="Calibri"/>
          <w:bCs/>
          <w:sz w:val="24"/>
          <w:szCs w:val="24"/>
          <w:lang w:eastAsia="cs-CZ"/>
        </w:rPr>
        <w:t>4.</w:t>
      </w:r>
      <w:r w:rsidR="00442302" w:rsidRPr="00442302">
        <w:rPr>
          <w:rFonts w:ascii="Calibri" w:eastAsia="Times New Roman" w:hAnsi="Calibri" w:cs="Calibri"/>
          <w:bCs/>
          <w:sz w:val="24"/>
          <w:szCs w:val="24"/>
          <w:lang w:eastAsia="cs-CZ"/>
        </w:rPr>
        <w:t>28</w:t>
      </w:r>
      <w:r w:rsidRPr="00442302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až 4.</w:t>
      </w:r>
      <w:r w:rsidR="00442302" w:rsidRPr="00442302">
        <w:rPr>
          <w:rFonts w:ascii="Calibri" w:eastAsia="Times New Roman" w:hAnsi="Calibri" w:cs="Calibri"/>
          <w:bCs/>
          <w:sz w:val="24"/>
          <w:szCs w:val="24"/>
          <w:lang w:eastAsia="cs-CZ"/>
        </w:rPr>
        <w:t>29</w:t>
      </w:r>
      <w:r w:rsidRPr="00442302">
        <w:rPr>
          <w:rFonts w:ascii="Calibri" w:eastAsia="Times New Roman" w:hAnsi="Calibri" w:cs="Calibri"/>
          <w:bCs/>
          <w:sz w:val="24"/>
          <w:szCs w:val="24"/>
          <w:lang w:eastAsia="cs-CZ"/>
        </w:rPr>
        <w:t>).</w:t>
      </w:r>
    </w:p>
    <w:p w14:paraId="4772490D" w14:textId="4BF4DD25" w:rsidR="00C3636E" w:rsidRPr="00F37C3B" w:rsidRDefault="00C3636E" w:rsidP="00AF282D">
      <w:pPr>
        <w:pStyle w:val="Odstavecseseznamem"/>
        <w:numPr>
          <w:ilvl w:val="0"/>
          <w:numId w:val="26"/>
        </w:numPr>
        <w:spacing w:after="12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A9772A">
        <w:rPr>
          <w:rFonts w:ascii="Calibri" w:eastAsia="Times New Roman" w:hAnsi="Calibri" w:cs="Calibri"/>
          <w:bCs/>
          <w:sz w:val="24"/>
          <w:szCs w:val="24"/>
          <w:lang w:eastAsia="cs-CZ"/>
        </w:rPr>
        <w:t>NKÚ ověřil, že</w:t>
      </w:r>
      <w:r w:rsidRPr="00BF20C5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ERÚ </w:t>
      </w:r>
      <w:r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>postupoval při evidenci, inventarizaci a vyřazování majetku v souladu s právními předpisy (viz odst. 4.4</w:t>
      </w:r>
      <w:r w:rsidR="002B31C6">
        <w:rPr>
          <w:rFonts w:ascii="Calibri" w:eastAsia="Times New Roman" w:hAnsi="Calibri" w:cs="Calibri"/>
          <w:bCs/>
          <w:sz w:val="24"/>
          <w:szCs w:val="24"/>
          <w:lang w:eastAsia="cs-CZ"/>
        </w:rPr>
        <w:t>3</w:t>
      </w:r>
      <w:r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až 4.4</w:t>
      </w:r>
      <w:r w:rsidR="002B31C6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  <w:r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>).</w:t>
      </w:r>
    </w:p>
    <w:p w14:paraId="066965CC" w14:textId="78123EA1" w:rsidR="00C3636E" w:rsidRDefault="00C3636E" w:rsidP="00AF282D">
      <w:pPr>
        <w:pStyle w:val="Odstavecseseznamem"/>
        <w:numPr>
          <w:ilvl w:val="0"/>
          <w:numId w:val="26"/>
        </w:numPr>
        <w:spacing w:after="12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>NKÚ na vzorku</w:t>
      </w:r>
      <w:r w:rsidR="0061756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>pohledávek ověřil, že ERÚ postupoval při jejich vymáhání a odepisování v souladu s právními předpisy (viz odst. 4.</w:t>
      </w:r>
      <w:r w:rsidR="00F37C3B"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  <w:r w:rsidR="002B31C6">
        <w:rPr>
          <w:rFonts w:ascii="Calibri" w:eastAsia="Times New Roman" w:hAnsi="Calibri" w:cs="Calibri"/>
          <w:bCs/>
          <w:sz w:val="24"/>
          <w:szCs w:val="24"/>
          <w:lang w:eastAsia="cs-CZ"/>
        </w:rPr>
        <w:t>6</w:t>
      </w:r>
      <w:r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až 4.</w:t>
      </w:r>
      <w:r w:rsidR="002B31C6">
        <w:rPr>
          <w:rFonts w:ascii="Calibri" w:eastAsia="Times New Roman" w:hAnsi="Calibri" w:cs="Calibri"/>
          <w:bCs/>
          <w:sz w:val="24"/>
          <w:szCs w:val="24"/>
          <w:lang w:eastAsia="cs-CZ"/>
        </w:rPr>
        <w:t>48</w:t>
      </w:r>
      <w:r w:rsidRPr="00F37C3B">
        <w:rPr>
          <w:rFonts w:ascii="Calibri" w:eastAsia="Times New Roman" w:hAnsi="Calibri" w:cs="Calibri"/>
          <w:bCs/>
          <w:sz w:val="24"/>
          <w:szCs w:val="24"/>
          <w:lang w:eastAsia="cs-CZ"/>
        </w:rPr>
        <w:t>).</w:t>
      </w:r>
    </w:p>
    <w:p w14:paraId="30586CC9" w14:textId="77E805C3" w:rsidR="00086197" w:rsidRPr="00A84997" w:rsidRDefault="00C3636E" w:rsidP="00086197">
      <w:pPr>
        <w:pStyle w:val="Odstavecseseznamem"/>
        <w:numPr>
          <w:ilvl w:val="0"/>
          <w:numId w:val="26"/>
        </w:numPr>
        <w:spacing w:after="12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NKÚ v rámci kontroly fungování vnitřního kontrolního systému ERÚ na vybraných vzorcích nákupů majetku a služeb zjistil,</w:t>
      </w:r>
      <w:r w:rsidR="00A84997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že E</w:t>
      </w:r>
      <w:r w:rsidR="00854806" w:rsidRPr="00A84997">
        <w:rPr>
          <w:rFonts w:ascii="Calibri" w:hAnsi="Calibri" w:cs="Calibri"/>
          <w:sz w:val="24"/>
          <w:szCs w:val="24"/>
        </w:rPr>
        <w:t xml:space="preserve">RÚ neprovedl </w:t>
      </w:r>
      <w:r w:rsidR="006001D0" w:rsidRPr="00A84997">
        <w:rPr>
          <w:rFonts w:ascii="Calibri" w:hAnsi="Calibri" w:cs="Calibri"/>
          <w:sz w:val="24"/>
          <w:szCs w:val="24"/>
        </w:rPr>
        <w:t>ve</w:t>
      </w:r>
      <w:r w:rsidR="00AA5960" w:rsidRPr="00A84997">
        <w:rPr>
          <w:rFonts w:ascii="Calibri" w:hAnsi="Calibri" w:cs="Calibri"/>
          <w:sz w:val="24"/>
          <w:szCs w:val="24"/>
        </w:rPr>
        <w:t xml:space="preserve"> </w:t>
      </w:r>
      <w:r w:rsidR="000F151E">
        <w:rPr>
          <w:rFonts w:ascii="Calibri" w:hAnsi="Calibri" w:cs="Calibri"/>
          <w:sz w:val="24"/>
          <w:szCs w:val="24"/>
        </w:rPr>
        <w:t>čtyřech</w:t>
      </w:r>
      <w:r w:rsidR="00AA5960" w:rsidRPr="00A84997">
        <w:rPr>
          <w:rFonts w:ascii="Calibri" w:hAnsi="Calibri" w:cs="Calibri"/>
          <w:sz w:val="24"/>
          <w:szCs w:val="24"/>
        </w:rPr>
        <w:t xml:space="preserve"> případ</w:t>
      </w:r>
      <w:r w:rsidR="006001D0" w:rsidRPr="00A84997">
        <w:rPr>
          <w:rFonts w:ascii="Calibri" w:hAnsi="Calibri" w:cs="Calibri"/>
          <w:sz w:val="24"/>
          <w:szCs w:val="24"/>
        </w:rPr>
        <w:t>ech</w:t>
      </w:r>
      <w:r w:rsidR="00AA5960" w:rsidRPr="00A84997">
        <w:rPr>
          <w:rFonts w:ascii="Calibri" w:hAnsi="Calibri" w:cs="Calibri"/>
          <w:sz w:val="24"/>
          <w:szCs w:val="24"/>
        </w:rPr>
        <w:t xml:space="preserve"> </w:t>
      </w:r>
      <w:r w:rsidR="00854806" w:rsidRPr="00A84997">
        <w:rPr>
          <w:rFonts w:ascii="Calibri" w:hAnsi="Calibri" w:cs="Calibri"/>
          <w:sz w:val="24"/>
          <w:szCs w:val="24"/>
        </w:rPr>
        <w:t>řádným způsobem předběžnou říd</w:t>
      </w:r>
      <w:r w:rsidR="000F151E">
        <w:rPr>
          <w:rFonts w:ascii="Calibri" w:hAnsi="Calibri" w:cs="Calibri"/>
          <w:sz w:val="24"/>
          <w:szCs w:val="24"/>
        </w:rPr>
        <w:t>i</w:t>
      </w:r>
      <w:r w:rsidR="00854806" w:rsidRPr="00A84997">
        <w:rPr>
          <w:rFonts w:ascii="Calibri" w:hAnsi="Calibri" w:cs="Calibri"/>
          <w:sz w:val="24"/>
          <w:szCs w:val="24"/>
        </w:rPr>
        <w:t>cí kontrolu připravované operace, když odpovídajícím způsobem neposoudil hospodárnost zvoleného řešení nákupu majetku nebo služby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(viz písm. </w:t>
      </w:r>
      <w:r w:rsidR="001F0651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b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) a </w:t>
      </w:r>
      <w:r w:rsidR="001F0651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c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) a odst. 4.5</w:t>
      </w:r>
      <w:r w:rsidR="0050209A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).</w:t>
      </w:r>
    </w:p>
    <w:p w14:paraId="4B2BECB7" w14:textId="17F21AA1" w:rsidR="00C3636E" w:rsidRPr="00A84997" w:rsidRDefault="00C3636E" w:rsidP="00086197">
      <w:pPr>
        <w:pStyle w:val="Odstavecseseznamem"/>
        <w:numPr>
          <w:ilvl w:val="0"/>
          <w:numId w:val="26"/>
        </w:numPr>
        <w:spacing w:after="120" w:line="240" w:lineRule="auto"/>
        <w:ind w:left="851" w:hanging="284"/>
        <w:contextualSpacing w:val="0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ERÚ využíval </w:t>
      </w:r>
      <w:r w:rsidR="000F151E">
        <w:rPr>
          <w:rFonts w:ascii="Calibri" w:eastAsia="Times New Roman" w:hAnsi="Calibri" w:cs="Calibri"/>
          <w:bCs/>
          <w:sz w:val="24"/>
          <w:szCs w:val="24"/>
          <w:lang w:eastAsia="cs-CZ"/>
        </w:rPr>
        <w:t>dvě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dislokovaná pracoviště – v Praze a v Ostravě. NKÚ zjistil, že </w:t>
      </w:r>
      <w:r w:rsidR="00AA5960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výdaje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na provoz dislokovaných pracovišť se výrazně lišily, a to při srovnatelných počtech </w:t>
      </w:r>
      <w:r w:rsidR="007D004C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systemizovaných míst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na jednotlivých pracovištích.</w:t>
      </w:r>
      <w:r w:rsidR="00DE2415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Významně vyšší </w:t>
      </w:r>
      <w:r w:rsidR="00AA5960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výdaje 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na dislokovaném pracovišti Praha byly způsobeny umístěním pracoviště v komerčních nebytových prostorách s</w:t>
      </w:r>
      <w:r w:rsidR="00ED6D67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povinností hradit komerční nájemné</w:t>
      </w:r>
      <w:r w:rsidR="00E231AA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poté, co </w:t>
      </w:r>
      <w:r w:rsidR="00844F96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se </w:t>
      </w:r>
      <w:r w:rsidR="00E231AA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ERÚ </w:t>
      </w:r>
      <w:r w:rsidR="00844F96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nepodařilo nalézt</w:t>
      </w:r>
      <w:r w:rsidR="00E231AA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vhodné prostory v majetku státu</w:t>
      </w:r>
      <w:r w:rsidR="00475CDB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(viz odst. 4.</w:t>
      </w:r>
      <w:r w:rsidR="00F37C3B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3</w:t>
      </w:r>
      <w:r w:rsidR="002B31C6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4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až 4.4</w:t>
      </w:r>
      <w:r w:rsidR="002B31C6"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1</w:t>
      </w:r>
      <w:r w:rsidRPr="00A84997">
        <w:rPr>
          <w:rFonts w:ascii="Calibri" w:eastAsia="Times New Roman" w:hAnsi="Calibri" w:cs="Calibri"/>
          <w:bCs/>
          <w:sz w:val="24"/>
          <w:szCs w:val="24"/>
          <w:lang w:eastAsia="cs-CZ"/>
        </w:rPr>
        <w:t>).</w:t>
      </w:r>
    </w:p>
    <w:p w14:paraId="111609C7" w14:textId="3DF458FF" w:rsidR="006243BA" w:rsidRPr="00603CFB" w:rsidRDefault="00603CFB" w:rsidP="00603CFB">
      <w:pPr>
        <w:spacing w:after="120" w:line="240" w:lineRule="auto"/>
        <w:ind w:left="567" w:hanging="567"/>
        <w:jc w:val="both"/>
        <w:rPr>
          <w:rFonts w:ascii="Calibri" w:eastAsia="Times New Roman" w:hAnsi="Calibri" w:cs="Calibri"/>
          <w:bCs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1.6 </w:t>
      </w:r>
      <w:r>
        <w:rPr>
          <w:rFonts w:ascii="Calibri" w:eastAsia="Times New Roman" w:hAnsi="Calibri" w:cs="Calibri"/>
          <w:bCs/>
          <w:sz w:val="24"/>
          <w:szCs w:val="24"/>
          <w:lang w:eastAsia="cs-CZ"/>
        </w:rPr>
        <w:tab/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Vzhledem k významnému rozdílu v provozních </w:t>
      </w:r>
      <w:r w:rsidR="00174324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výdajích</w:t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dislokovaných pracovišť doporučuje</w:t>
      </w:r>
      <w:r w:rsidR="00B30158" w:rsidRPr="00B30158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B30158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NKÚ</w:t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, aby ERÚ pokračoval v hledání možnost</w:t>
      </w:r>
      <w:r w:rsidR="00944A45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í</w:t>
      </w:r>
      <w:r w:rsidR="00B30158">
        <w:rPr>
          <w:rFonts w:ascii="Calibri" w:eastAsia="Times New Roman" w:hAnsi="Calibri" w:cs="Calibri"/>
          <w:bCs/>
          <w:sz w:val="24"/>
          <w:szCs w:val="24"/>
          <w:lang w:eastAsia="cs-CZ"/>
        </w:rPr>
        <w:t>,</w:t>
      </w:r>
      <w:r w:rsidR="00B868A3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jak tyto </w:t>
      </w:r>
      <w:r w:rsidR="00174324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výdaje</w:t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snížit cestou umístění pražské pobočky do objektu v</w:t>
      </w:r>
      <w:r w:rsidR="00B868A3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majetku státu nebo do vhodného objektu s nižším nájemným, případně aby </w:t>
      </w:r>
      <w:r w:rsidR="00944A45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řešil</w:t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944A45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rozsah pronajímaných prostor</w:t>
      </w:r>
      <w:r w:rsidR="0069154F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pražské pobočky</w:t>
      </w:r>
      <w:r w:rsidR="00944A45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s ohledem na</w:t>
      </w:r>
      <w:r w:rsidR="00111CD0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změny v</w:t>
      </w:r>
      <w:r w:rsidR="00944A45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poč</w:t>
      </w:r>
      <w:r w:rsidR="00111CD0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>tu</w:t>
      </w:r>
      <w:r w:rsidR="00944A45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systemizovaných míst.</w:t>
      </w:r>
      <w:r w:rsidR="006243BA" w:rsidRPr="00603CFB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NKÚ dále doporučuje úpravou vnitřních předpisů provést standardizaci vybavení ICT majetkem včetně vybavení členů Rady ERÚ.</w:t>
      </w:r>
    </w:p>
    <w:p w14:paraId="65243389" w14:textId="7DF49162" w:rsidR="000C7A92" w:rsidRPr="00CF1CA7" w:rsidRDefault="00BB6D9E" w:rsidP="002A4CB5">
      <w:pPr>
        <w:spacing w:before="840" w:after="24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903E3">
        <w:rPr>
          <w:rFonts w:ascii="Calibri" w:hAnsi="Calibri" w:cs="Calibri"/>
          <w:b/>
          <w:bCs/>
          <w:sz w:val="28"/>
          <w:szCs w:val="28"/>
        </w:rPr>
        <w:t>II. Informace o kontrolované oblasti</w:t>
      </w:r>
    </w:p>
    <w:p w14:paraId="2D52AD38" w14:textId="59815C46" w:rsidR="00CF1CA7" w:rsidRPr="009571D9" w:rsidRDefault="009571D9" w:rsidP="009571D9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2.1 </w:t>
      </w:r>
      <w:r>
        <w:rPr>
          <w:rFonts w:ascii="Calibri" w:hAnsi="Calibri" w:cs="Calibri"/>
          <w:sz w:val="24"/>
          <w:szCs w:val="24"/>
        </w:rPr>
        <w:tab/>
      </w:r>
      <w:r w:rsidR="00060B51" w:rsidRPr="009571D9">
        <w:rPr>
          <w:rFonts w:ascii="Calibri" w:hAnsi="Calibri" w:cs="Calibri"/>
          <w:sz w:val="24"/>
          <w:szCs w:val="24"/>
        </w:rPr>
        <w:t>Energetický regulační úřad byl zřízen zákonem č. 458/2000 Sb.</w:t>
      </w:r>
      <w:r w:rsidR="00060B51" w:rsidRPr="00B903E3">
        <w:rPr>
          <w:rStyle w:val="Znakapoznpodarou"/>
          <w:rFonts w:ascii="Calibri" w:hAnsi="Calibri" w:cs="Calibri"/>
          <w:sz w:val="24"/>
          <w:szCs w:val="24"/>
        </w:rPr>
        <w:footnoteReference w:id="5"/>
      </w:r>
      <w:r w:rsidR="00060B51" w:rsidRPr="009571D9">
        <w:rPr>
          <w:rFonts w:ascii="Calibri" w:hAnsi="Calibri" w:cs="Calibri"/>
          <w:sz w:val="24"/>
          <w:szCs w:val="24"/>
        </w:rPr>
        <w:t xml:space="preserve"> jako správní úřad pro výkon regulace v energetických odvětvích</w:t>
      </w:r>
      <w:r w:rsidR="00AA5960" w:rsidRPr="009571D9">
        <w:rPr>
          <w:rFonts w:ascii="Calibri" w:hAnsi="Calibri" w:cs="Calibri"/>
          <w:sz w:val="24"/>
          <w:szCs w:val="24"/>
        </w:rPr>
        <w:t>. ERÚ je správcem kapitoly státního rozpočtu 3</w:t>
      </w:r>
      <w:r w:rsidR="006A447C" w:rsidRPr="009571D9">
        <w:rPr>
          <w:rFonts w:ascii="Calibri" w:hAnsi="Calibri" w:cs="Calibri"/>
          <w:sz w:val="24"/>
          <w:szCs w:val="24"/>
        </w:rPr>
        <w:t>49</w:t>
      </w:r>
      <w:r w:rsidR="00AA5960" w:rsidRPr="009571D9">
        <w:rPr>
          <w:rFonts w:ascii="Calibri" w:hAnsi="Calibri" w:cs="Calibri"/>
          <w:sz w:val="24"/>
          <w:szCs w:val="24"/>
        </w:rPr>
        <w:t xml:space="preserve">. </w:t>
      </w:r>
      <w:r w:rsidR="00060B51" w:rsidRPr="009571D9">
        <w:rPr>
          <w:rFonts w:ascii="Calibri" w:hAnsi="Calibri" w:cs="Calibri"/>
          <w:sz w:val="24"/>
          <w:szCs w:val="24"/>
        </w:rPr>
        <w:t>V působnosti ERÚ je zejména regulace cen a podpora hospodářské soutěže v</w:t>
      </w:r>
      <w:r w:rsidR="00A84997" w:rsidRPr="009571D9">
        <w:rPr>
          <w:rFonts w:ascii="Calibri" w:hAnsi="Calibri" w:cs="Calibri"/>
          <w:sz w:val="24"/>
          <w:szCs w:val="24"/>
        </w:rPr>
        <w:t> </w:t>
      </w:r>
      <w:r w:rsidR="00060B51" w:rsidRPr="009571D9">
        <w:rPr>
          <w:rFonts w:ascii="Calibri" w:hAnsi="Calibri" w:cs="Calibri"/>
          <w:sz w:val="24"/>
          <w:szCs w:val="24"/>
        </w:rPr>
        <w:t>energetických odvětvích, výkon dohledu nad trhy v energetických odvětvích a podpora využívání obnovitelných a druhotných zdrojů energie. ERÚ je organizační složkou státu a</w:t>
      </w:r>
      <w:r w:rsidR="00A84997" w:rsidRPr="009571D9">
        <w:rPr>
          <w:rFonts w:ascii="Calibri" w:hAnsi="Calibri" w:cs="Calibri"/>
          <w:sz w:val="24"/>
          <w:szCs w:val="24"/>
        </w:rPr>
        <w:t> </w:t>
      </w:r>
      <w:r w:rsidR="00060B51" w:rsidRPr="009571D9">
        <w:rPr>
          <w:rFonts w:ascii="Calibri" w:hAnsi="Calibri" w:cs="Calibri"/>
          <w:sz w:val="24"/>
          <w:szCs w:val="24"/>
        </w:rPr>
        <w:t>účetní jednotkou. ERÚ má sídlo v</w:t>
      </w:r>
      <w:r>
        <w:rPr>
          <w:rFonts w:ascii="Calibri" w:hAnsi="Calibri" w:cs="Calibri"/>
          <w:sz w:val="24"/>
          <w:szCs w:val="24"/>
        </w:rPr>
        <w:t> </w:t>
      </w:r>
      <w:r w:rsidR="00060B51" w:rsidRPr="009571D9">
        <w:rPr>
          <w:rFonts w:ascii="Calibri" w:hAnsi="Calibri" w:cs="Calibri"/>
          <w:sz w:val="24"/>
          <w:szCs w:val="24"/>
        </w:rPr>
        <w:t>Jihlavě</w:t>
      </w:r>
      <w:r>
        <w:rPr>
          <w:rFonts w:ascii="Calibri" w:hAnsi="Calibri" w:cs="Calibri"/>
          <w:sz w:val="24"/>
          <w:szCs w:val="24"/>
        </w:rPr>
        <w:t xml:space="preserve"> </w:t>
      </w:r>
      <w:r w:rsidR="00060B51" w:rsidRPr="009571D9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 </w:t>
      </w:r>
      <w:r w:rsidR="00060B51" w:rsidRPr="009571D9">
        <w:rPr>
          <w:rFonts w:ascii="Calibri" w:hAnsi="Calibri" w:cs="Calibri"/>
          <w:sz w:val="24"/>
          <w:szCs w:val="24"/>
        </w:rPr>
        <w:t>dislokovaná pracoviště v Praze a v Ostravě.</w:t>
      </w:r>
    </w:p>
    <w:p w14:paraId="2E9C42DC" w14:textId="2E583B80" w:rsidR="00CB7BFA" w:rsidRPr="009571D9" w:rsidRDefault="009571D9" w:rsidP="009571D9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2.2 </w:t>
      </w:r>
      <w:r>
        <w:rPr>
          <w:rFonts w:ascii="Calibri" w:hAnsi="Calibri" w:cs="Calibri"/>
          <w:sz w:val="24"/>
          <w:szCs w:val="24"/>
        </w:rPr>
        <w:tab/>
      </w:r>
      <w:r w:rsidR="00060B51" w:rsidRPr="009571D9">
        <w:rPr>
          <w:rFonts w:ascii="Calibri" w:hAnsi="Calibri" w:cs="Calibri"/>
          <w:sz w:val="24"/>
          <w:szCs w:val="24"/>
        </w:rPr>
        <w:t xml:space="preserve">ERÚ hospodařil v kontrolovaném období s majetkem a peněžními prostředky uvedenými v tabulce č. </w:t>
      </w:r>
      <w:r w:rsidR="00727C97" w:rsidRPr="009571D9">
        <w:rPr>
          <w:rFonts w:ascii="Calibri" w:hAnsi="Calibri" w:cs="Calibri"/>
          <w:sz w:val="24"/>
          <w:szCs w:val="24"/>
        </w:rPr>
        <w:t>1</w:t>
      </w:r>
      <w:r w:rsidR="00060B51" w:rsidRPr="009571D9">
        <w:rPr>
          <w:rFonts w:ascii="Calibri" w:hAnsi="Calibri" w:cs="Calibri"/>
          <w:sz w:val="24"/>
          <w:szCs w:val="24"/>
        </w:rPr>
        <w:t>.</w:t>
      </w:r>
      <w:r w:rsidR="00060B51" w:rsidRPr="009571D9">
        <w:rPr>
          <w:rFonts w:ascii="Calibri" w:hAnsi="Calibri" w:cs="Calibri"/>
        </w:rPr>
        <w:t xml:space="preserve"> </w:t>
      </w:r>
      <w:r w:rsidR="00060B51" w:rsidRPr="009571D9">
        <w:rPr>
          <w:rFonts w:ascii="Calibri" w:hAnsi="Calibri" w:cs="Calibri"/>
          <w:sz w:val="24"/>
          <w:szCs w:val="24"/>
        </w:rPr>
        <w:t>Tabulka obsahuje rovněž údaje o počtech zaměstnanců ERÚ.</w:t>
      </w:r>
      <w:bookmarkStart w:id="5" w:name="_Hlk192750786"/>
    </w:p>
    <w:p w14:paraId="637618CE" w14:textId="77777777" w:rsidR="002A4CB5" w:rsidRDefault="002A4CB5">
      <w:pPr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br w:type="page"/>
      </w:r>
    </w:p>
    <w:p w14:paraId="6BEBC165" w14:textId="6207058D" w:rsidR="00060B51" w:rsidRPr="00B33773" w:rsidRDefault="00060B51" w:rsidP="00613F4B">
      <w:pPr>
        <w:tabs>
          <w:tab w:val="right" w:pos="9072"/>
        </w:tabs>
        <w:spacing w:before="120" w:after="40" w:line="240" w:lineRule="auto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B33773">
        <w:rPr>
          <w:rFonts w:ascii="Calibri" w:eastAsia="Calibri" w:hAnsi="Calibri" w:cs="Calibri"/>
          <w:b/>
          <w:iCs/>
          <w:sz w:val="24"/>
          <w:szCs w:val="24"/>
        </w:rPr>
        <w:lastRenderedPageBreak/>
        <w:t xml:space="preserve">Tabulka č. </w:t>
      </w:r>
      <w:r w:rsidR="00727C97" w:rsidRPr="00B33773">
        <w:rPr>
          <w:rFonts w:ascii="Calibri" w:eastAsia="Calibri" w:hAnsi="Calibri" w:cs="Calibri"/>
          <w:b/>
          <w:iCs/>
          <w:sz w:val="24"/>
          <w:szCs w:val="24"/>
        </w:rPr>
        <w:t>1</w:t>
      </w:r>
      <w:r w:rsidR="00C3254E">
        <w:rPr>
          <w:rFonts w:ascii="Calibri" w:eastAsia="Calibri" w:hAnsi="Calibri" w:cs="Calibri"/>
          <w:b/>
          <w:iCs/>
          <w:sz w:val="24"/>
          <w:szCs w:val="24"/>
        </w:rPr>
        <w:t>:</w:t>
      </w:r>
      <w:r w:rsidRPr="00B33773">
        <w:rPr>
          <w:rFonts w:ascii="Calibri" w:eastAsia="Calibri" w:hAnsi="Calibri" w:cs="Calibri"/>
          <w:b/>
          <w:iCs/>
          <w:sz w:val="24"/>
          <w:szCs w:val="24"/>
        </w:rPr>
        <w:t xml:space="preserve"> Údaje o majetku a o peněžních ukazatelích ERÚ </w:t>
      </w:r>
      <w:r w:rsidR="00C3254E">
        <w:rPr>
          <w:rFonts w:ascii="Calibri" w:eastAsia="Calibri" w:hAnsi="Calibri" w:cs="Calibri"/>
          <w:b/>
          <w:iCs/>
          <w:sz w:val="24"/>
          <w:szCs w:val="24"/>
        </w:rPr>
        <w:tab/>
      </w:r>
      <w:r w:rsidRPr="00B33773">
        <w:rPr>
          <w:rFonts w:ascii="Calibri" w:eastAsia="Calibri" w:hAnsi="Calibri" w:cs="Calibri"/>
          <w:b/>
          <w:iCs/>
          <w:sz w:val="24"/>
          <w:szCs w:val="24"/>
        </w:rPr>
        <w:t>(v mil. Kč)</w:t>
      </w:r>
    </w:p>
    <w:tbl>
      <w:tblPr>
        <w:tblW w:w="85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061"/>
        <w:gridCol w:w="1062"/>
        <w:gridCol w:w="1062"/>
        <w:gridCol w:w="1062"/>
      </w:tblGrid>
      <w:tr w:rsidR="00060B51" w:rsidRPr="00B903E3" w14:paraId="768231C7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72944" w14:textId="77777777" w:rsidR="00060B51" w:rsidRPr="00B903E3" w:rsidRDefault="00060B51" w:rsidP="00AF282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Ukazatel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6ECFE" w14:textId="77777777" w:rsidR="00060B51" w:rsidRPr="00B903E3" w:rsidRDefault="00060B51" w:rsidP="00AF282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EBD91" w14:textId="77777777" w:rsidR="00060B51" w:rsidRPr="00B903E3" w:rsidRDefault="00060B51" w:rsidP="00AF282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B2FBA" w14:textId="77777777" w:rsidR="00060B51" w:rsidRPr="00B903E3" w:rsidRDefault="00060B51" w:rsidP="00AF282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02DA6C" w14:textId="77777777" w:rsidR="00060B51" w:rsidRPr="00B903E3" w:rsidRDefault="00060B51" w:rsidP="00AF282D">
            <w:pPr>
              <w:spacing w:after="0" w:line="240" w:lineRule="auto"/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060B51" w:rsidRPr="00EA4F8F" w14:paraId="55EA28E3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CA99B" w14:textId="77777777" w:rsidR="00060B51" w:rsidRPr="00EA4F8F" w:rsidRDefault="00060B51" w:rsidP="00AF282D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Stav majetku (stálých aktiv) k 31. 12. brutto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C3AB81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238,67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721A5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245,91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2901C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233,12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3B7F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237,31</w:t>
            </w:r>
          </w:p>
        </w:tc>
      </w:tr>
      <w:tr w:rsidR="00060B51" w:rsidRPr="00EA4F8F" w14:paraId="03047E07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F7DAF" w14:textId="77777777" w:rsidR="00060B51" w:rsidRPr="00EA4F8F" w:rsidRDefault="00060B51" w:rsidP="00AF282D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Výdaje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567A9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312,47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68401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292,26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52EA63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285,86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B181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298,99</w:t>
            </w:r>
          </w:p>
        </w:tc>
      </w:tr>
      <w:tr w:rsidR="00561258" w:rsidRPr="00EA4F8F" w14:paraId="17400D41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C43D3" w14:textId="62DF1BAD" w:rsidR="00561258" w:rsidRPr="00AF282D" w:rsidRDefault="00561258" w:rsidP="00AF282D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Platy</w:t>
            </w:r>
            <w:r w:rsidR="006A1820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ostatní platby</w:t>
            </w:r>
            <w:r w:rsidR="00C84665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za provedenou práci</w:t>
            </w:r>
            <w:r w:rsidR="006A1820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="00C84665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povinné </w:t>
            </w:r>
            <w:r w:rsidR="006A1820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pojistné</w:t>
            </w:r>
            <w:r w:rsidR="00C84665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na sociální zabezpečení a zdravotní pojištění</w:t>
            </w:r>
            <w:r w:rsidR="006A1820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</w:t>
            </w:r>
            <w:r w:rsidR="00C84665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základní příděl do </w:t>
            </w:r>
            <w:r w:rsidR="006A1820" w:rsidRPr="00AF282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FKSP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2A217" w14:textId="475B797B" w:rsidR="00561258" w:rsidRPr="00AF282D" w:rsidRDefault="006A1820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F282D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236,15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0F4D2" w14:textId="36337FC4" w:rsidR="00561258" w:rsidRPr="00AF282D" w:rsidRDefault="006A1820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F282D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236,89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CD311" w14:textId="71F2754A" w:rsidR="00561258" w:rsidRPr="00AF282D" w:rsidRDefault="006A1820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F282D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227,48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F530" w14:textId="0013EC10" w:rsidR="00561258" w:rsidRPr="00EA4F8F" w:rsidRDefault="00F30AE0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F282D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235,29</w:t>
            </w:r>
          </w:p>
        </w:tc>
      </w:tr>
      <w:tr w:rsidR="00060B51" w:rsidRPr="00EA4F8F" w14:paraId="2C50CFDD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3960D" w14:textId="77777777" w:rsidR="00060B51" w:rsidRPr="00EA4F8F" w:rsidRDefault="00060B51" w:rsidP="00AF282D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Příjmy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063D1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312,92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21368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311,07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F4562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319,06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C12E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328,98</w:t>
            </w:r>
          </w:p>
        </w:tc>
      </w:tr>
      <w:tr w:rsidR="00060B51" w:rsidRPr="00EA4F8F" w14:paraId="1DB9D0CB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31612" w14:textId="77777777" w:rsidR="00060B51" w:rsidRPr="00ED67A7" w:rsidRDefault="00060B51" w:rsidP="00AF282D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Nedaňové příjmy, zejména z uložených pokut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280A4" w14:textId="349D42B3" w:rsidR="00060B51" w:rsidRPr="00ED67A7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13,9</w:t>
            </w:r>
            <w:r w:rsidR="006A182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DCDB8" w14:textId="1778F976" w:rsidR="00060B51" w:rsidRPr="00ED67A7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15,</w:t>
            </w:r>
            <w:r w:rsid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A0A40" w14:textId="31013F52" w:rsidR="00060B51" w:rsidRPr="00ED67A7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16,5</w:t>
            </w:r>
            <w:r w:rsidR="00ED67A7" w:rsidRP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D36" w14:textId="4E407C0D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14,</w:t>
            </w:r>
            <w:r w:rsidR="004E372C" w:rsidRPr="00ED67A7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</w:tr>
      <w:tr w:rsidR="00060B51" w:rsidRPr="00EA4F8F" w14:paraId="49D2597D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BBCDB" w14:textId="77777777" w:rsidR="00060B51" w:rsidRPr="00EA4F8F" w:rsidRDefault="00060B51" w:rsidP="00AF282D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Pohledávky z titulu uložených pokut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917D8" w14:textId="5664E102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11,9</w:t>
            </w:r>
            <w:r w:rsidR="00AA14F6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47DBA" w14:textId="7718F3F9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8,4</w:t>
            </w:r>
            <w:r w:rsidR="00AA14F6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8349E" w14:textId="1354870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14,2</w:t>
            </w:r>
            <w:r w:rsidR="00AA14F6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688B" w14:textId="2CCCDCDA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9,6</w:t>
            </w:r>
            <w:r w:rsidR="00AA14F6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060B51" w:rsidRPr="00EA4F8F" w14:paraId="49FF7B2E" w14:textId="77777777" w:rsidTr="00B33773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FE4B5" w14:textId="77777777" w:rsidR="00060B51" w:rsidRPr="00EA4F8F" w:rsidRDefault="00060B51" w:rsidP="00AF282D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Průměrný přepočtený stav zaměstnanců (počet)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5B47E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282,48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A1D37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259,97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F9FD9" w14:textId="0CE1B5ED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245,6</w:t>
            </w:r>
            <w:r w:rsid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0BA5" w14:textId="77777777" w:rsidR="00060B51" w:rsidRPr="00EA4F8F" w:rsidRDefault="00060B51" w:rsidP="00B33773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A4F8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253,97</w:t>
            </w:r>
          </w:p>
        </w:tc>
      </w:tr>
    </w:tbl>
    <w:p w14:paraId="69255D10" w14:textId="66E824ED" w:rsidR="00060B51" w:rsidRDefault="00060B51" w:rsidP="00B33773">
      <w:pPr>
        <w:spacing w:before="40" w:after="0" w:line="240" w:lineRule="auto"/>
        <w:ind w:firstLine="567"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 w:rsidRPr="00B33773">
        <w:rPr>
          <w:rFonts w:ascii="Calibri" w:eastAsia="Calibri" w:hAnsi="Calibri" w:cs="Calibri"/>
          <w:b/>
          <w:iCs/>
          <w:sz w:val="20"/>
          <w:szCs w:val="20"/>
        </w:rPr>
        <w:t>Zdroj:</w:t>
      </w:r>
      <w:r w:rsidRPr="00B903E3">
        <w:rPr>
          <w:rFonts w:ascii="Calibri" w:eastAsia="Calibri" w:hAnsi="Calibri" w:cs="Calibri"/>
          <w:bCs/>
          <w:iCs/>
          <w:sz w:val="20"/>
          <w:szCs w:val="20"/>
        </w:rPr>
        <w:t xml:space="preserve"> </w:t>
      </w:r>
      <w:r w:rsidR="00C3254E">
        <w:rPr>
          <w:rFonts w:ascii="Calibri" w:eastAsia="Calibri" w:hAnsi="Calibri" w:cs="Calibri"/>
          <w:bCs/>
          <w:iCs/>
          <w:sz w:val="20"/>
          <w:szCs w:val="20"/>
        </w:rPr>
        <w:t>z</w:t>
      </w:r>
      <w:r w:rsidRPr="00B903E3">
        <w:rPr>
          <w:rFonts w:ascii="Calibri" w:eastAsia="Calibri" w:hAnsi="Calibri" w:cs="Calibri"/>
          <w:bCs/>
          <w:iCs/>
          <w:sz w:val="20"/>
          <w:szCs w:val="20"/>
        </w:rPr>
        <w:t xml:space="preserve">právy o činnosti a hospodaření ERÚ a </w:t>
      </w:r>
      <w:r w:rsidR="00C3254E">
        <w:rPr>
          <w:rFonts w:ascii="Calibri" w:eastAsia="Calibri" w:hAnsi="Calibri" w:cs="Calibri"/>
          <w:bCs/>
          <w:iCs/>
          <w:sz w:val="20"/>
          <w:szCs w:val="20"/>
        </w:rPr>
        <w:t>s</w:t>
      </w:r>
      <w:r w:rsidRPr="00B903E3">
        <w:rPr>
          <w:rFonts w:ascii="Calibri" w:eastAsia="Calibri" w:hAnsi="Calibri" w:cs="Calibri"/>
          <w:bCs/>
          <w:iCs/>
          <w:sz w:val="20"/>
          <w:szCs w:val="20"/>
        </w:rPr>
        <w:t>ouhrnné zprávy ERÚ za roky 2019 až 2022</w:t>
      </w:r>
      <w:r w:rsidR="00CC6BB0">
        <w:rPr>
          <w:rFonts w:ascii="Calibri" w:eastAsia="Calibri" w:hAnsi="Calibri" w:cs="Calibri"/>
          <w:bCs/>
          <w:iCs/>
          <w:sz w:val="20"/>
          <w:szCs w:val="20"/>
        </w:rPr>
        <w:t>.</w:t>
      </w:r>
    </w:p>
    <w:p w14:paraId="2CBF90BC" w14:textId="78F7CD7B" w:rsidR="00C84665" w:rsidRPr="00B903E3" w:rsidRDefault="00C3254E" w:rsidP="00AF282D">
      <w:pPr>
        <w:spacing w:after="120" w:line="240" w:lineRule="auto"/>
        <w:ind w:firstLine="567"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iCs/>
          <w:sz w:val="20"/>
          <w:szCs w:val="20"/>
        </w:rPr>
        <w:t>P</w:t>
      </w:r>
      <w:r w:rsidRPr="00B33773">
        <w:rPr>
          <w:rFonts w:ascii="Calibri" w:eastAsia="Calibri" w:hAnsi="Calibri" w:cs="Calibri"/>
          <w:b/>
          <w:iCs/>
          <w:sz w:val="20"/>
          <w:szCs w:val="20"/>
        </w:rPr>
        <w:t>o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zn.: </w:t>
      </w:r>
      <w:r w:rsidR="00C84665">
        <w:rPr>
          <w:rFonts w:ascii="Calibri" w:eastAsia="Calibri" w:hAnsi="Calibri" w:cs="Calibri"/>
          <w:bCs/>
          <w:iCs/>
          <w:sz w:val="20"/>
          <w:szCs w:val="20"/>
        </w:rPr>
        <w:t>FKSP = fond kulturních a sociálních potřeb</w:t>
      </w:r>
      <w:r w:rsidR="00CC6BB0">
        <w:rPr>
          <w:rFonts w:ascii="Calibri" w:eastAsia="Calibri" w:hAnsi="Calibri" w:cs="Calibri"/>
          <w:bCs/>
          <w:iCs/>
          <w:sz w:val="20"/>
          <w:szCs w:val="20"/>
        </w:rPr>
        <w:t>.</w:t>
      </w:r>
    </w:p>
    <w:bookmarkEnd w:id="5"/>
    <w:p w14:paraId="59702858" w14:textId="32A1681D" w:rsidR="00060B51" w:rsidRPr="009571D9" w:rsidRDefault="009571D9" w:rsidP="009571D9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2.3 </w:t>
      </w:r>
      <w:r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ab/>
      </w:r>
      <w:r w:rsidR="00060B51" w:rsidRPr="009571D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Hospodaření s peněžními prostředky </w:t>
      </w:r>
      <w:r w:rsidR="009B72AD" w:rsidRPr="009571D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státního rozpočtu</w:t>
      </w:r>
      <w:r w:rsidR="00060B51" w:rsidRPr="009571D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upravuje zákon č. 218/2000 Sb.</w:t>
      </w:r>
      <w:r w:rsidR="00060B51" w:rsidRPr="00B903E3">
        <w:rPr>
          <w:rStyle w:val="Znakapoznpodarou"/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footnoteReference w:id="6"/>
      </w:r>
      <w:r w:rsidR="00C3254E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,</w:t>
      </w:r>
      <w:r w:rsidR="00060B51" w:rsidRPr="009571D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podle kterého ERÚ jakožto organizační složka státu musí plnit určené úkoly nejhospodárnějším způsobem a používat prostředky, kterými disponuje, na krytí nezbytných potřeb. Současně má ERÚ jakožto správce kapitoly povinnost soustavně sledovat a vyhodnocovat hospodárnost, efektivnost a účelnost vynakládání výdajů ve své kapitole a zajišťovat kontrolu hospodaření s prostředky státního rozpočtu podle zákona č. 320/2001 Sb.</w:t>
      </w:r>
      <w:r w:rsidR="00060B51" w:rsidRPr="00B903E3">
        <w:rPr>
          <w:rStyle w:val="Znakapoznpodarou"/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footnoteReference w:id="7"/>
      </w:r>
    </w:p>
    <w:p w14:paraId="3EC8A9A3" w14:textId="7523F7F9" w:rsidR="00060B51" w:rsidRPr="009571D9" w:rsidRDefault="009571D9" w:rsidP="009571D9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2.4</w:t>
      </w:r>
      <w:r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ab/>
      </w:r>
      <w:r w:rsidR="00060B51" w:rsidRPr="009571D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Hospodaření a nakládání s majetkem státu upravuje </w:t>
      </w:r>
      <w:bookmarkStart w:id="6" w:name="_Hlk192604408"/>
      <w:r w:rsidR="00060B51" w:rsidRPr="009571D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zákon č. 219/2000 Sb.</w:t>
      </w:r>
      <w:r w:rsidR="00060B51" w:rsidRPr="00B903E3">
        <w:rPr>
          <w:rStyle w:val="Znakapoznpodarou"/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footnoteReference w:id="8"/>
      </w:r>
      <w:bookmarkEnd w:id="6"/>
      <w:r w:rsidR="00C3254E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,</w:t>
      </w:r>
      <w:r w:rsidR="00060B51" w:rsidRPr="009571D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podle kterého ERÚ jakožto organizační složka státu musí majetek, s nímž je příslušný hospodařit, využívat účelně a hospodárně k plnění funkcí státu a k výkonu stanovených činností a počínat si tak, aby svým jednáním majetek nepoškozoval a neodůvodněně nesnižoval jeho rozsah a hodnotu anebo výnos z tohoto majetku.</w:t>
      </w:r>
    </w:p>
    <w:p w14:paraId="67F12420" w14:textId="4CD2548E" w:rsidR="00DE2415" w:rsidRPr="009571D9" w:rsidRDefault="009571D9" w:rsidP="009571D9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</w:rPr>
        <w:t xml:space="preserve">2.5 </w:t>
      </w:r>
      <w:r>
        <w:rPr>
          <w:rFonts w:ascii="Calibri" w:hAnsi="Calibri" w:cs="Calibri"/>
          <w:sz w:val="24"/>
          <w:szCs w:val="24"/>
        </w:rPr>
        <w:tab/>
      </w:r>
      <w:r w:rsidR="00060B51" w:rsidRPr="009571D9">
        <w:rPr>
          <w:rFonts w:ascii="Calibri" w:hAnsi="Calibri" w:cs="Calibri"/>
          <w:sz w:val="24"/>
          <w:szCs w:val="24"/>
        </w:rPr>
        <w:t>Programové financování představuje nástroj, který slouží pro střednědobé a dlouhodobé finanční plánování a řízení investic spolufinancovaných nebo plně hrazených z prostředků státního rozpočtu. Prostřednictvím programů a v nich realizovaných akcí je pořizován a technicky zhodnocován dlouhodobý hmotný a nehmotný majetek. Oblast programového financování upravuje zákon č. 218/2000 Sb., vyhláška č. 560/2006 Sb.</w:t>
      </w:r>
      <w:r w:rsidR="00060B51" w:rsidRPr="00B903E3">
        <w:rPr>
          <w:rStyle w:val="Znakapoznpodarou"/>
          <w:rFonts w:ascii="Calibri" w:hAnsi="Calibri" w:cs="Calibri"/>
          <w:sz w:val="24"/>
          <w:szCs w:val="24"/>
        </w:rPr>
        <w:footnoteReference w:id="9"/>
      </w:r>
      <w:r w:rsidR="00060B51" w:rsidRPr="009571D9">
        <w:rPr>
          <w:rFonts w:ascii="Calibri" w:hAnsi="Calibri" w:cs="Calibri"/>
          <w:sz w:val="24"/>
          <w:szCs w:val="24"/>
        </w:rPr>
        <w:t xml:space="preserve"> a pokyn Ministerstva financí (dále také „MF“) č. R 1-2010</w:t>
      </w:r>
      <w:r w:rsidR="00060B51" w:rsidRPr="00B903E3">
        <w:rPr>
          <w:rStyle w:val="Znakapoznpodarou"/>
          <w:rFonts w:ascii="Calibri" w:hAnsi="Calibri" w:cs="Calibri"/>
          <w:sz w:val="24"/>
          <w:szCs w:val="24"/>
        </w:rPr>
        <w:footnoteReference w:id="10"/>
      </w:r>
      <w:r w:rsidR="00C3254E">
        <w:rPr>
          <w:rFonts w:ascii="Calibri" w:hAnsi="Calibri" w:cs="Calibri"/>
          <w:sz w:val="24"/>
          <w:szCs w:val="24"/>
        </w:rPr>
        <w:t>.</w:t>
      </w:r>
    </w:p>
    <w:p w14:paraId="04DD64A3" w14:textId="4E31E584" w:rsidR="00060B51" w:rsidRPr="009571D9" w:rsidRDefault="009571D9" w:rsidP="009571D9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2.6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ERÚ v kontrolovaném období let 2019</w:t>
      </w:r>
      <w:r w:rsidR="00C3254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2022 spravoval celkem </w:t>
      </w:r>
      <w:r w:rsidR="00C3254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tři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na sebe navazující programy na rozvoj a obnovu materiálně-technické základny, u nichž byl současně i účastníkem programu, a to program 149 010, 149 020 a 149 030. Přehled čerpání výdajů programů 149 020 a 149</w:t>
      </w:r>
      <w:r w:rsidR="00A0158E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030</w:t>
      </w:r>
      <w:r w:rsidR="00A0158E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 kontrolovaném období</w:t>
      </w:r>
      <w:r w:rsidR="00A0158E" w:rsidRPr="00B903E3">
        <w:rPr>
          <w:rStyle w:val="Znakapoznpodarou"/>
          <w:rFonts w:ascii="Calibri" w:eastAsia="Times New Roman" w:hAnsi="Calibri" w:cs="Calibri"/>
          <w:kern w:val="0"/>
          <w:sz w:val="24"/>
          <w:szCs w:val="24"/>
          <w14:ligatures w14:val="none"/>
        </w:rPr>
        <w:footnoteReference w:id="11"/>
      </w:r>
      <w:r w:rsidR="00A0158E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uvádí tabulka č. </w:t>
      </w:r>
      <w:r w:rsidR="00727C97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30AEFBC6" w14:textId="77777777" w:rsidR="00B33773" w:rsidRDefault="00B33773">
      <w:pPr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br w:type="page"/>
      </w:r>
    </w:p>
    <w:p w14:paraId="3C6A6D20" w14:textId="6DB87D55" w:rsidR="00060B51" w:rsidRPr="001A7DB6" w:rsidRDefault="00060B51" w:rsidP="00613F4B">
      <w:pPr>
        <w:pStyle w:val="Odstavecseseznamem"/>
        <w:tabs>
          <w:tab w:val="right" w:pos="9072"/>
        </w:tabs>
        <w:spacing w:before="120" w:after="40" w:line="240" w:lineRule="auto"/>
        <w:ind w:left="567"/>
        <w:contextualSpacing w:val="0"/>
        <w:jc w:val="both"/>
        <w:rPr>
          <w:rFonts w:ascii="Calibri" w:hAnsi="Calibri" w:cs="Calibri"/>
          <w:b/>
          <w:sz w:val="24"/>
          <w:szCs w:val="24"/>
        </w:rPr>
      </w:pPr>
      <w:r w:rsidRPr="001A7DB6">
        <w:rPr>
          <w:rFonts w:ascii="Calibri" w:eastAsia="Calibri" w:hAnsi="Calibri" w:cs="Calibri"/>
          <w:b/>
          <w:iCs/>
          <w:sz w:val="24"/>
          <w:szCs w:val="24"/>
        </w:rPr>
        <w:lastRenderedPageBreak/>
        <w:t xml:space="preserve">Tabulka č. </w:t>
      </w:r>
      <w:r w:rsidR="00727C97" w:rsidRPr="001A7DB6">
        <w:rPr>
          <w:rFonts w:ascii="Calibri" w:eastAsia="Calibri" w:hAnsi="Calibri" w:cs="Calibri"/>
          <w:b/>
          <w:iCs/>
          <w:sz w:val="24"/>
          <w:szCs w:val="24"/>
        </w:rPr>
        <w:t>2</w:t>
      </w:r>
      <w:r w:rsidR="00613F4B">
        <w:rPr>
          <w:rFonts w:ascii="Calibri" w:eastAsia="Calibri" w:hAnsi="Calibri" w:cs="Calibri"/>
          <w:b/>
          <w:iCs/>
          <w:sz w:val="24"/>
          <w:szCs w:val="24"/>
        </w:rPr>
        <w:t>:</w:t>
      </w:r>
      <w:r w:rsidRPr="001A7DB6">
        <w:rPr>
          <w:rFonts w:ascii="Calibri" w:eastAsia="Calibri" w:hAnsi="Calibri" w:cs="Calibri"/>
          <w:b/>
          <w:iCs/>
          <w:sz w:val="24"/>
          <w:szCs w:val="24"/>
        </w:rPr>
        <w:t xml:space="preserve"> Výdaje na programy programového financování </w:t>
      </w:r>
      <w:r w:rsidR="00613F4B">
        <w:rPr>
          <w:rFonts w:ascii="Calibri" w:eastAsia="Calibri" w:hAnsi="Calibri" w:cs="Calibri"/>
          <w:b/>
          <w:iCs/>
          <w:sz w:val="24"/>
          <w:szCs w:val="24"/>
        </w:rPr>
        <w:tab/>
      </w:r>
      <w:r w:rsidRPr="001A7DB6">
        <w:rPr>
          <w:rFonts w:ascii="Calibri" w:eastAsia="Calibri" w:hAnsi="Calibri" w:cs="Calibri"/>
          <w:b/>
          <w:iCs/>
          <w:sz w:val="24"/>
          <w:szCs w:val="24"/>
        </w:rPr>
        <w:t>(v tis. Kč)</w:t>
      </w:r>
    </w:p>
    <w:tbl>
      <w:tblPr>
        <w:tblW w:w="85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061"/>
        <w:gridCol w:w="1062"/>
        <w:gridCol w:w="1062"/>
        <w:gridCol w:w="1062"/>
      </w:tblGrid>
      <w:tr w:rsidR="00060B51" w:rsidRPr="00B903E3" w14:paraId="2DCD6DEF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92909" w14:textId="06F68966" w:rsidR="00060B51" w:rsidRPr="00B903E3" w:rsidRDefault="00060B51" w:rsidP="00351E8F">
            <w:p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811E3" w14:textId="77777777" w:rsidR="00060B51" w:rsidRPr="00B903E3" w:rsidRDefault="00060B51" w:rsidP="001A7DB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32694" w14:textId="77777777" w:rsidR="00060B51" w:rsidRPr="00B903E3" w:rsidRDefault="00060B51" w:rsidP="001A7DB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BD1EF" w14:textId="77777777" w:rsidR="00060B51" w:rsidRPr="00B903E3" w:rsidRDefault="00060B51" w:rsidP="001A7DB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919352" w14:textId="77777777" w:rsidR="00060B51" w:rsidRPr="00B903E3" w:rsidRDefault="00060B51" w:rsidP="001A7DB6">
            <w:pPr>
              <w:spacing w:after="0" w:line="240" w:lineRule="auto"/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060B51" w:rsidRPr="00B903E3" w14:paraId="5321E6CF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F25B1" w14:textId="59AD2AA7" w:rsidR="00060B51" w:rsidRPr="00B903E3" w:rsidRDefault="00060B51" w:rsidP="001A7DB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 149 020</w:t>
            </w:r>
            <w:r w:rsidR="00613F4B" w:rsidRPr="00613F4B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*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5D629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5BB16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70CD1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EE3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60B51" w:rsidRPr="00B903E3" w14:paraId="0CF80FD4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08637" w14:textId="77777777" w:rsidR="00060B51" w:rsidRPr="00B903E3" w:rsidRDefault="00060B51" w:rsidP="001A7D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schválený rozpočet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9BED9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5 000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B86FE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12 935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670EE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05D9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60B51" w:rsidRPr="00B903E3" w14:paraId="15B46E7A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4021F" w14:textId="77777777" w:rsidR="00060B51" w:rsidRPr="00B903E3" w:rsidRDefault="00060B51" w:rsidP="001A7D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konečný rozpočet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22B64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35 557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763C8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20 935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BE24B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19 725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5401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10 927</w:t>
            </w:r>
          </w:p>
        </w:tc>
      </w:tr>
      <w:tr w:rsidR="00060B51" w:rsidRPr="00B903E3" w14:paraId="1A42CAD1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EF612" w14:textId="77777777" w:rsidR="00060B51" w:rsidRPr="00B903E3" w:rsidRDefault="00060B51" w:rsidP="001A7D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čerpání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2E069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24 893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80E1B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5 903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22C94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2 778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EC88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8 341</w:t>
            </w:r>
          </w:p>
        </w:tc>
      </w:tr>
      <w:tr w:rsidR="00060B51" w:rsidRPr="00B903E3" w14:paraId="31EA41CE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B6A41" w14:textId="634A1D69" w:rsidR="00060B51" w:rsidRPr="00B903E3" w:rsidRDefault="00060B51" w:rsidP="001A7DB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Program 149 030</w:t>
            </w:r>
            <w:r w:rsidR="00613F4B" w:rsidRPr="00613F4B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**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7E72D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7F97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7A052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22D0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60B51" w:rsidRPr="00B903E3" w14:paraId="732988B9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B572D" w14:textId="77777777" w:rsidR="00060B51" w:rsidRPr="00B903E3" w:rsidRDefault="00060B51" w:rsidP="001A7D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schválený rozpočet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1CF0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ED085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26B0A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79C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10 716</w:t>
            </w:r>
          </w:p>
        </w:tc>
      </w:tr>
      <w:tr w:rsidR="00060B51" w:rsidRPr="00B903E3" w14:paraId="758744E8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278E" w14:textId="77777777" w:rsidR="00060B51" w:rsidRPr="00B903E3" w:rsidRDefault="00060B51" w:rsidP="001A7D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konečný rozpočet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D404A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81839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6052C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20E2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10 716</w:t>
            </w:r>
          </w:p>
        </w:tc>
      </w:tr>
      <w:tr w:rsidR="00060B51" w:rsidRPr="00B903E3" w14:paraId="17A99B56" w14:textId="77777777" w:rsidTr="001A7DB6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B6B12" w14:textId="77777777" w:rsidR="00060B51" w:rsidRPr="00B903E3" w:rsidRDefault="00060B51" w:rsidP="001A7DB6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ind w:left="499" w:hanging="283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čerpání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775DE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1A7CE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F61E1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B8A0" w14:textId="77777777" w:rsidR="00060B51" w:rsidRPr="00B903E3" w:rsidRDefault="00060B51" w:rsidP="001A7DB6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903E3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</w:tr>
    </w:tbl>
    <w:p w14:paraId="60B8E81D" w14:textId="2D572FB2" w:rsidR="00060B51" w:rsidRPr="00B903E3" w:rsidRDefault="00060B51" w:rsidP="007E5E1D">
      <w:pPr>
        <w:spacing w:before="40" w:after="0" w:line="240" w:lineRule="auto"/>
        <w:ind w:firstLine="567"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 w:rsidRPr="007E5E1D">
        <w:rPr>
          <w:rFonts w:ascii="Calibri" w:eastAsia="Calibri" w:hAnsi="Calibri" w:cs="Calibri"/>
          <w:b/>
          <w:iCs/>
          <w:sz w:val="20"/>
          <w:szCs w:val="20"/>
        </w:rPr>
        <w:t>Zdroj:</w:t>
      </w:r>
      <w:r w:rsidRPr="00B903E3">
        <w:rPr>
          <w:rFonts w:ascii="Calibri" w:eastAsia="Calibri" w:hAnsi="Calibri" w:cs="Calibri"/>
          <w:bCs/>
          <w:iCs/>
          <w:sz w:val="20"/>
          <w:szCs w:val="20"/>
        </w:rPr>
        <w:t xml:space="preserve"> </w:t>
      </w:r>
      <w:r w:rsidR="00AF3A9F">
        <w:rPr>
          <w:rFonts w:ascii="Calibri" w:eastAsia="Calibri" w:hAnsi="Calibri" w:cs="Calibri"/>
          <w:bCs/>
          <w:iCs/>
          <w:sz w:val="20"/>
          <w:szCs w:val="20"/>
        </w:rPr>
        <w:t>z</w:t>
      </w:r>
      <w:r w:rsidRPr="00B903E3">
        <w:rPr>
          <w:rFonts w:ascii="Calibri" w:eastAsia="Calibri" w:hAnsi="Calibri" w:cs="Calibri"/>
          <w:bCs/>
          <w:iCs/>
          <w:sz w:val="20"/>
          <w:szCs w:val="20"/>
        </w:rPr>
        <w:t>ávěrečný účet kapitoly 349 – ERÚ</w:t>
      </w:r>
      <w:r w:rsidR="00120564">
        <w:rPr>
          <w:rFonts w:ascii="Calibri" w:eastAsia="Calibri" w:hAnsi="Calibri" w:cs="Calibri"/>
          <w:bCs/>
          <w:iCs/>
          <w:sz w:val="20"/>
          <w:szCs w:val="20"/>
        </w:rPr>
        <w:t>.</w:t>
      </w:r>
    </w:p>
    <w:p w14:paraId="30AD9161" w14:textId="04CD7E62" w:rsidR="00060B51" w:rsidRPr="00B903E3" w:rsidRDefault="00613F4B" w:rsidP="00613F4B">
      <w:pPr>
        <w:tabs>
          <w:tab w:val="left" w:pos="1134"/>
        </w:tabs>
        <w:spacing w:after="0" w:line="240" w:lineRule="auto"/>
        <w:ind w:firstLine="567"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 w:rsidRPr="00613F4B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*</w:t>
      </w:r>
      <w:r w:rsidR="00060B51" w:rsidRPr="00B903E3">
        <w:rPr>
          <w:rFonts w:ascii="Calibri" w:eastAsia="Calibri" w:hAnsi="Calibri" w:cs="Calibri"/>
          <w:bCs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Cs/>
          <w:sz w:val="20"/>
          <w:szCs w:val="20"/>
        </w:rPr>
        <w:tab/>
      </w:r>
      <w:r w:rsidR="00060B51" w:rsidRPr="00B903E3">
        <w:rPr>
          <w:rFonts w:ascii="Calibri" w:eastAsia="Calibri" w:hAnsi="Calibri" w:cs="Calibri"/>
          <w:bCs/>
          <w:iCs/>
          <w:sz w:val="20"/>
          <w:szCs w:val="20"/>
        </w:rPr>
        <w:t>Program149 020 byl realizován i před rokem 2019 a po roce 2022.</w:t>
      </w:r>
    </w:p>
    <w:p w14:paraId="0DAEFED9" w14:textId="5476E545" w:rsidR="00060B51" w:rsidRPr="00B903E3" w:rsidRDefault="00613F4B" w:rsidP="00613F4B">
      <w:pPr>
        <w:tabs>
          <w:tab w:val="left" w:pos="1134"/>
        </w:tabs>
        <w:spacing w:after="120" w:line="240" w:lineRule="auto"/>
        <w:ind w:firstLine="567"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 w:rsidRPr="00613F4B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**</w:t>
      </w:r>
      <w:r w:rsidR="00060B51" w:rsidRPr="00B903E3">
        <w:rPr>
          <w:rFonts w:ascii="Calibri" w:eastAsia="Calibri" w:hAnsi="Calibri" w:cs="Calibri"/>
          <w:bCs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Cs/>
          <w:sz w:val="20"/>
          <w:szCs w:val="20"/>
        </w:rPr>
        <w:tab/>
      </w:r>
      <w:r w:rsidR="00060B51" w:rsidRPr="00B903E3">
        <w:rPr>
          <w:rFonts w:ascii="Calibri" w:eastAsia="Calibri" w:hAnsi="Calibri" w:cs="Calibri"/>
          <w:bCs/>
          <w:iCs/>
          <w:sz w:val="20"/>
          <w:szCs w:val="20"/>
        </w:rPr>
        <w:t>Program149 030 byl realizován od roku 2022.</w:t>
      </w:r>
    </w:p>
    <w:p w14:paraId="0D737EB0" w14:textId="6D76F925" w:rsidR="00060B51" w:rsidRPr="009571D9" w:rsidRDefault="009571D9" w:rsidP="009571D9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2.7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Vzhledem ke kontrolovanému období let 2019</w:t>
      </w:r>
      <w:r w:rsidR="00120564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2022 ověřoval NKÚ především program 149 020. </w:t>
      </w:r>
      <w:r w:rsidR="00060B51" w:rsidRPr="009571D9">
        <w:rPr>
          <w:rFonts w:ascii="Calibri" w:eastAsia="Calibri" w:hAnsi="Calibri" w:cs="Calibri"/>
          <w:kern w:val="0"/>
          <w:sz w:val="24"/>
          <w:szCs w:val="24"/>
          <w14:ligatures w14:val="none"/>
        </w:rPr>
        <w:t>Základním cílem programu 149 020 bylo zajistit vybudování odpovídající materiálně-technické základny ERÚ v časovém horizontu let 2016</w:t>
      </w:r>
      <w:r w:rsidR="0060156A" w:rsidRPr="009571D9">
        <w:rPr>
          <w:rFonts w:ascii="Calibri" w:eastAsia="Calibri" w:hAnsi="Calibri" w:cs="Calibri"/>
          <w:kern w:val="0"/>
          <w:sz w:val="24"/>
          <w:szCs w:val="24"/>
          <w14:ligatures w14:val="none"/>
        </w:rPr>
        <w:t>–</w:t>
      </w:r>
      <w:r w:rsidR="00060B51" w:rsidRPr="009571D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2020 (program byl následně prodloužen až do roku 2024) s maximálním důrazem na oblast ICT, zvláště v oblasti dobudování jednotného informačního systému ERÚ (dále také „JIS“). 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Program se skládal ze dvou podprogramů – 149 021 – </w:t>
      </w:r>
      <w:r w:rsidR="00060B51" w:rsidRPr="009571D9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Pořízení a obnova ICT ERÚ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 149 022 – </w:t>
      </w:r>
      <w:r w:rsidR="00060B51" w:rsidRPr="009571D9">
        <w:rPr>
          <w:rFonts w:ascii="Calibri" w:eastAsia="Times New Roman" w:hAnsi="Calibri" w:cs="Calibri"/>
          <w:i/>
          <w:iCs/>
          <w:kern w:val="0"/>
          <w:sz w:val="24"/>
          <w:szCs w:val="24"/>
          <w14:ligatures w14:val="none"/>
        </w:rPr>
        <w:t>Pořízení a obnova ostatního majetku ERÚ</w:t>
      </w:r>
      <w:r w:rsidR="00060B51" w:rsidRPr="009571D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 ERÚ pořizoval z prostředků programu software, výpočetní techniku, technické zhodnocení budov a staveb, stroje, přístroje a zařízení a dopravní prostředky.</w:t>
      </w:r>
    </w:p>
    <w:p w14:paraId="545B2966" w14:textId="4373B17D" w:rsidR="00AF282D" w:rsidRPr="009571D9" w:rsidRDefault="009571D9" w:rsidP="009571D9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2.8 </w:t>
      </w:r>
      <w:r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ab/>
      </w:r>
      <w:r w:rsidR="00060B51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ERÚ ukládá </w:t>
      </w:r>
      <w:r w:rsidR="006C470B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a vybírá </w:t>
      </w:r>
      <w:r w:rsidR="00060B51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pokuty podle </w:t>
      </w:r>
      <w:r w:rsidR="00060B51" w:rsidRPr="009571D9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zákona č. 458/2000 Sb., </w:t>
      </w:r>
      <w:bookmarkStart w:id="7" w:name="_Hlk192754803"/>
      <w:r w:rsidR="00060B51" w:rsidRPr="009571D9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zákona č. 634/1992 Sb.</w:t>
      </w:r>
      <w:r w:rsidR="00060B51" w:rsidRPr="00B903E3">
        <w:rPr>
          <w:rStyle w:val="Znakapoznpodarou"/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footnoteReference w:id="12"/>
      </w:r>
      <w:bookmarkEnd w:id="7"/>
      <w:r w:rsidR="008F71EF" w:rsidRPr="009571D9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,</w:t>
      </w:r>
      <w:r w:rsidR="00060B51" w:rsidRPr="009571D9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 zákona č. 526/1990 Sb.</w:t>
      </w:r>
      <w:r w:rsidR="00060B51" w:rsidRPr="00B903E3">
        <w:rPr>
          <w:rStyle w:val="Znakapoznpodarou"/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footnoteReference w:id="13"/>
      </w:r>
      <w:bookmarkStart w:id="8" w:name="_Hlk192754879"/>
      <w:r w:rsidR="008F71EF" w:rsidRPr="009571D9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,</w:t>
      </w:r>
      <w:r w:rsidR="00060B51" w:rsidRPr="009571D9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 zákona č. 165/2012 Sb.</w:t>
      </w:r>
      <w:r w:rsidR="00060B51" w:rsidRPr="00B903E3">
        <w:rPr>
          <w:rStyle w:val="Znakapoznpodarou"/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footnoteReference w:id="14"/>
      </w:r>
      <w:bookmarkEnd w:id="8"/>
      <w:r w:rsidR="00060B51" w:rsidRPr="009571D9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 </w:t>
      </w:r>
      <w:r w:rsidR="00060B51" w:rsidRPr="009571D9">
        <w:rPr>
          <w:rFonts w:ascii="Calibri" w:eastAsia="Times New Roman" w:hAnsi="Calibri" w:cs="Calibri"/>
          <w:color w:val="232323"/>
          <w:kern w:val="0"/>
          <w:sz w:val="24"/>
          <w:szCs w:val="24"/>
          <w:shd w:val="clear" w:color="auto" w:fill="FFFFFF"/>
          <w14:ligatures w14:val="none"/>
        </w:rPr>
        <w:t>(</w:t>
      </w:r>
      <w:r w:rsidR="006C470B" w:rsidRPr="009571D9">
        <w:rPr>
          <w:rFonts w:ascii="Calibri" w:eastAsia="Times New Roman" w:hAnsi="Calibri" w:cs="Calibri"/>
          <w:color w:val="232323"/>
          <w:kern w:val="0"/>
          <w:sz w:val="24"/>
          <w:szCs w:val="24"/>
          <w:shd w:val="clear" w:color="auto" w:fill="FFFFFF"/>
          <w14:ligatures w14:val="none"/>
        </w:rPr>
        <w:t xml:space="preserve">pouze do 31. 12. 2021, </w:t>
      </w:r>
      <w:r w:rsidR="00060B51" w:rsidRPr="009571D9">
        <w:rPr>
          <w:rFonts w:ascii="Calibri" w:eastAsia="Times New Roman" w:hAnsi="Calibri" w:cs="Calibri"/>
          <w:color w:val="232323"/>
          <w:kern w:val="0"/>
          <w:sz w:val="24"/>
          <w:szCs w:val="24"/>
          <w:shd w:val="clear" w:color="auto" w:fill="FFFFFF"/>
          <w14:ligatures w14:val="none"/>
        </w:rPr>
        <w:t>od 1. 1. 2022 spadá výkon dozoru do působnosti Státní energetické inspekce) a zákona č. 500/2004 Sb.</w:t>
      </w:r>
      <w:r w:rsidR="00060B51" w:rsidRPr="00B903E3">
        <w:rPr>
          <w:rStyle w:val="Znakapoznpodarou"/>
          <w:rFonts w:ascii="Calibri" w:eastAsia="Times New Roman" w:hAnsi="Calibri" w:cs="Calibri"/>
          <w:color w:val="232323"/>
          <w:kern w:val="0"/>
          <w:sz w:val="24"/>
          <w:szCs w:val="24"/>
          <w:shd w:val="clear" w:color="auto" w:fill="FFFFFF"/>
          <w14:ligatures w14:val="none"/>
        </w:rPr>
        <w:footnoteReference w:id="15"/>
      </w:r>
      <w:r w:rsidR="00060B51" w:rsidRPr="009571D9">
        <w:rPr>
          <w:rFonts w:ascii="Calibri" w:eastAsia="Times New Roman" w:hAnsi="Calibri" w:cs="Calibri"/>
          <w:color w:val="232323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6C470B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Část pokut předává ERÚ v souladu s uvedenými právními předpisy </w:t>
      </w:r>
      <w:r w:rsidR="00060B51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v rámci tzv. dělené správy k</w:t>
      </w:r>
      <w:r w:rsidR="006C470B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 </w:t>
      </w:r>
      <w:r w:rsidR="00060B51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vymáhání Celnímu úřadu pro Kraj Vysočina</w:t>
      </w:r>
      <w:r w:rsidR="006C470B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, zbývající část pokut vymáhá ERÚ. </w:t>
      </w:r>
      <w:r w:rsidR="00060B51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Přehled pohledávek z titulu vyměřených pokut ve správním řízení evidovaných ERÚ v kontrolovaném období uvádí tabulka č. </w:t>
      </w:r>
      <w:r w:rsidR="00727C97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3</w:t>
      </w:r>
      <w:r w:rsidR="00060B51" w:rsidRPr="009571D9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.</w:t>
      </w:r>
    </w:p>
    <w:p w14:paraId="19141D5B" w14:textId="024393BE" w:rsidR="00060B51" w:rsidRPr="001A7DB6" w:rsidRDefault="00060B51" w:rsidP="001A7DB6">
      <w:pPr>
        <w:spacing w:before="120" w:after="40" w:line="240" w:lineRule="auto"/>
        <w:ind w:firstLine="567"/>
        <w:jc w:val="both"/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</w:pPr>
      <w:r w:rsidRPr="001A7DB6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 xml:space="preserve">Tabulka č. </w:t>
      </w:r>
      <w:r w:rsidR="00727C97" w:rsidRPr="001A7DB6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3</w:t>
      </w:r>
      <w:r w:rsidR="00AF3A9F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:</w:t>
      </w:r>
      <w:r w:rsidRPr="001A7DB6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 xml:space="preserve"> Přehled neuhrazených vyměřených pokut ve správním řízení</w:t>
      </w:r>
    </w:p>
    <w:tbl>
      <w:tblPr>
        <w:tblW w:w="8505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60B51" w:rsidRPr="001A7DB6" w14:paraId="4D2D4EBB" w14:textId="77777777" w:rsidTr="001A7DB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3B6FC28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Stav k datu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F46B0B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 pohledávek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BB36AC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Výše pohledávek (v tis. Kč)</w:t>
            </w:r>
          </w:p>
        </w:tc>
      </w:tr>
      <w:tr w:rsidR="00060B51" w:rsidRPr="001A7DB6" w14:paraId="446873AD" w14:textId="77777777" w:rsidTr="00AF3A9F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4BA6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01.01.2019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8D7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B69" w14:textId="77777777" w:rsidR="00060B51" w:rsidRPr="001A7DB6" w:rsidRDefault="00060B51" w:rsidP="00AF3A9F">
            <w:pPr>
              <w:spacing w:after="0" w:line="240" w:lineRule="auto"/>
              <w:ind w:right="778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120 442</w:t>
            </w:r>
          </w:p>
        </w:tc>
      </w:tr>
      <w:tr w:rsidR="00060B51" w:rsidRPr="001A7DB6" w14:paraId="498DADEF" w14:textId="77777777" w:rsidTr="00AF3A9F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8717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31.12.2019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75FD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55D5" w14:textId="77777777" w:rsidR="00060B51" w:rsidRPr="001A7DB6" w:rsidRDefault="00060B51" w:rsidP="00AF3A9F">
            <w:pPr>
              <w:spacing w:after="0" w:line="240" w:lineRule="auto"/>
              <w:ind w:right="778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11 923</w:t>
            </w:r>
          </w:p>
        </w:tc>
      </w:tr>
      <w:tr w:rsidR="00060B51" w:rsidRPr="001A7DB6" w14:paraId="7890316C" w14:textId="77777777" w:rsidTr="00AF3A9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96B2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0195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7F94" w14:textId="77777777" w:rsidR="00060B51" w:rsidRPr="001A7DB6" w:rsidRDefault="00060B51" w:rsidP="00AF3A9F">
            <w:pPr>
              <w:spacing w:after="0" w:line="240" w:lineRule="auto"/>
              <w:ind w:right="778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8 413</w:t>
            </w:r>
          </w:p>
        </w:tc>
      </w:tr>
      <w:tr w:rsidR="00060B51" w:rsidRPr="001A7DB6" w14:paraId="017E6CB7" w14:textId="77777777" w:rsidTr="00AF3A9F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236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13B2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8AF3" w14:textId="77777777" w:rsidR="00060B51" w:rsidRPr="001A7DB6" w:rsidRDefault="00060B51" w:rsidP="00AF3A9F">
            <w:pPr>
              <w:spacing w:after="0" w:line="240" w:lineRule="auto"/>
              <w:ind w:right="778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14 248</w:t>
            </w:r>
          </w:p>
        </w:tc>
      </w:tr>
      <w:tr w:rsidR="00060B51" w:rsidRPr="001A7DB6" w14:paraId="1F5D93E1" w14:textId="77777777" w:rsidTr="00AF3A9F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5330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31.12.2022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6D0" w14:textId="77777777" w:rsidR="00060B51" w:rsidRPr="001A7DB6" w:rsidRDefault="00060B51" w:rsidP="001A7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477E" w14:textId="77777777" w:rsidR="00060B51" w:rsidRPr="001A7DB6" w:rsidRDefault="00060B51" w:rsidP="00AF3A9F">
            <w:pPr>
              <w:spacing w:after="0" w:line="240" w:lineRule="auto"/>
              <w:ind w:right="778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A7DB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9 625</w:t>
            </w:r>
          </w:p>
        </w:tc>
      </w:tr>
    </w:tbl>
    <w:p w14:paraId="63FEE6D1" w14:textId="053FAF68" w:rsidR="00060B51" w:rsidRPr="00B903E3" w:rsidRDefault="00060B51" w:rsidP="001A7DB6">
      <w:pPr>
        <w:spacing w:before="40" w:after="0" w:line="240" w:lineRule="auto"/>
        <w:ind w:firstLine="567"/>
        <w:jc w:val="both"/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</w:pPr>
      <w:r w:rsidRPr="001A7DB6">
        <w:rPr>
          <w:rFonts w:ascii="Calibri" w:eastAsia="Calibri" w:hAnsi="Calibri" w:cs="Calibri"/>
          <w:b/>
          <w:bCs/>
          <w:iCs/>
          <w:kern w:val="0"/>
          <w:sz w:val="20"/>
          <w:szCs w:val="20"/>
          <w14:ligatures w14:val="none"/>
        </w:rPr>
        <w:t xml:space="preserve">Zdroj: </w:t>
      </w:r>
      <w:r w:rsidR="00AF3A9F"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  <w:t>i</w:t>
      </w:r>
      <w:r w:rsidRPr="00B903E3"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  <w:t>nformace ERÚ</w:t>
      </w:r>
      <w:r w:rsidR="00120564">
        <w:rPr>
          <w:rFonts w:ascii="Calibri" w:eastAsia="Calibri" w:hAnsi="Calibri" w:cs="Calibri"/>
          <w:bCs/>
          <w:iCs/>
          <w:kern w:val="0"/>
          <w:sz w:val="20"/>
          <w:szCs w:val="20"/>
          <w14:ligatures w14:val="none"/>
        </w:rPr>
        <w:t>.</w:t>
      </w:r>
    </w:p>
    <w:p w14:paraId="782D56EA" w14:textId="7738D7AF" w:rsidR="00060B51" w:rsidRPr="00B903E3" w:rsidRDefault="00060B51" w:rsidP="001A7DB6">
      <w:pPr>
        <w:spacing w:after="360" w:line="240" w:lineRule="auto"/>
        <w:ind w:left="1134" w:hanging="567"/>
        <w:jc w:val="both"/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</w:pPr>
      <w:r w:rsidRPr="001A7DB6">
        <w:rPr>
          <w:rFonts w:ascii="Calibri" w:eastAsia="Calibri" w:hAnsi="Calibri" w:cs="Calibri"/>
          <w:b/>
          <w:bCs/>
          <w:iCs/>
          <w:kern w:val="0"/>
          <w:sz w:val="20"/>
          <w:szCs w:val="20"/>
          <w14:ligatures w14:val="none"/>
        </w:rPr>
        <w:t>Pozn.:</w:t>
      </w:r>
      <w:r w:rsidRPr="00697684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 xml:space="preserve"> Výrazný pokles finančního objemu vymáhaných pohledávek v roce 2019 byl způsoben vyřazením pohledávky z roku 2017 ve výši 111 28</w:t>
      </w:r>
      <w:r w:rsidR="00694DC5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6</w:t>
      </w:r>
      <w:r w:rsidRPr="00697684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 xml:space="preserve"> 907 Kč</w:t>
      </w:r>
      <w:r w:rsidR="00134431" w:rsidRPr="00697684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 xml:space="preserve"> za účastníkem soudního řízení (</w:t>
      </w:r>
      <w:r w:rsidR="00134431" w:rsidRPr="009A779B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viz odst. 4.</w:t>
      </w:r>
      <w:r w:rsidR="009A779B" w:rsidRPr="009A779B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49</w:t>
      </w:r>
      <w:r w:rsidR="00134431" w:rsidRPr="009A779B">
        <w:rPr>
          <w:rFonts w:ascii="Calibri" w:eastAsia="Calibri" w:hAnsi="Calibri" w:cs="Calibri"/>
          <w:iCs/>
          <w:kern w:val="0"/>
          <w:sz w:val="20"/>
          <w:szCs w:val="20"/>
          <w14:ligatures w14:val="none"/>
        </w:rPr>
        <w:t>).</w:t>
      </w:r>
    </w:p>
    <w:p w14:paraId="425A2487" w14:textId="43FDB1FF" w:rsidR="00BB6D9E" w:rsidRPr="00B903E3" w:rsidRDefault="00BB6D9E" w:rsidP="00373856">
      <w:pPr>
        <w:keepNext/>
        <w:spacing w:before="840" w:after="20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903E3">
        <w:rPr>
          <w:rFonts w:ascii="Calibri" w:hAnsi="Calibri" w:cs="Calibri"/>
          <w:b/>
          <w:bCs/>
          <w:sz w:val="28"/>
          <w:szCs w:val="28"/>
        </w:rPr>
        <w:lastRenderedPageBreak/>
        <w:t>III. Rozsah kontroly</w:t>
      </w:r>
    </w:p>
    <w:p w14:paraId="53FBDF5E" w14:textId="78D9BD7E" w:rsidR="00060B51" w:rsidRPr="002A47F9" w:rsidRDefault="002A47F9" w:rsidP="002A47F9">
      <w:pPr>
        <w:spacing w:before="100" w:after="100" w:line="240" w:lineRule="auto"/>
        <w:ind w:left="567" w:hanging="567"/>
        <w:jc w:val="both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3.1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060B51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Předmětem kontrolní akce byly majetek a peněžní prostředky státu, se kterými je příslušný hospodařit Energetický regulační úřad.</w:t>
      </w:r>
    </w:p>
    <w:p w14:paraId="31B1DCB9" w14:textId="53249C55" w:rsidR="00561258" w:rsidRPr="002A47F9" w:rsidRDefault="002A47F9" w:rsidP="002A47F9">
      <w:pPr>
        <w:spacing w:before="100" w:after="100" w:line="240" w:lineRule="auto"/>
        <w:ind w:left="567" w:hanging="567"/>
        <w:jc w:val="both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</w:rPr>
        <w:t xml:space="preserve">3.2 </w:t>
      </w:r>
      <w:r>
        <w:rPr>
          <w:rFonts w:ascii="Calibri" w:hAnsi="Calibri" w:cs="Calibri"/>
          <w:sz w:val="24"/>
          <w:szCs w:val="24"/>
        </w:rPr>
        <w:tab/>
      </w:r>
      <w:r w:rsidR="00060B51" w:rsidRPr="002A47F9">
        <w:rPr>
          <w:rFonts w:ascii="Calibri" w:hAnsi="Calibri" w:cs="Calibri"/>
          <w:sz w:val="24"/>
          <w:szCs w:val="24"/>
        </w:rPr>
        <w:t xml:space="preserve">Cílem kontroly bylo prověřit, zda ERÚ hospodařil s majetkem a peněžními prostředky státu účelně, hospodárně a v souladu s právními předpisy. Kontrolováno bylo období let </w:t>
      </w:r>
      <w:r w:rsidR="00373856" w:rsidRPr="002A47F9">
        <w:rPr>
          <w:rFonts w:ascii="Calibri" w:hAnsi="Calibri" w:cs="Calibri"/>
          <w:sz w:val="24"/>
          <w:szCs w:val="24"/>
        </w:rPr>
        <w:br/>
      </w:r>
      <w:r w:rsidR="00060B51" w:rsidRPr="002A47F9">
        <w:rPr>
          <w:rFonts w:ascii="Calibri" w:hAnsi="Calibri" w:cs="Calibri"/>
          <w:sz w:val="24"/>
          <w:szCs w:val="24"/>
        </w:rPr>
        <w:t>2019–2022, v případě věcných souvislostí i období předcházející a období do ukončení kontroly.</w:t>
      </w:r>
    </w:p>
    <w:p w14:paraId="37A9F34B" w14:textId="5AB75508" w:rsidR="00060B51" w:rsidRPr="002A47F9" w:rsidRDefault="002A47F9" w:rsidP="002A47F9">
      <w:pPr>
        <w:spacing w:before="100" w:after="100" w:line="240" w:lineRule="auto"/>
        <w:ind w:left="567" w:hanging="567"/>
        <w:jc w:val="both"/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3.3 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Kontrola NKÚ se zaměřila zejména na </w:t>
      </w:r>
      <w:r w:rsidR="00AA596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oblast 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programového financování, výdaje</w:t>
      </w:r>
      <w:r w:rsidR="00F9658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na pořizování majetku v rámci programového financování i mimo něj, </w:t>
      </w:r>
      <w:r w:rsidR="00F9658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výdaje na pořizování vybraných služeb, postup při 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evidenc</w:t>
      </w:r>
      <w:r w:rsidR="00F9658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i, 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inventarizaci</w:t>
      </w:r>
      <w:r w:rsidR="00F9658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a</w:t>
      </w:r>
      <w:r w:rsidR="00F15B6D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 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vyřazování majetku</w:t>
      </w:r>
      <w:r w:rsidR="00F9658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a 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postup při vymáhání pohledávek. Součástí kontroly bylo rovněž ověření provádění říd</w:t>
      </w:r>
      <w:r w:rsidR="00AF3A9F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i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cí kontroly ve smyslu zákona o</w:t>
      </w:r>
      <w:r w:rsidR="00F9658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 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finanční kontrole.</w:t>
      </w:r>
      <w:r w:rsidR="00F9658E" w:rsidRPr="002A47F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 rámci kontroly oblasti služeb NKÚ rovněž zjišťoval </w:t>
      </w:r>
      <w:r w:rsidR="00DE4F4A" w:rsidRPr="002A47F9">
        <w:rPr>
          <w:rFonts w:ascii="Calibri" w:eastAsia="Calibri" w:hAnsi="Calibri" w:cs="Calibri"/>
          <w:kern w:val="0"/>
          <w:sz w:val="24"/>
          <w:szCs w:val="24"/>
          <w14:ligatures w14:val="none"/>
        </w:rPr>
        <w:t>výdaje</w:t>
      </w:r>
      <w:r w:rsidR="00F9658E" w:rsidRPr="002A47F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ERÚ na provoz dislokovaných pracovišť. </w:t>
      </w:r>
    </w:p>
    <w:p w14:paraId="0A2A8E24" w14:textId="2EA19579" w:rsidR="00561258" w:rsidRPr="002A47F9" w:rsidRDefault="002A47F9" w:rsidP="002A47F9">
      <w:pPr>
        <w:spacing w:before="100" w:after="100" w:line="240" w:lineRule="auto"/>
        <w:ind w:left="567" w:hanging="567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3.4 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Kontrolu výše uvedených oblastí provedl NKÚ na vybraných vzorcích, jejichž rozsah a způsob výběru je uveden vždy u příslušné kontrolované oblasti v části IV. </w:t>
      </w:r>
      <w:r w:rsidR="00AF3A9F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tohoto 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kontrolního závěru</w:t>
      </w:r>
      <w:r w:rsidR="00F9658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.</w:t>
      </w:r>
    </w:p>
    <w:p w14:paraId="0D9E346E" w14:textId="56D03796" w:rsidR="00FA612C" w:rsidRPr="002A47F9" w:rsidRDefault="002A47F9" w:rsidP="002A47F9">
      <w:pPr>
        <w:spacing w:before="100" w:after="100" w:line="240" w:lineRule="auto"/>
        <w:ind w:left="567" w:hanging="567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3.5 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="009F6CA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NKÚ v rámci kontroly výše uvedených oblastí ověřoval, zda ERÚ</w:t>
      </w:r>
      <w:r w:rsidR="009F6CA0" w:rsidRPr="00294FF0">
        <w:t xml:space="preserve"> </w:t>
      </w:r>
      <w:r w:rsidR="009F6CA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při hospodaření s majetkem a peněžními prostředky státu postupoval v</w:t>
      </w:r>
      <w:r w:rsidR="00FA612C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9F6CA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souladu s právními předpisy, zejména zákonem č. 218/2000 Sb.</w:t>
      </w:r>
      <w:r w:rsidR="00FA612C" w:rsidRPr="002A47F9">
        <w:rPr>
          <w:rFonts w:ascii="Calibri" w:hAnsi="Calibri" w:cs="Calibri"/>
          <w:sz w:val="24"/>
          <w:szCs w:val="24"/>
        </w:rPr>
        <w:t xml:space="preserve"> a jeho prováděcí vyhláškou č. 560/2006 Sb.</w:t>
      </w:r>
      <w:r w:rsidR="009F6CA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, zákonem č. 219/2000 Sb.</w:t>
      </w:r>
      <w:r w:rsidR="00FA612C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a jeho prováděcí vyhláškou č. </w:t>
      </w:r>
      <w:r w:rsidR="00FA612C" w:rsidRPr="002A47F9">
        <w:rPr>
          <w:rFonts w:ascii="Calibri" w:hAnsi="Calibri" w:cs="Calibri"/>
          <w:sz w:val="24"/>
          <w:szCs w:val="24"/>
        </w:rPr>
        <w:t>62/2001 Sb.</w:t>
      </w:r>
      <w:r w:rsidR="00FA612C" w:rsidRPr="00294FF0">
        <w:rPr>
          <w:rStyle w:val="Znakapoznpodarou"/>
          <w:rFonts w:ascii="Calibri" w:hAnsi="Calibri" w:cs="Calibri"/>
          <w:sz w:val="24"/>
          <w:szCs w:val="24"/>
        </w:rPr>
        <w:footnoteReference w:id="16"/>
      </w:r>
      <w:r w:rsidR="009F6CA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, zákonem č.</w:t>
      </w:r>
      <w:r w:rsidR="00AD7A45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 </w:t>
      </w:r>
      <w:r w:rsidR="009F6CA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134/2016 Sb.</w:t>
      </w:r>
      <w:r w:rsidR="00FA612C" w:rsidRPr="00294FF0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17"/>
      </w:r>
      <w:r w:rsidR="009F6CA0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, </w:t>
      </w:r>
      <w:r w:rsidR="00FA612C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zákonem</w:t>
      </w:r>
      <w:r w:rsidR="00FA612C" w:rsidRPr="002A47F9">
        <w:rPr>
          <w:rFonts w:ascii="Calibri" w:hAnsi="Calibri" w:cs="Calibri"/>
          <w:sz w:val="24"/>
          <w:szCs w:val="24"/>
        </w:rPr>
        <w:t xml:space="preserve"> č. 563/1991 Sb.</w:t>
      </w:r>
      <w:r w:rsidR="00FA612C" w:rsidRPr="00294FF0">
        <w:rPr>
          <w:rStyle w:val="Znakapoznpodarou"/>
          <w:rFonts w:ascii="Calibri" w:hAnsi="Calibri" w:cs="Calibri"/>
          <w:sz w:val="24"/>
          <w:szCs w:val="24"/>
        </w:rPr>
        <w:footnoteReference w:id="18"/>
      </w:r>
      <w:r w:rsidR="00FA612C" w:rsidRPr="002A47F9">
        <w:rPr>
          <w:rFonts w:ascii="Calibri" w:hAnsi="Calibri" w:cs="Calibri"/>
          <w:sz w:val="24"/>
          <w:szCs w:val="24"/>
        </w:rPr>
        <w:t xml:space="preserve"> a</w:t>
      </w:r>
      <w:r w:rsidR="008F5B92" w:rsidRPr="002A47F9">
        <w:rPr>
          <w:rFonts w:ascii="Calibri" w:hAnsi="Calibri" w:cs="Calibri"/>
          <w:sz w:val="24"/>
          <w:szCs w:val="24"/>
        </w:rPr>
        <w:t xml:space="preserve"> </w:t>
      </w:r>
      <w:r w:rsidR="00FA612C" w:rsidRPr="002A47F9">
        <w:rPr>
          <w:rFonts w:ascii="Calibri" w:hAnsi="Calibri" w:cs="Calibri"/>
          <w:sz w:val="24"/>
          <w:szCs w:val="24"/>
        </w:rPr>
        <w:t>jeho prováděcí vyhláškou č. 270/2010 Sb.</w:t>
      </w:r>
      <w:r w:rsidR="00FA612C" w:rsidRPr="00294FF0">
        <w:rPr>
          <w:rStyle w:val="Znakapoznpodarou"/>
          <w:rFonts w:ascii="Calibri" w:hAnsi="Calibri" w:cs="Calibri"/>
          <w:sz w:val="24"/>
          <w:szCs w:val="24"/>
        </w:rPr>
        <w:footnoteReference w:id="19"/>
      </w:r>
      <w:r w:rsidR="00294FF0" w:rsidRPr="002A47F9">
        <w:rPr>
          <w:rFonts w:ascii="Calibri" w:hAnsi="Calibri" w:cs="Calibri"/>
        </w:rPr>
        <w:t xml:space="preserve">, </w:t>
      </w:r>
      <w:r w:rsidR="00AD7A45" w:rsidRPr="002A47F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zákonem č. 320/2001 Sb. a jeho prováděcí vyhláškou č. 416/2004 Sb.</w:t>
      </w:r>
      <w:r w:rsidR="00AD7A45" w:rsidRPr="00294FF0">
        <w:rPr>
          <w:rStyle w:val="Znakapoznpodarou"/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footnoteReference w:id="20"/>
      </w:r>
      <w:r w:rsidR="00294FF0" w:rsidRPr="002A47F9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a </w:t>
      </w:r>
      <w:r w:rsidR="00294FF0" w:rsidRPr="002A47F9">
        <w:rPr>
          <w:rFonts w:ascii="Calibri" w:hAnsi="Calibri" w:cs="Calibri"/>
          <w:sz w:val="24"/>
          <w:szCs w:val="24"/>
        </w:rPr>
        <w:t xml:space="preserve">zákonem č. 458/2000 Sb. </w:t>
      </w:r>
    </w:p>
    <w:p w14:paraId="7C797882" w14:textId="6E44C0A6" w:rsidR="00060B51" w:rsidRPr="002A47F9" w:rsidRDefault="002A47F9" w:rsidP="002A47F9">
      <w:pPr>
        <w:spacing w:before="100" w:after="100" w:line="240" w:lineRule="auto"/>
        <w:ind w:left="567" w:hanging="567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3.6 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U výdajů na pořizování majetku a služeb posuzoval NKÚ rovněž jejich účelnost a hospodárnost.</w:t>
      </w:r>
      <w:r w:rsidR="00060B51" w:rsidRPr="00B903E3">
        <w:rPr>
          <w:rStyle w:val="Znakapoznpodarou"/>
          <w:rFonts w:ascii="Calibri" w:eastAsia="Calibri" w:hAnsi="Calibri" w:cs="Calibri"/>
          <w:bCs/>
          <w:kern w:val="0"/>
          <w:sz w:val="24"/>
          <w:szCs w:val="24"/>
          <w14:ligatures w14:val="none"/>
        </w:rPr>
        <w:footnoteReference w:id="21"/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Za účelný považoval NKÚ takový postup, při kterém ERÚ pořizoval pouze majetek a služby </w:t>
      </w:r>
      <w:r w:rsidR="008F71EF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nezbytné pro plnění stanovených úkolů a zároveň jejich pořízení vedlo k optimálnímu dosažení cílů při plnění stanovených úkolů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. Za hospodárný považoval NKÚ takový postup, při kterém ERÚ pořídil majetek a služby s co nejnižším vynaložením peněžních prostředků při dodržení odpovídající kvality.</w:t>
      </w:r>
    </w:p>
    <w:p w14:paraId="4A4DC7FA" w14:textId="5768127A" w:rsidR="00074433" w:rsidRPr="002A47F9" w:rsidRDefault="002A47F9" w:rsidP="002A47F9">
      <w:pPr>
        <w:spacing w:before="100" w:after="100" w:line="240" w:lineRule="auto"/>
        <w:ind w:left="567" w:hanging="567"/>
        <w:jc w:val="both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3.7 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Kontrolovaný objem peněžních prostředků </w:t>
      </w:r>
      <w:r w:rsidR="008F71EF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státního rozpočtu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činil </w:t>
      </w:r>
      <w:r w:rsidR="008F71EF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113 653 510,54</w:t>
      </w:r>
      <w:r w:rsidR="005F56B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Kč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, </w:t>
      </w:r>
      <w:r w:rsidR="005F56BE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z toho </w:t>
      </w:r>
      <w:r w:rsidR="008F71EF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výdaje</w:t>
      </w:r>
      <w:r w:rsidR="008F71EF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na programové financování činily 66 747 604,29 Kč</w:t>
      </w:r>
      <w:r w:rsidR="00A84997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, </w:t>
      </w:r>
      <w:r w:rsidR="008F71EF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výdaje </w:t>
      </w:r>
      <w:r w:rsidR="00060B51" w:rsidRPr="002A47F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na </w:t>
      </w:r>
      <w:r w:rsidR="00060B51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pořízení majetku</w:t>
      </w:r>
      <w:r w:rsidR="00BA6A4E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E25F1E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činily</w:t>
      </w:r>
      <w:r w:rsidR="00060B51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38 449 720,82 Kč a výdaje na pořízení služeb </w:t>
      </w:r>
      <w:r w:rsidR="00E25F1E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činily</w:t>
      </w:r>
      <w:r w:rsidR="00060B51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8 456 185,43 Kč. Kontrolovaný objem vyřazeného majetku (v pořizovacích cenách vyřazeného majetku) činil 20 216 869,06 Kč</w:t>
      </w:r>
      <w:r w:rsidR="00E25F1E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a k</w:t>
      </w:r>
      <w:r w:rsidR="00060B51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ontrolovaný objem pohledávek činil </w:t>
      </w:r>
      <w:r w:rsidR="008F5B92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117 158 464</w:t>
      </w:r>
      <w:r w:rsidR="00060B51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,94</w:t>
      </w:r>
      <w:r w:rsidR="00E15A3D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="00060B51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Kč</w:t>
      </w:r>
      <w:r w:rsidR="00E15A3D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  <w:r w:rsidR="00074433" w:rsidRPr="002A47F9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  </w:t>
      </w:r>
    </w:p>
    <w:p w14:paraId="1054FD8C" w14:textId="5C6B6611" w:rsidR="00B27F75" w:rsidRDefault="00060B51" w:rsidP="001A7DB6">
      <w:pPr>
        <w:spacing w:before="100" w:after="0" w:line="240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7D4096">
        <w:rPr>
          <w:rFonts w:ascii="Calibri" w:hAnsi="Calibri" w:cs="Calibri"/>
          <w:b/>
          <w:bCs/>
          <w:sz w:val="20"/>
          <w:szCs w:val="20"/>
        </w:rPr>
        <w:t>Pozn.</w:t>
      </w:r>
      <w:r w:rsidRPr="007D4096">
        <w:rPr>
          <w:rFonts w:ascii="Calibri" w:hAnsi="Calibri" w:cs="Calibri"/>
          <w:sz w:val="20"/>
          <w:szCs w:val="20"/>
        </w:rPr>
        <w:t xml:space="preserve">: </w:t>
      </w:r>
      <w:r w:rsidR="00E36DA6" w:rsidRPr="007D4096">
        <w:rPr>
          <w:rFonts w:ascii="Calibri" w:hAnsi="Calibri" w:cs="Calibri"/>
          <w:sz w:val="20"/>
          <w:szCs w:val="20"/>
        </w:rPr>
        <w:tab/>
      </w:r>
      <w:r w:rsidRPr="007D4096">
        <w:rPr>
          <w:rFonts w:ascii="Calibri" w:hAnsi="Calibri" w:cs="Calibri"/>
          <w:sz w:val="20"/>
          <w:szCs w:val="20"/>
        </w:rPr>
        <w:t>Právní předpisy uvedené v kontrolním závěru jsou aplikovány ve znění účinném pro kontrolované období.</w:t>
      </w:r>
    </w:p>
    <w:p w14:paraId="75C3723E" w14:textId="1CAD81DE" w:rsidR="00DE2415" w:rsidRPr="00074433" w:rsidRDefault="00376841" w:rsidP="00074433">
      <w:pPr>
        <w:spacing w:after="360" w:line="240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376841">
        <w:rPr>
          <w:rFonts w:ascii="Calibri" w:hAnsi="Calibri" w:cs="Calibri"/>
          <w:sz w:val="20"/>
          <w:szCs w:val="20"/>
        </w:rPr>
        <w:tab/>
      </w:r>
      <w:r w:rsidRPr="0056630B">
        <w:rPr>
          <w:rFonts w:ascii="Calibri" w:hAnsi="Calibri" w:cs="Calibri"/>
          <w:sz w:val="20"/>
          <w:szCs w:val="20"/>
        </w:rPr>
        <w:t>Částky v Kč jsou uvedeny vč. DPH (není-li uvedeno jinak).</w:t>
      </w:r>
    </w:p>
    <w:p w14:paraId="2F731449" w14:textId="1A32B307" w:rsidR="00BB6D9E" w:rsidRPr="00B903E3" w:rsidRDefault="00BB6D9E" w:rsidP="000E2368">
      <w:pPr>
        <w:spacing w:after="24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903E3">
        <w:rPr>
          <w:rFonts w:ascii="Calibri" w:hAnsi="Calibri" w:cs="Calibri"/>
          <w:b/>
          <w:bCs/>
          <w:sz w:val="28"/>
          <w:szCs w:val="28"/>
        </w:rPr>
        <w:lastRenderedPageBreak/>
        <w:t>IV. Podrobné skutečnosti zjištěné kontrolou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DE4" w:rsidRPr="00664DE4" w14:paraId="26135814" w14:textId="77777777" w:rsidTr="00664DE4">
        <w:trPr>
          <w:trHeight w:val="3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C2E" w14:textId="77777777" w:rsidR="005A0D0E" w:rsidRPr="00664DE4" w:rsidRDefault="005A0D0E" w:rsidP="00917452">
            <w:pPr>
              <w:pStyle w:val="Nadpis2"/>
              <w:numPr>
                <w:ilvl w:val="0"/>
                <w:numId w:val="20"/>
              </w:numPr>
              <w:spacing w:before="0" w:after="0"/>
              <w:ind w:left="454" w:hanging="284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4DE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Programové financování</w:t>
            </w:r>
          </w:p>
        </w:tc>
      </w:tr>
    </w:tbl>
    <w:p w14:paraId="4F26C929" w14:textId="7011049A" w:rsidR="005A0D0E" w:rsidRPr="00917452" w:rsidRDefault="00917452" w:rsidP="00917452">
      <w:pPr>
        <w:spacing w:before="120" w:after="12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4.1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NKÚ ověřoval</w:t>
      </w:r>
      <w:r w:rsidR="003E580D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zda ERÚ </w:t>
      </w:r>
      <w:r w:rsidR="006A447C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v oblasti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programového financování </w:t>
      </w:r>
      <w:r w:rsidR="003E580D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postupoval </w:t>
      </w:r>
      <w:r w:rsidR="003E580D" w:rsidRPr="00917452">
        <w:rPr>
          <w:rFonts w:ascii="Calibri" w:hAnsi="Calibri" w:cs="Calibri"/>
          <w:sz w:val="24"/>
          <w:szCs w:val="24"/>
        </w:rPr>
        <w:t xml:space="preserve">v souladu se zákonem č. 218/2000 Sb., vyhláškou č. 560/2006 Sb. a pokynem MF č. R 1-2010,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</w:t>
      </w:r>
      <w:r w:rsidR="003E580D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to především u programu 149 020 (s ohledem na kontrolované období let 2019</w:t>
      </w:r>
      <w:r w:rsidR="000D70BC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–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2022).</w:t>
      </w:r>
    </w:p>
    <w:p w14:paraId="1E001831" w14:textId="75CD1C3B" w:rsidR="005A0D0E" w:rsidRPr="00917452" w:rsidRDefault="00917452" w:rsidP="00917452">
      <w:pPr>
        <w:spacing w:after="12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4.2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 programu 149 010 vzhledem k termínu jeho realizace mimo kontrolované období NKÚ ověřoval pouze zpracování návrhu závěrečného vyhodnocení programu a jeho předložení MF. </w:t>
      </w:r>
      <w:r w:rsidR="005A0D0E" w:rsidRPr="0091745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NKÚ ověřil, že ERÚ předložil MF návrh závěrečného vyhodnocení programu 149 010 ve stanoveném termínu do 30. 9. 2019 a MF jej dne 20. 11. 2019 odsouhlasilo.</w:t>
      </w:r>
    </w:p>
    <w:p w14:paraId="04ACD1AB" w14:textId="7F5F19D6" w:rsidR="005A0D0E" w:rsidRPr="00917452" w:rsidRDefault="00917452" w:rsidP="00917452">
      <w:pPr>
        <w:spacing w:after="12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4.3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 programu 149 030 vzhledem k nevýznamné výši čerpání peněžních prostředků v kontrolovaném období NKÚ ověřoval pouze</w:t>
      </w:r>
      <w:r w:rsidR="005A0D0E" w:rsidRPr="00917452">
        <w:rPr>
          <w:rFonts w:ascii="Calibri" w:hAnsi="Calibri" w:cs="Calibri"/>
        </w:rPr>
        <w:t xml:space="preserve">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proces tvorby a schvalování dokumentace programu. </w:t>
      </w:r>
      <w:r w:rsidR="005A0D0E" w:rsidRPr="0091745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NKÚ ověřil, že dokumentace programu 149 030 obsahovala všechny předepsané náležitosti</w:t>
      </w:r>
      <w:r w:rsidR="006A447C" w:rsidRPr="0091745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.</w:t>
      </w:r>
      <w:r w:rsidR="005A0D0E" w:rsidRPr="0091745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</w:p>
    <w:p w14:paraId="21FB9A74" w14:textId="5CAB6CC8" w:rsidR="00844F96" w:rsidRPr="00917452" w:rsidRDefault="00917452" w:rsidP="00917452">
      <w:pPr>
        <w:spacing w:after="120" w:line="240" w:lineRule="auto"/>
        <w:ind w:left="567" w:hanging="567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4.4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 programu 149 020 ověřoval NKÚ zejména tvorbu dokumentace programu, dodržení harmonogramu, způsob stanovení a dosažení cílů a parametrů programu a jeho financování. </w:t>
      </w:r>
    </w:p>
    <w:p w14:paraId="576DB5A0" w14:textId="6686C5B2" w:rsidR="005A0D0E" w:rsidRPr="00B903E3" w:rsidRDefault="00AD24FE" w:rsidP="001D1616">
      <w:pPr>
        <w:pStyle w:val="Odstavecseseznamem"/>
        <w:numPr>
          <w:ilvl w:val="0"/>
          <w:numId w:val="9"/>
        </w:numPr>
        <w:spacing w:before="240" w:after="24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NKÚ zjistil, že 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 xml:space="preserve">ERÚ </w:t>
      </w:r>
      <w:r w:rsidR="007E12FA">
        <w:rPr>
          <w:rFonts w:ascii="Calibri" w:hAnsi="Calibri" w:cs="Calibri"/>
          <w:b/>
          <w:bCs/>
          <w:sz w:val="24"/>
          <w:szCs w:val="24"/>
        </w:rPr>
        <w:t>prodloužil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 xml:space="preserve"> původní harmonogram realizace programu 149</w:t>
      </w:r>
      <w:r w:rsidR="007E12FA">
        <w:rPr>
          <w:rFonts w:ascii="Calibri" w:hAnsi="Calibri" w:cs="Calibri"/>
          <w:b/>
          <w:bCs/>
          <w:sz w:val="24"/>
          <w:szCs w:val="24"/>
        </w:rPr>
        <w:t> 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>020</w:t>
      </w:r>
      <w:r w:rsidR="007E12FA">
        <w:rPr>
          <w:rFonts w:ascii="Calibri" w:hAnsi="Calibri" w:cs="Calibri"/>
          <w:b/>
          <w:bCs/>
          <w:sz w:val="24"/>
          <w:szCs w:val="24"/>
        </w:rPr>
        <w:t xml:space="preserve"> z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 xml:space="preserve"> pěti na devět let.</w:t>
      </w:r>
    </w:p>
    <w:p w14:paraId="26DDAAFF" w14:textId="714D9790" w:rsidR="005A0D0E" w:rsidRPr="00917452" w:rsidRDefault="00917452" w:rsidP="00917452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</w:rPr>
        <w:t>4.5</w:t>
      </w:r>
      <w:r>
        <w:rPr>
          <w:rFonts w:ascii="Calibri" w:hAnsi="Calibri" w:cs="Calibri"/>
          <w:sz w:val="24"/>
          <w:szCs w:val="24"/>
        </w:rPr>
        <w:tab/>
      </w:r>
      <w:r w:rsidR="005A0D0E" w:rsidRPr="00917452">
        <w:rPr>
          <w:rFonts w:ascii="Calibri" w:hAnsi="Calibri" w:cs="Calibri"/>
          <w:sz w:val="24"/>
          <w:szCs w:val="24"/>
        </w:rPr>
        <w:t>Realizace programu 149 020 byla původně schválena MF na období let 2016</w:t>
      </w:r>
      <w:r w:rsidR="008C19B0" w:rsidRPr="00917452">
        <w:rPr>
          <w:rFonts w:ascii="Calibri" w:hAnsi="Calibri" w:cs="Calibri"/>
          <w:sz w:val="24"/>
          <w:szCs w:val="24"/>
        </w:rPr>
        <w:t>–</w:t>
      </w:r>
      <w:r w:rsidR="005A0D0E" w:rsidRPr="00917452">
        <w:rPr>
          <w:rFonts w:ascii="Calibri" w:hAnsi="Calibri" w:cs="Calibri"/>
          <w:sz w:val="24"/>
          <w:szCs w:val="24"/>
        </w:rPr>
        <w:t xml:space="preserve">2020 s maximální 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účastí státního rozpočtu na financování programu ve výši 90 180 tis. Kč.</w:t>
      </w:r>
      <w:r w:rsidR="005A0D0E" w:rsidRPr="00B903E3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2"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20F5B362" w14:textId="7E6F3600" w:rsidR="005A0D0E" w:rsidRPr="00917452" w:rsidRDefault="00917452" w:rsidP="00917452">
      <w:pPr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4.6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Program 149 020 byl následně dvakrát aktualizován</w:t>
      </w:r>
      <w:r w:rsidR="005A0D0E" w:rsidRPr="00B903E3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3"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došlo k</w:t>
      </w:r>
      <w:r w:rsidR="002D242C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prodloužení jeho realizace do 31. 12. 2024, tj. celkem o </w:t>
      </w:r>
      <w:r w:rsidR="00C012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čtyři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roky</w:t>
      </w:r>
      <w:r w:rsidR="006A447C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. 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 rámci první aktualizace programu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současně došlo k aktualizaci bilance potřeb a zdrojů financování programu v návaznosti na skutečně schválené prostředky státního rozpočtu na program, kdy účast státního rozpočtu na financování programu byla snížena o 25 % na 67 095 tis.</w:t>
      </w:r>
      <w:r w:rsidR="00C0120F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Kč. </w:t>
      </w:r>
      <w:r w:rsidR="005A0D0E" w:rsidRPr="00917452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Změny v harmonogramu a </w:t>
      </w:r>
      <w:r w:rsidR="002A14DC" w:rsidRPr="00917452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financování</w:t>
      </w:r>
      <w:r w:rsidR="005A0D0E" w:rsidRPr="00917452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 programu 149 020 uvádí tabulka č. </w:t>
      </w:r>
      <w:r w:rsidR="00727C97" w:rsidRPr="00917452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4</w:t>
      </w:r>
      <w:r w:rsidR="005A0D0E" w:rsidRPr="00917452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>.</w:t>
      </w:r>
    </w:p>
    <w:p w14:paraId="0CEF79AA" w14:textId="0B77A998" w:rsidR="005A0D0E" w:rsidRPr="001D1616" w:rsidRDefault="005A0D0E" w:rsidP="001D1616">
      <w:pPr>
        <w:keepNext/>
        <w:spacing w:before="120" w:after="40" w:line="240" w:lineRule="auto"/>
        <w:ind w:firstLine="567"/>
        <w:jc w:val="both"/>
        <w:rPr>
          <w:rFonts w:ascii="Calibri" w:eastAsia="Times New Roman" w:hAnsi="Calibri" w:cs="Calibri"/>
          <w:b/>
          <w:bCs/>
          <w:iCs/>
          <w:kern w:val="0"/>
          <w:sz w:val="24"/>
          <w:szCs w:val="24"/>
          <w14:ligatures w14:val="none"/>
        </w:rPr>
      </w:pPr>
      <w:r w:rsidRPr="001D1616">
        <w:rPr>
          <w:rFonts w:ascii="Calibri" w:eastAsia="Times New Roman" w:hAnsi="Calibri" w:cs="Calibri"/>
          <w:b/>
          <w:bCs/>
          <w:iCs/>
          <w:kern w:val="0"/>
          <w:sz w:val="24"/>
          <w:szCs w:val="24"/>
          <w14:ligatures w14:val="none"/>
        </w:rPr>
        <w:t xml:space="preserve">Tabulka č. </w:t>
      </w:r>
      <w:r w:rsidR="00727C97" w:rsidRPr="001D1616">
        <w:rPr>
          <w:rFonts w:ascii="Calibri" w:eastAsia="Times New Roman" w:hAnsi="Calibri" w:cs="Calibri"/>
          <w:b/>
          <w:bCs/>
          <w:iCs/>
          <w:kern w:val="0"/>
          <w:sz w:val="24"/>
          <w:szCs w:val="24"/>
          <w14:ligatures w14:val="none"/>
        </w:rPr>
        <w:t>4</w:t>
      </w:r>
      <w:r w:rsidR="00C0120F">
        <w:rPr>
          <w:rFonts w:ascii="Calibri" w:eastAsia="Times New Roman" w:hAnsi="Calibri" w:cs="Calibri"/>
          <w:b/>
          <w:bCs/>
          <w:iCs/>
          <w:kern w:val="0"/>
          <w:sz w:val="24"/>
          <w:szCs w:val="24"/>
          <w14:ligatures w14:val="none"/>
        </w:rPr>
        <w:t>:</w:t>
      </w:r>
      <w:r w:rsidRPr="001D1616">
        <w:rPr>
          <w:rFonts w:ascii="Calibri" w:eastAsia="Times New Roman" w:hAnsi="Calibri" w:cs="Calibri"/>
          <w:b/>
          <w:bCs/>
          <w:iCs/>
          <w:kern w:val="0"/>
          <w:sz w:val="24"/>
          <w:szCs w:val="24"/>
          <w14:ligatures w14:val="none"/>
        </w:rPr>
        <w:t xml:space="preserve"> Harmonogram a financování programu 149 020</w:t>
      </w:r>
    </w:p>
    <w:tbl>
      <w:tblPr>
        <w:tblStyle w:val="Mkatabulky1"/>
        <w:tblW w:w="8505" w:type="dxa"/>
        <w:tblInd w:w="562" w:type="dxa"/>
        <w:tblLook w:val="04A0" w:firstRow="1" w:lastRow="0" w:firstColumn="1" w:lastColumn="0" w:noHBand="0" w:noVBand="1"/>
      </w:tblPr>
      <w:tblGrid>
        <w:gridCol w:w="4536"/>
        <w:gridCol w:w="1323"/>
        <w:gridCol w:w="1323"/>
        <w:gridCol w:w="1323"/>
      </w:tblGrid>
      <w:tr w:rsidR="005A0D0E" w:rsidRPr="00B903E3" w14:paraId="2E37182B" w14:textId="77777777" w:rsidTr="001D1616"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1B3809" w14:textId="77777777" w:rsidR="005A0D0E" w:rsidRPr="00B903E3" w:rsidRDefault="005A0D0E" w:rsidP="001D1616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41A3D5" w14:textId="77777777" w:rsidR="005A0D0E" w:rsidRPr="00B903E3" w:rsidRDefault="005A0D0E" w:rsidP="001D161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B903E3">
              <w:rPr>
                <w:rFonts w:cs="Calibri"/>
                <w:b/>
                <w:spacing w:val="-4"/>
                <w:sz w:val="20"/>
                <w:szCs w:val="20"/>
              </w:rPr>
              <w:t>Dokumentace programu</w:t>
            </w:r>
          </w:p>
        </w:tc>
      </w:tr>
      <w:tr w:rsidR="005A0D0E" w:rsidRPr="00B903E3" w14:paraId="2A8C10F4" w14:textId="77777777" w:rsidTr="001D1616">
        <w:trPr>
          <w:trHeight w:val="2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A6F1C8" w14:textId="77777777" w:rsidR="005A0D0E" w:rsidRPr="00B903E3" w:rsidRDefault="005A0D0E" w:rsidP="001D1616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963610" w14:textId="77777777" w:rsidR="005A0D0E" w:rsidRPr="00B903E3" w:rsidRDefault="005A0D0E" w:rsidP="001D1616">
            <w:pPr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B903E3">
              <w:rPr>
                <w:rFonts w:cs="Calibri"/>
                <w:b/>
                <w:spacing w:val="-4"/>
                <w:sz w:val="20"/>
                <w:szCs w:val="20"/>
              </w:rPr>
              <w:t>Původní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A4C454" w14:textId="77777777" w:rsidR="005A0D0E" w:rsidRPr="00B903E3" w:rsidRDefault="005A0D0E" w:rsidP="001D1616">
            <w:pPr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B903E3">
              <w:rPr>
                <w:rFonts w:cs="Calibri"/>
                <w:b/>
                <w:spacing w:val="-4"/>
                <w:sz w:val="20"/>
                <w:szCs w:val="20"/>
              </w:rPr>
              <w:t>1. aktualizace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0C8D0E" w14:textId="77777777" w:rsidR="005A0D0E" w:rsidRPr="00B903E3" w:rsidRDefault="005A0D0E" w:rsidP="001D1616">
            <w:pPr>
              <w:autoSpaceDE w:val="0"/>
              <w:autoSpaceDN w:val="0"/>
              <w:adjustRightInd w:val="0"/>
              <w:ind w:left="-108"/>
              <w:jc w:val="center"/>
              <w:rPr>
                <w:rFonts w:cs="Calibri"/>
                <w:b/>
                <w:spacing w:val="-4"/>
                <w:sz w:val="20"/>
                <w:szCs w:val="20"/>
              </w:rPr>
            </w:pPr>
            <w:r w:rsidRPr="00B903E3">
              <w:rPr>
                <w:rFonts w:cs="Calibri"/>
                <w:b/>
                <w:spacing w:val="-4"/>
                <w:sz w:val="20"/>
                <w:szCs w:val="20"/>
              </w:rPr>
              <w:t>2. aktualizace</w:t>
            </w:r>
          </w:p>
        </w:tc>
      </w:tr>
      <w:tr w:rsidR="005A0D0E" w:rsidRPr="00B903E3" w14:paraId="03457F6E" w14:textId="77777777" w:rsidTr="001D161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3A52" w14:textId="77777777" w:rsidR="005A0D0E" w:rsidRPr="00B903E3" w:rsidRDefault="005A0D0E" w:rsidP="001D161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Termín ukončení realizace programu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6A5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31. 12. 2020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0175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31. 12. 2022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8ABE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31. 12. 2024</w:t>
            </w:r>
          </w:p>
        </w:tc>
      </w:tr>
      <w:tr w:rsidR="005A0D0E" w:rsidRPr="00B903E3" w14:paraId="107547D9" w14:textId="77777777" w:rsidTr="001D161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61B9" w14:textId="77777777" w:rsidR="005A0D0E" w:rsidRPr="00B903E3" w:rsidRDefault="005A0D0E" w:rsidP="001D161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Termín návrhu závěrečného vyhodnocení programu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C9FA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30. 9. 2021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6F83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30. 9. 2023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B973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30. 6. 2025</w:t>
            </w:r>
          </w:p>
        </w:tc>
      </w:tr>
      <w:tr w:rsidR="005A0D0E" w:rsidRPr="00B903E3" w14:paraId="1B5A65BE" w14:textId="77777777" w:rsidTr="001D161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05DA" w14:textId="77777777" w:rsidR="005A0D0E" w:rsidRPr="00B903E3" w:rsidRDefault="005A0D0E" w:rsidP="001D161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Souhrn finančních potřeb a zdrojů (v tis. Kč)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7AFA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90 180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892F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67 095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B0A" w14:textId="77777777" w:rsidR="005A0D0E" w:rsidRPr="00B903E3" w:rsidRDefault="005A0D0E" w:rsidP="001D1616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B903E3">
              <w:rPr>
                <w:rFonts w:cs="Calibri"/>
                <w:sz w:val="20"/>
                <w:szCs w:val="20"/>
              </w:rPr>
              <w:t>67 095</w:t>
            </w:r>
          </w:p>
        </w:tc>
      </w:tr>
    </w:tbl>
    <w:p w14:paraId="5D7286C6" w14:textId="08B1EEFC" w:rsidR="00A84997" w:rsidRDefault="005A0D0E" w:rsidP="001D1616">
      <w:pPr>
        <w:autoSpaceDE w:val="0"/>
        <w:autoSpaceDN w:val="0"/>
        <w:adjustRightInd w:val="0"/>
        <w:spacing w:before="40" w:after="240" w:line="240" w:lineRule="auto"/>
        <w:ind w:firstLine="56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5544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Zdroj:</w:t>
      </w:r>
      <w:r w:rsidRPr="00B903E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C0120F">
        <w:rPr>
          <w:rFonts w:ascii="Calibri" w:eastAsia="Calibri" w:hAnsi="Calibri" w:cs="Calibri"/>
          <w:kern w:val="0"/>
          <w:sz w:val="20"/>
          <w:szCs w:val="20"/>
          <w14:ligatures w14:val="none"/>
        </w:rPr>
        <w:t>d</w:t>
      </w:r>
      <w:r w:rsidRPr="00B903E3">
        <w:rPr>
          <w:rFonts w:ascii="Calibri" w:eastAsia="Calibri" w:hAnsi="Calibri" w:cs="Calibri"/>
          <w:kern w:val="0"/>
          <w:sz w:val="20"/>
          <w:szCs w:val="20"/>
          <w14:ligatures w14:val="none"/>
        </w:rPr>
        <w:t>okumentace programu 149</w:t>
      </w:r>
      <w:r w:rsidR="008C19B0">
        <w:rPr>
          <w:rFonts w:ascii="Calibri" w:eastAsia="Calibri" w:hAnsi="Calibri" w:cs="Calibri"/>
          <w:kern w:val="0"/>
          <w:sz w:val="20"/>
          <w:szCs w:val="20"/>
          <w14:ligatures w14:val="none"/>
        </w:rPr>
        <w:t> </w:t>
      </w:r>
      <w:r w:rsidRPr="00B903E3">
        <w:rPr>
          <w:rFonts w:ascii="Calibri" w:eastAsia="Calibri" w:hAnsi="Calibri" w:cs="Calibri"/>
          <w:kern w:val="0"/>
          <w:sz w:val="20"/>
          <w:szCs w:val="20"/>
          <w14:ligatures w14:val="none"/>
        </w:rPr>
        <w:t>020</w:t>
      </w:r>
      <w:r w:rsidR="008C19B0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  <w:r w:rsidRPr="00B903E3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 </w:t>
      </w:r>
    </w:p>
    <w:p w14:paraId="29521037" w14:textId="0802CAF4" w:rsidR="005A0D0E" w:rsidRPr="00B903E3" w:rsidRDefault="00AD24FE" w:rsidP="001D1616">
      <w:pPr>
        <w:pStyle w:val="Odstavecseseznamem"/>
        <w:numPr>
          <w:ilvl w:val="0"/>
          <w:numId w:val="9"/>
        </w:numPr>
        <w:spacing w:before="240" w:after="24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NKÚ zjistil, že 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 xml:space="preserve">ERÚ </w:t>
      </w:r>
      <w:r>
        <w:rPr>
          <w:rFonts w:ascii="Calibri" w:hAnsi="Calibri" w:cs="Calibri"/>
          <w:b/>
          <w:bCs/>
          <w:sz w:val="24"/>
          <w:szCs w:val="24"/>
        </w:rPr>
        <w:t xml:space="preserve">stanovené 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>parametry programu 149</w:t>
      </w:r>
      <w:r>
        <w:rPr>
          <w:rFonts w:ascii="Calibri" w:hAnsi="Calibri" w:cs="Calibri"/>
          <w:b/>
          <w:bCs/>
          <w:sz w:val="24"/>
          <w:szCs w:val="24"/>
        </w:rPr>
        <w:t> 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>020</w:t>
      </w:r>
      <w:r>
        <w:rPr>
          <w:rFonts w:ascii="Calibri" w:hAnsi="Calibri" w:cs="Calibri"/>
          <w:b/>
          <w:bCs/>
          <w:sz w:val="24"/>
          <w:szCs w:val="24"/>
        </w:rPr>
        <w:t xml:space="preserve"> po jeho aktualizaci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 xml:space="preserve"> nezměnil. </w:t>
      </w:r>
      <w:r>
        <w:rPr>
          <w:rFonts w:ascii="Calibri" w:hAnsi="Calibri" w:cs="Calibri"/>
          <w:b/>
          <w:bCs/>
          <w:sz w:val="24"/>
          <w:szCs w:val="24"/>
        </w:rPr>
        <w:t>P</w:t>
      </w:r>
      <w:r w:rsidR="005A0D0E" w:rsidRPr="00B903E3">
        <w:rPr>
          <w:rFonts w:ascii="Calibri" w:hAnsi="Calibri" w:cs="Calibri"/>
          <w:b/>
          <w:bCs/>
          <w:sz w:val="24"/>
          <w:szCs w:val="24"/>
        </w:rPr>
        <w:t>arametry neodpovídaly bilanci potřeb a zdrojů financování programu ani potřebám ERÚ.</w:t>
      </w:r>
    </w:p>
    <w:p w14:paraId="3F733D91" w14:textId="6A2A310F" w:rsidR="002D242C" w:rsidRPr="00917452" w:rsidRDefault="00917452" w:rsidP="0091745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4.7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ERÚ stanovil v dokumentaci programu 149 020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parametry</w:t>
      </w:r>
      <w:r w:rsidR="00735C5F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, které v rámci 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první </w:t>
      </w:r>
      <w:r w:rsidR="00735C5F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ani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druhé aktualizac</w:t>
      </w:r>
      <w:r w:rsidR="00735C5F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e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 programu </w:t>
      </w:r>
      <w:r w:rsidR="00735C5F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nezměnil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, přestože financování programu bylo redukováno z</w:t>
      </w:r>
      <w:r w:rsidR="00735C5F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 </w:t>
      </w:r>
      <w:r w:rsidR="005A0D0E" w:rsidRPr="0091745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částky 90 180 000 Kč na částku 67 095 000 Kč.</w:t>
      </w:r>
    </w:p>
    <w:p w14:paraId="5A8413D8" w14:textId="5C16C631" w:rsidR="007C6A30" w:rsidRPr="00917452" w:rsidRDefault="00917452" w:rsidP="0091745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4.8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ERÚ počítal v souvislosti s novelizací energetického zákona a ostatních souvisejících zákonů (např. zákona č. 165/2012 Sb.) s nárůstem pravomocí a </w:t>
      </w:r>
      <w:r w:rsidR="003425E4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působnosti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 účinností od 1. 1. 2016 a navýšením počtu systemizovaných míst na 350. S tím souvisel požadavek na zajištění odpovídajících rozšíření kancelářských prostor a modernizaci a rozšíření informačních a komunikačních technologií.</w:t>
      </w:r>
    </w:p>
    <w:p w14:paraId="18354ED7" w14:textId="0258DDFD" w:rsidR="005A0D0E" w:rsidRPr="00917452" w:rsidRDefault="00917452" w:rsidP="0091745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4.9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Důvodem změn ve výši finančních</w:t>
      </w:r>
      <w:r w:rsidR="007C6A30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potřeb programu 149 020 z 90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180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tis. Kč na 67 095 tis. Kč bylo mj.:</w:t>
      </w:r>
    </w:p>
    <w:p w14:paraId="501E54C3" w14:textId="40749818" w:rsidR="005A0D0E" w:rsidRPr="00A84997" w:rsidRDefault="003425E4" w:rsidP="000E236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nižší nárůst</w:t>
      </w:r>
      <w:r w:rsidR="005A0D0E"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systemizovaných míst oproti odhadu stanovenému na základě legislativních změn a s tím související nižší počet požadavků na zajištění materiál</w:t>
      </w:r>
      <w:r w:rsidR="000E2368">
        <w:rPr>
          <w:rFonts w:ascii="Calibri" w:eastAsia="Calibri" w:hAnsi="Calibri" w:cs="Calibri"/>
          <w:kern w:val="0"/>
          <w:sz w:val="24"/>
          <w:szCs w:val="24"/>
          <w14:ligatures w14:val="none"/>
        </w:rPr>
        <w:t>-</w:t>
      </w:r>
      <w:r w:rsidR="000E2368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="005A0D0E"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>ně-</w:t>
      </w:r>
      <w:r w:rsidR="005A0D0E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technického </w:t>
      </w:r>
      <w:r w:rsidR="006A447C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vybavení</w:t>
      </w:r>
      <w:r w:rsidR="005A0D0E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;</w:t>
      </w:r>
    </w:p>
    <w:p w14:paraId="36A6A1B2" w14:textId="09685D55" w:rsidR="005A0D0E" w:rsidRPr="00B903E3" w:rsidRDefault="005A0D0E" w:rsidP="000E236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>finanční možnosti rozpočtu kapitoly 349 – ERÚ na základě parametrů rozpočtu (tj.</w:t>
      </w:r>
      <w:r w:rsidR="000E2368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>limitu výdajového rámce stanoveného vládou na příslušný rok</w:t>
      </w:r>
      <w:r w:rsidR="00A84997"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)</w:t>
      </w:r>
      <w:r w:rsidRPr="00A84997">
        <w:rPr>
          <w:rFonts w:ascii="Calibri" w:eastAsia="Calibri" w:hAnsi="Calibri" w:cs="Calibri"/>
          <w:kern w:val="0"/>
          <w:sz w:val="24"/>
          <w:szCs w:val="24"/>
          <w14:ligatures w14:val="none"/>
        </w:rPr>
        <w:t>;</w:t>
      </w:r>
    </w:p>
    <w:p w14:paraId="3195EFE0" w14:textId="011420ED" w:rsidR="005A0D0E" w:rsidRPr="00B903E3" w:rsidRDefault="005A0D0E" w:rsidP="000E236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>nižší ceny výpočetní techniky v porovnání s cenami z roku, ve kterém se připravovala dokumentace programu</w:t>
      </w:r>
      <w:r w:rsidR="00C0120F">
        <w:rPr>
          <w:rFonts w:ascii="Calibri" w:eastAsia="Calibri" w:hAnsi="Calibri" w:cs="Calibri"/>
          <w:kern w:val="0"/>
          <w:sz w:val="24"/>
          <w:szCs w:val="24"/>
          <w14:ligatures w14:val="none"/>
        </w:rPr>
        <w:t>,</w:t>
      </w:r>
      <w:r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dále pak snížení ceny na základě veřejné zakázky;</w:t>
      </w:r>
    </w:p>
    <w:p w14:paraId="60201F6B" w14:textId="06823671" w:rsidR="005A0D0E" w:rsidRPr="00B903E3" w:rsidRDefault="005A0D0E" w:rsidP="000E2368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snížení výdajů na pořízení SW a HW pro zajištění </w:t>
      </w:r>
      <w:r w:rsidR="00885E1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povinných </w:t>
      </w:r>
      <w:r w:rsidRPr="00B903E3">
        <w:rPr>
          <w:rFonts w:ascii="Calibri" w:eastAsia="Calibri" w:hAnsi="Calibri" w:cs="Calibri"/>
          <w:kern w:val="0"/>
          <w:sz w:val="24"/>
          <w:szCs w:val="24"/>
          <w14:ligatures w14:val="none"/>
        </w:rPr>
        <w:t>agend.</w:t>
      </w:r>
    </w:p>
    <w:p w14:paraId="7A3F14C7" w14:textId="755F1A68" w:rsidR="0079716F" w:rsidRPr="00917452" w:rsidRDefault="00917452" w:rsidP="00917452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strike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4.10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Ačkoliv byly sníženy</w:t>
      </w:r>
      <w:r w:rsidR="007C6A30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potřeby financování, které vzešly ze změn podmínek (viz výše), nezměnil ERÚ parametry programu tak, aby odpovídaly potřebám ERÚ a objemu financování programu 149 020. </w:t>
      </w:r>
      <w:r w:rsidR="0079716F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ERÚ</w:t>
      </w:r>
      <w:r w:rsidR="007F6F34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79716F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uvedl, že parametry </w:t>
      </w:r>
      <w:r w:rsidR="00844F96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programu </w:t>
      </w:r>
      <w:r w:rsidR="0079716F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nebyly na základě dohody s</w:t>
      </w:r>
      <w:r w:rsidR="00844F96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79716F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MF již upravovány.</w:t>
      </w:r>
    </w:p>
    <w:p w14:paraId="7739A756" w14:textId="465BAE77" w:rsidR="005A0D0E" w:rsidRPr="00917452" w:rsidRDefault="00917452" w:rsidP="00917452">
      <w:pPr>
        <w:autoSpaceDE w:val="0"/>
        <w:autoSpaceDN w:val="0"/>
        <w:adjustRightInd w:val="0"/>
        <w:spacing w:before="120" w:after="24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4.11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Realizace programu 149 020 byla ukončena k 31. 12. 2024. NKÚ zjistil, že čerpání programu 149 020 k 30. 9. 2024 bylo ve výši </w:t>
      </w:r>
      <w:bookmarkStart w:id="9" w:name="_Hlk193376717"/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66 747 604,29 </w:t>
      </w:r>
      <w:bookmarkEnd w:id="9"/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Kč, tj. 99,48 % schválených finančních potřeb (v</w:t>
      </w:r>
      <w:r w:rsidR="000C7A92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redukované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výši 67 095 000 Kč). Závěrečné vyhodnocení programu nebylo v</w:t>
      </w:r>
      <w:r w:rsidR="00FF4847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době kontroly NKÚ ze strany ERÚ vypracováno (termín stanoven do 30. 6. 2025).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DE4" w:rsidRPr="00664DE4" w14:paraId="0D1A8761" w14:textId="77777777" w:rsidTr="00664DE4">
        <w:trPr>
          <w:trHeight w:val="3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5F1" w14:textId="77777777" w:rsidR="005A0D0E" w:rsidRPr="00664DE4" w:rsidRDefault="005A0D0E" w:rsidP="00F46977">
            <w:pPr>
              <w:pStyle w:val="Nadpis2"/>
              <w:numPr>
                <w:ilvl w:val="0"/>
                <w:numId w:val="20"/>
              </w:numPr>
              <w:spacing w:before="0" w:after="0"/>
              <w:ind w:left="454" w:hanging="284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4DE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Pořizování majetku </w:t>
            </w:r>
          </w:p>
        </w:tc>
      </w:tr>
    </w:tbl>
    <w:p w14:paraId="4DC84C36" w14:textId="53C3E22B" w:rsidR="005A0D0E" w:rsidRPr="00F46977" w:rsidRDefault="00F46977" w:rsidP="00917452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4.12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ověřoval, zda ERÚ při nabývání majetku postupoval účelně, hospodárně a</w:t>
      </w:r>
      <w:r w:rsid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v</w:t>
      </w:r>
      <w:r w:rsid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souladu s právními předpisy, </w:t>
      </w:r>
      <w:bookmarkStart w:id="10" w:name="_Hlk192841747"/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zejména zákonem č. 134/2016 Sb.</w:t>
      </w:r>
      <w:r w:rsidR="000D4CC9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zákonem č. 218/2000 Sb. </w:t>
      </w:r>
      <w:r w:rsidR="000D4CC9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 zákonem č. 219/2000 Sb.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rovněž ověřoval, zda ERÚ při pořizování majetku prováděl říd</w:t>
      </w:r>
      <w:r w:rsidR="000B2391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cí kontrolu v souladu se zákonem č. 320/2001 Sb. a jeho prováděcí vyhláškou č.</w:t>
      </w:r>
      <w:r w:rsid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416/2004</w:t>
      </w:r>
      <w:r w:rsidR="0091745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Sb.</w:t>
      </w:r>
      <w:r w:rsidR="00196860" w:rsidRPr="00B903E3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4"/>
      </w:r>
      <w:bookmarkEnd w:id="10"/>
    </w:p>
    <w:p w14:paraId="28B85239" w14:textId="7808372D" w:rsidR="00343CBB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4.13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ověřoval postup ERÚ při pořizováni majetku na vzorku 22 nákupů majetku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 celkové pořizovací ceně 38 449 720,82 Kč, což představ</w:t>
      </w:r>
      <w:r w:rsidR="000E3105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ovalo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cca 71 % celkové hodnoty majetku pořízeného</w:t>
      </w:r>
      <w:r w:rsidR="000E3105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v</w:t>
      </w:r>
      <w:r w:rsidR="0004206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etech 2019</w:t>
      </w:r>
      <w:r w:rsidR="000A4D4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–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2022.</w:t>
      </w:r>
      <w:r w:rsidR="004D31FD" w:rsidRPr="00683E9E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5"/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Vzorek byl vybrán zejména s ohledem na finanční významnost (pořizovací cenu majetku) a rizikovost (neobvyklé položky). </w:t>
      </w:r>
    </w:p>
    <w:p w14:paraId="26E19752" w14:textId="5811096C" w:rsidR="00343CBB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4.14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Do vzorku byly vybrány </w:t>
      </w:r>
      <w:r w:rsidR="000B2391">
        <w:rPr>
          <w:rFonts w:ascii="Calibri" w:eastAsia="Calibri" w:hAnsi="Calibri" w:cs="Calibri"/>
          <w:kern w:val="0"/>
          <w:sz w:val="24"/>
          <w:szCs w:val="24"/>
          <w14:ligatures w14:val="none"/>
        </w:rPr>
        <w:t>čtyři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nákupy majetku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financované z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prostředků programu 149 020 v celkové pořizovací ceně 28 226 432,37 Kč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. Jednalo</w:t>
      </w:r>
      <w:r w:rsidR="00881F62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se o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881F62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nákup elektromobilu a tři nákupy prostředků ICT</w:t>
      </w:r>
      <w:r w:rsidR="00795E8A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881F62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(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nákup HW a SW pro zvýšení</w:t>
      </w:r>
      <w:r w:rsidR="00343CBB" w:rsidRPr="00683E9E">
        <w:t xml:space="preserve"> 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bezpečnosti ICT prostředí ERÚ,</w:t>
      </w:r>
      <w:r w:rsidR="00881F62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nákup serverů a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7F544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páskové knihovny a nákup</w:t>
      </w:r>
      <w:r w:rsidR="00881F62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7F544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notebooků).</w:t>
      </w:r>
    </w:p>
    <w:p w14:paraId="669050F3" w14:textId="2DDCE35E" w:rsidR="00EC5FBF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4.15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7F544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Do vzorku bylo dále vybráno 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18 ostatních nákupů majetku</w:t>
      </w:r>
      <w:r w:rsidR="007F544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(mimo programové financování)</w:t>
      </w:r>
      <w:r w:rsidR="00343CB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 celkové pořizovací ceně </w:t>
      </w:r>
      <w:r w:rsidR="004D31F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10 223 288,45 Kč.</w:t>
      </w:r>
      <w:r w:rsidR="007F544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Jednalo se zejména o nákupy ICT prostředků (počítače, notebooky, monitory, telefony, konferenční kamery a televizory, SW aj.)</w:t>
      </w:r>
      <w:r w:rsidR="00B227E0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0F2B96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dále </w:t>
      </w:r>
      <w:r w:rsidR="00B227E0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nákup kancelářských židlí</w:t>
      </w:r>
      <w:r w:rsidR="00D7641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</w:t>
      </w:r>
      <w:r w:rsidR="00B227E0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nákup logotypu a vizuální identity</w:t>
      </w:r>
      <w:r w:rsidR="008C06BA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6"/>
      </w:r>
      <w:r w:rsidR="00B227E0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ERÚ.</w:t>
      </w:r>
      <w:r w:rsidR="00140149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Ve všech případech se jednalo o veřejné zakázky malého rozsahu.</w:t>
      </w:r>
    </w:p>
    <w:p w14:paraId="3DC3F63E" w14:textId="5EFA9877" w:rsidR="005A0D0E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11" w:name="_Hlk192852936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4.16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na výše uvedeném vzorku</w:t>
      </w:r>
      <w:r w:rsidR="00067479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22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nákupů majetku ověřil, že ERÚ v případě nákupů financovaných z programového financování a ve většině případů ostatních nákupů postupoval účelně, hospodárně a v souladu s právními předpisy.</w:t>
      </w:r>
    </w:p>
    <w:bookmarkEnd w:id="11"/>
    <w:p w14:paraId="21CA6BD0" w14:textId="06FADF09" w:rsidR="005A0D0E" w:rsidRPr="00A84997" w:rsidRDefault="00E93025" w:rsidP="000E2368">
      <w:pPr>
        <w:pStyle w:val="Odstavecseseznamem"/>
        <w:numPr>
          <w:ilvl w:val="0"/>
          <w:numId w:val="9"/>
        </w:numPr>
        <w:spacing w:before="240" w:after="24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A84997">
        <w:rPr>
          <w:rFonts w:ascii="Calibri" w:hAnsi="Calibri" w:cs="Calibri"/>
          <w:b/>
          <w:bCs/>
          <w:sz w:val="24"/>
          <w:szCs w:val="24"/>
        </w:rPr>
        <w:t xml:space="preserve">NKÚ zjistil, že ERÚ nakupoval </w:t>
      </w:r>
      <w:r w:rsidR="000D4CC9" w:rsidRPr="00A84997">
        <w:rPr>
          <w:rFonts w:ascii="Calibri" w:hAnsi="Calibri" w:cs="Calibri"/>
          <w:b/>
          <w:bCs/>
          <w:sz w:val="24"/>
          <w:szCs w:val="24"/>
        </w:rPr>
        <w:t xml:space="preserve">ICT </w:t>
      </w:r>
      <w:r w:rsidR="005A0D0E" w:rsidRPr="00A84997">
        <w:rPr>
          <w:rFonts w:ascii="Calibri" w:hAnsi="Calibri" w:cs="Calibri"/>
          <w:b/>
          <w:bCs/>
          <w:sz w:val="24"/>
          <w:szCs w:val="24"/>
        </w:rPr>
        <w:t>výrobk</w:t>
      </w:r>
      <w:r w:rsidRPr="00A84997">
        <w:rPr>
          <w:rFonts w:ascii="Calibri" w:hAnsi="Calibri" w:cs="Calibri"/>
          <w:b/>
          <w:bCs/>
          <w:sz w:val="24"/>
          <w:szCs w:val="24"/>
        </w:rPr>
        <w:t>y</w:t>
      </w:r>
      <w:r w:rsidR="000D4CC9" w:rsidRPr="00A849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D5CAC" w:rsidRPr="00A84997">
        <w:rPr>
          <w:rFonts w:ascii="Calibri" w:hAnsi="Calibri" w:cs="Calibri"/>
          <w:b/>
          <w:bCs/>
          <w:sz w:val="24"/>
          <w:szCs w:val="24"/>
        </w:rPr>
        <w:t>vybrané</w:t>
      </w:r>
      <w:r w:rsidRPr="00A8499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A0D0E" w:rsidRPr="00A84997">
        <w:rPr>
          <w:rFonts w:ascii="Calibri" w:hAnsi="Calibri" w:cs="Calibri"/>
          <w:b/>
          <w:bCs/>
          <w:sz w:val="24"/>
          <w:szCs w:val="24"/>
        </w:rPr>
        <w:t xml:space="preserve">značky </w:t>
      </w:r>
      <w:r w:rsidR="000D4CC9" w:rsidRPr="00A84997">
        <w:rPr>
          <w:rFonts w:ascii="Calibri" w:hAnsi="Calibri" w:cs="Calibri"/>
          <w:b/>
          <w:bCs/>
          <w:sz w:val="24"/>
          <w:szCs w:val="24"/>
        </w:rPr>
        <w:t>vyšší cenové úrovně</w:t>
      </w:r>
      <w:r w:rsidRPr="00A84997">
        <w:rPr>
          <w:rFonts w:ascii="Calibri" w:hAnsi="Calibri" w:cs="Calibri"/>
          <w:b/>
          <w:bCs/>
          <w:sz w:val="24"/>
          <w:szCs w:val="24"/>
        </w:rPr>
        <w:t xml:space="preserve"> bez řádného odůvodnění.</w:t>
      </w:r>
    </w:p>
    <w:p w14:paraId="6D96C262" w14:textId="20A362AE" w:rsidR="005A0D0E" w:rsidRPr="00F46977" w:rsidRDefault="00F46977" w:rsidP="00F46977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4.17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NKÚ v případě </w:t>
      </w:r>
      <w:r w:rsidR="000B2391">
        <w:rPr>
          <w:rFonts w:ascii="Calibri" w:eastAsia="Calibri" w:hAnsi="Calibri" w:cs="Calibri"/>
          <w:kern w:val="0"/>
          <w:sz w:val="24"/>
          <w:szCs w:val="24"/>
          <w14:ligatures w14:val="none"/>
        </w:rPr>
        <w:t>tří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z 18 kontrolovaných ostatních nákupů zjistil, že ERÚ v rámci těchto nákupů pořídil mj. ICT prostředky </w:t>
      </w:r>
      <w:r w:rsidR="00AD5CA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vybrané značky vyšší cenové úrovně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(</w:t>
      </w:r>
      <w:r w:rsidR="00196A4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mobilní </w:t>
      </w:r>
      <w:r w:rsidR="00AD5CA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telefony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AD5CA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tablety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klávesnice k </w:t>
      </w:r>
      <w:r w:rsidR="00AD5CA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tabletům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, chytré hodinky) v celkové ceně 260 730,80 Kč</w:t>
      </w:r>
      <w:r w:rsidR="00196A4B" w:rsidRPr="00A84997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7"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bez řádného odůvodnění potřeby nákupu výrobků</w:t>
      </w:r>
      <w:r w:rsidR="0010024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této </w:t>
      </w:r>
      <w:r w:rsidR="00AD5CA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konkrétní </w:t>
      </w:r>
      <w:r w:rsidR="0010024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značky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</w:t>
      </w:r>
      <w:r w:rsidR="008F1C5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Nákupy zdůvodnil ERÚ obecně obměnou koncových zařízení uživatelů a</w:t>
      </w:r>
      <w:r w:rsidR="00070E5A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8F1C5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prací z domova.</w:t>
      </w:r>
    </w:p>
    <w:p w14:paraId="691B4599" w14:textId="370D7D03" w:rsidR="005A0D0E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ptos" w:hAnsi="Calibri" w:cs="Calibri"/>
          <w:sz w:val="24"/>
          <w:szCs w:val="24"/>
        </w:rPr>
        <w:t>4.18</w:t>
      </w:r>
      <w:r>
        <w:rPr>
          <w:rFonts w:ascii="Calibri" w:eastAsia="Aptos" w:hAnsi="Calibri" w:cs="Calibri"/>
          <w:sz w:val="24"/>
          <w:szCs w:val="24"/>
        </w:rPr>
        <w:tab/>
      </w:r>
      <w:r w:rsidR="005A0D0E" w:rsidRPr="00F46977">
        <w:rPr>
          <w:rFonts w:ascii="Calibri" w:eastAsia="Aptos" w:hAnsi="Calibri" w:cs="Calibri"/>
          <w:sz w:val="24"/>
          <w:szCs w:val="24"/>
        </w:rPr>
        <w:t xml:space="preserve">NKÚ </w:t>
      </w:r>
      <w:r w:rsidR="008F1C5D" w:rsidRPr="00F46977">
        <w:rPr>
          <w:rFonts w:ascii="Calibri" w:eastAsia="Aptos" w:hAnsi="Calibri" w:cs="Calibri"/>
          <w:sz w:val="24"/>
          <w:szCs w:val="24"/>
        </w:rPr>
        <w:t>zjišťoval, pro koho byl výše uvedený majetek určen</w:t>
      </w:r>
      <w:r w:rsidR="000B2391">
        <w:rPr>
          <w:rFonts w:ascii="Calibri" w:eastAsia="Aptos" w:hAnsi="Calibri" w:cs="Calibri"/>
          <w:sz w:val="24"/>
          <w:szCs w:val="24"/>
        </w:rPr>
        <w:t>,</w:t>
      </w:r>
      <w:r w:rsidR="008F1C5D" w:rsidRPr="00F46977">
        <w:rPr>
          <w:rFonts w:ascii="Calibri" w:eastAsia="Aptos" w:hAnsi="Calibri" w:cs="Calibri"/>
          <w:sz w:val="24"/>
          <w:szCs w:val="24"/>
        </w:rPr>
        <w:t xml:space="preserve"> k jakému účelu při plnění stanovených úkolů ERÚ sloužil a </w:t>
      </w:r>
      <w:r w:rsidR="008F1C5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 jakého důvodu byly poptávány výrobky </w:t>
      </w:r>
      <w:r w:rsidR="00AD5CA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vybrané značky </w:t>
      </w:r>
      <w:r w:rsidR="008F1C5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 nebyly pořizovány ekonomicky výhodnější alternativy tohoto majetku od jiných výrobců. NKÚ </w:t>
      </w:r>
      <w:r w:rsidR="005A0D0E" w:rsidRPr="00F46977">
        <w:rPr>
          <w:rFonts w:ascii="Calibri" w:eastAsia="Aptos" w:hAnsi="Calibri" w:cs="Calibri"/>
          <w:sz w:val="24"/>
          <w:szCs w:val="24"/>
        </w:rPr>
        <w:t xml:space="preserve">zjistil, že </w:t>
      </w:r>
      <w:r w:rsidR="000351B8" w:rsidRPr="00F46977">
        <w:rPr>
          <w:rFonts w:ascii="Calibri" w:eastAsia="Aptos" w:hAnsi="Calibri" w:cs="Calibri"/>
          <w:sz w:val="24"/>
          <w:szCs w:val="24"/>
        </w:rPr>
        <w:t xml:space="preserve">ERÚ pořídil tyto </w:t>
      </w:r>
      <w:r w:rsidR="005A0D0E" w:rsidRPr="00F46977">
        <w:rPr>
          <w:rFonts w:ascii="Calibri" w:eastAsia="Aptos" w:hAnsi="Calibri" w:cs="Calibri"/>
          <w:sz w:val="24"/>
          <w:szCs w:val="24"/>
        </w:rPr>
        <w:t xml:space="preserve">ICT prostředky </w:t>
      </w:r>
      <w:r w:rsidR="000351B8" w:rsidRPr="00F46977">
        <w:rPr>
          <w:rFonts w:ascii="Calibri" w:eastAsia="Aptos" w:hAnsi="Calibri" w:cs="Calibri"/>
          <w:sz w:val="24"/>
          <w:szCs w:val="24"/>
        </w:rPr>
        <w:t>vybrané značky</w:t>
      </w:r>
      <w:r w:rsidR="005A0D0E" w:rsidRPr="00F46977">
        <w:rPr>
          <w:rFonts w:ascii="Calibri" w:eastAsia="Aptos" w:hAnsi="Calibri" w:cs="Calibri"/>
          <w:sz w:val="24"/>
          <w:szCs w:val="24"/>
        </w:rPr>
        <w:t xml:space="preserve"> vedení úřadu</w:t>
      </w:r>
      <w:r w:rsidR="008F1C5D" w:rsidRPr="00F46977">
        <w:rPr>
          <w:rFonts w:ascii="Calibri" w:eastAsia="Aptos" w:hAnsi="Calibri" w:cs="Calibri"/>
          <w:sz w:val="24"/>
          <w:szCs w:val="24"/>
        </w:rPr>
        <w:t xml:space="preserve"> (členům Rady ERÚ)</w:t>
      </w:r>
      <w:r w:rsidR="005A0D0E" w:rsidRPr="00F46977">
        <w:rPr>
          <w:rFonts w:ascii="Calibri" w:eastAsia="Aptos" w:hAnsi="Calibri" w:cs="Calibri"/>
          <w:sz w:val="24"/>
          <w:szCs w:val="24"/>
        </w:rPr>
        <w:t xml:space="preserve"> a vybraným zaměstnancům, přičemž jejich nákup ERÚ dodatečně odůvodnil </w:t>
      </w:r>
      <w:r w:rsidR="003530D6" w:rsidRPr="00F46977">
        <w:rPr>
          <w:rFonts w:ascii="Calibri" w:eastAsia="Aptos" w:hAnsi="Calibri" w:cs="Calibri"/>
          <w:sz w:val="24"/>
          <w:szCs w:val="24"/>
        </w:rPr>
        <w:t xml:space="preserve">požadavky na </w:t>
      </w:r>
      <w:r w:rsidR="005A0D0E" w:rsidRPr="00F46977">
        <w:rPr>
          <w:rFonts w:ascii="Calibri" w:eastAsia="Aptos" w:hAnsi="Calibri" w:cs="Calibri"/>
          <w:sz w:val="24"/>
          <w:szCs w:val="24"/>
        </w:rPr>
        <w:t>kybernetickou bezpečnost.</w:t>
      </w:r>
    </w:p>
    <w:p w14:paraId="5649FA70" w14:textId="1B81A0BA" w:rsidR="005A0D0E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4.19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NKÚ zjistil, že ERÚ měl od 1. 8. 2021 interně upravenu standardizaci vybavení pracoviště (vč. prostředků ICT) pouze pro zaměstnance podřízené ředitelce </w:t>
      </w:r>
      <w:r w:rsidR="000B2391">
        <w:rPr>
          <w:rFonts w:ascii="Calibri" w:eastAsia="Calibri" w:hAnsi="Calibri" w:cs="Calibri"/>
          <w:kern w:val="0"/>
          <w:sz w:val="24"/>
          <w:szCs w:val="24"/>
          <w14:ligatures w14:val="none"/>
        </w:rPr>
        <w:t>o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dboru správy úřadu, přičemž byl stanoven pouze základní standard vybavení prostředky ICT (bez bližší specifikace technických či finančních parametrů) s tím, že další vybavení může být přiděleno na základě schváleného interního sdělení. Standardizaci vybavení pro členy Rady neměl ERÚ interně upravenu vůbec a prostředky ICT byly členům Rady přidělovány na základě jejich požadavků. Předložené požadavky členů Rady přitom neobsahovaly žádné zdůvodnění potřeby požadovaného konkrétního ICT zařízení </w:t>
      </w:r>
      <w:r w:rsidR="000351B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vybrané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značky</w:t>
      </w:r>
      <w:r w:rsidR="000351B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6F197E31" w14:textId="2CB80BAF" w:rsidR="005A0D0E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4.20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NKÚ dále zjistil, že ERÚ měl oblast týkající se zabezpečení informací v souladu s požadavky </w:t>
      </w:r>
      <w:bookmarkStart w:id="12" w:name="_Hlk195529401"/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zákona č. 181/2014 Sb.</w:t>
      </w:r>
      <w:r w:rsidR="00592089" w:rsidRPr="00A40747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8"/>
      </w:r>
      <w:bookmarkEnd w:id="12"/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interně upravenu </w:t>
      </w:r>
      <w:r w:rsidR="000B2391">
        <w:rPr>
          <w:rFonts w:ascii="Calibri" w:eastAsia="Calibri" w:hAnsi="Calibri" w:cs="Calibri"/>
          <w:kern w:val="0"/>
          <w:sz w:val="24"/>
          <w:szCs w:val="24"/>
          <w14:ligatures w14:val="none"/>
        </w:rPr>
        <w:t>s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měrnicí k systému řízení bezpečnosti informací ERÚ, která byla závazná pro všechny zaměstnance ERÚ</w:t>
      </w:r>
      <w:r w:rsidR="008F1C5D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Směrnice upravovala oblast zajištění bezpečnosti informací v rámci ERÚ</w:t>
      </w:r>
      <w:r w:rsidR="005A0D0E" w:rsidRPr="00F46977">
        <w:rPr>
          <w:rFonts w:ascii="Calibri" w:hAnsi="Calibri" w:cs="Calibri"/>
          <w:sz w:val="24"/>
          <w:szCs w:val="24"/>
        </w:rPr>
        <w:t xml:space="preserve"> pro všechny zaměstnance, resp. uživatele ICT zařízení shodně, resp.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systémově jako celek. Bezpečnost informací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v</w:t>
      </w:r>
      <w:r w:rsidR="00900E6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rámci ERÚ by tak měla být zajištěna napříč celým úřadem pro všechny zaměstnance, resp. uživatele ICT zařízen</w:t>
      </w:r>
      <w:r w:rsidR="000B2391">
        <w:rPr>
          <w:rFonts w:ascii="Calibri" w:eastAsia="Calibri" w:hAnsi="Calibri" w:cs="Calibri"/>
          <w:kern w:val="0"/>
          <w:sz w:val="24"/>
          <w:szCs w:val="24"/>
          <w14:ligatures w14:val="none"/>
        </w:rPr>
        <w:t>í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, kteří pracují s citlivými daty a</w:t>
      </w:r>
      <w:r w:rsidR="00E66E42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chráněnými informacemi, o</w:t>
      </w:r>
      <w:r w:rsidR="00900E6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nichž mají ze zákona povinnost zachovávat mlčenlivost, a</w:t>
      </w:r>
      <w:r w:rsidR="003530D6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to bez ohledu na jejich funkci a na použité ICT zařízení.</w:t>
      </w:r>
    </w:p>
    <w:p w14:paraId="010D11D8" w14:textId="2BA50FDE" w:rsidR="005A0D0E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4.21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dále z přehledů majetku pořízeného v letech 2019</w:t>
      </w:r>
      <w:r w:rsidR="000B2391">
        <w:rPr>
          <w:rFonts w:ascii="Calibri" w:eastAsia="Calibri" w:hAnsi="Calibri" w:cs="Calibri"/>
          <w:kern w:val="0"/>
          <w:sz w:val="24"/>
          <w:szCs w:val="24"/>
          <w14:ligatures w14:val="none"/>
        </w:rPr>
        <w:t>–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2022 zjistil, že ERÚ pořizoval pro zaměstnance k plnění jejich úkolů mobilní telefony, jejichž ceny byly řádově nižší než ceny telefonů </w:t>
      </w:r>
      <w:r w:rsidR="000351B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vybrané značky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, které ERÚ poř</w:t>
      </w:r>
      <w:r w:rsidR="000351B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ídil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 členy Rady ERÚ a pro vybrané zaměstnance, obdobně jako </w:t>
      </w:r>
      <w:r w:rsidR="000351B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tablety</w:t>
      </w:r>
      <w:r w:rsidR="00D2422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chytré hodinky</w:t>
      </w:r>
      <w:r w:rsidR="000351B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této značky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  <w:r w:rsidR="008D557B" w:rsidRPr="00A40747">
        <w:rPr>
          <w:rStyle w:val="Znakapoznpodarou"/>
          <w:rFonts w:ascii="Calibri" w:eastAsia="Calibri" w:hAnsi="Calibri" w:cs="Calibri"/>
          <w:kern w:val="0"/>
          <w:sz w:val="24"/>
          <w:szCs w:val="24"/>
          <w14:ligatures w14:val="none"/>
        </w:rPr>
        <w:footnoteReference w:id="29"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6D724443" w14:textId="466E7CAC" w:rsidR="005A0D0E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4.22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ERÚ </w:t>
      </w:r>
      <w:r w:rsidR="003530D6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zdůvodnil potřebu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nákupů ICT </w:t>
      </w:r>
      <w:r w:rsidR="00B2697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prostředků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8D557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vybrané značky vyšší cenové úrovně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B26978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až na základě žádosti NKÚ, a to </w:t>
      </w:r>
      <w:r w:rsidR="003530D6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kybernetickou bezpečností,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A0D0E" w:rsidRPr="00F4697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přičemž dle vyhodnocení NKÚ </w:t>
      </w:r>
      <w:r w:rsidR="00B26978" w:rsidRPr="00F4697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(vzhledem k výše uvedenému) </w:t>
      </w:r>
      <w:r w:rsidR="005A0D0E" w:rsidRPr="00F4697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nebyly </w:t>
      </w:r>
      <w:r w:rsidR="00B26978" w:rsidRPr="00F4697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uvedené </w:t>
      </w:r>
      <w:r w:rsidR="005A0D0E" w:rsidRPr="00F4697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důvody ERÚ k nákupům ICT prostředků </w:t>
      </w:r>
      <w:r w:rsidR="008D557B" w:rsidRPr="00F46977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konkrétní značky</w:t>
      </w:r>
      <w:r w:rsidR="005A0D0E" w:rsidRPr="00F46977">
        <w:rPr>
          <w:rFonts w:ascii="Calibri" w:eastAsia="Aptos" w:hAnsi="Calibri" w:cs="Calibri"/>
          <w:sz w:val="24"/>
          <w:szCs w:val="24"/>
          <w:lang w:bidi="cs-CZ"/>
        </w:rPr>
        <w:t xml:space="preserve"> k</w:t>
      </w:r>
      <w:r w:rsidR="008D557B" w:rsidRPr="00F46977">
        <w:rPr>
          <w:rFonts w:ascii="Calibri" w:eastAsia="Aptos" w:hAnsi="Calibri" w:cs="Calibri"/>
          <w:sz w:val="24"/>
          <w:szCs w:val="24"/>
          <w:lang w:bidi="cs-CZ"/>
        </w:rPr>
        <w:t xml:space="preserve"> </w:t>
      </w:r>
      <w:r w:rsidR="005A0D0E" w:rsidRPr="00F46977">
        <w:rPr>
          <w:rFonts w:ascii="Calibri" w:eastAsia="Aptos" w:hAnsi="Calibri" w:cs="Calibri"/>
          <w:sz w:val="24"/>
          <w:szCs w:val="24"/>
          <w:lang w:bidi="cs-CZ"/>
        </w:rPr>
        <w:t xml:space="preserve">plnění stanovených úkolů ERÚ (resp. členů Rady ERÚ a vybraných zaměstnanců) relevantní. </w:t>
      </w:r>
    </w:p>
    <w:p w14:paraId="53B1B267" w14:textId="56AE67A8" w:rsidR="005A0D0E" w:rsidRPr="00F46977" w:rsidRDefault="00F46977" w:rsidP="00F46977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4.23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NKÚ vyhodnotil, že ERÚ nakupoval výše uvedené ICT výrobky </w:t>
      </w:r>
      <w:r w:rsidR="008D557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vybrané značky vyšší cenové úrovně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bez uvedení řádného odůvodnění jejich nákupu před realizací veřejné zakázky (resp. před vznikem závazku), které by dokládalo potřebnost (účelnost) nákupu těchto konkrétních zařízení a posouzení hospodárnosti nákupu s ohledem na možné alternativy, ve smyslu stanovení parametrů, resp. požadavků na pořizovaná ICT zařízení nezbytných pro zajištění plnění stanovených úkolů ERÚ (bez ohledu na značku) a</w:t>
      </w:r>
      <w:r w:rsidR="008D557B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následné porovnání nabízených možností.</w:t>
      </w:r>
    </w:p>
    <w:p w14:paraId="068087DF" w14:textId="3F00511A" w:rsidR="003335A7" w:rsidRPr="00F46977" w:rsidRDefault="00F46977" w:rsidP="00F46977">
      <w:pPr>
        <w:autoSpaceDE w:val="0"/>
        <w:autoSpaceDN w:val="0"/>
        <w:adjustRightInd w:val="0"/>
        <w:spacing w:before="120" w:after="24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4.24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základě výše uvedených skutečností NKÚ </w:t>
      </w:r>
      <w:r w:rsidR="006A447C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zjistil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že ERÚ v posuzovaných případech nakoupil pro členy Rady ERÚ a vybrané zaměstnance ICT výrobky </w:t>
      </w:r>
      <w:r w:rsidR="00DB2936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vybrané značky vyšší cenové úrovně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bez řádného odůvodnění. </w:t>
      </w:r>
      <w:r w:rsidR="00DB2936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 případě chytrých hodinek byl jejich nákup dle vyhodnocení NKÚ zcela nepotřebný a tedy neúčelný. 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Tento stav byl zapříčiněn nedostatečnou, resp. v případě členů Rady ERÚ zcela chybějící, interní úpravou standardizace vybavení zaměstnanců ICT majetkem a neprovedením předběžné říd</w:t>
      </w:r>
      <w:r w:rsidR="00B27591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="005A0D0E" w:rsidRPr="00F46977">
        <w:rPr>
          <w:rFonts w:ascii="Calibri" w:eastAsia="Calibri" w:hAnsi="Calibri" w:cs="Calibri"/>
          <w:kern w:val="0"/>
          <w:sz w:val="24"/>
          <w:szCs w:val="24"/>
          <w14:ligatures w14:val="none"/>
        </w:rPr>
        <w:t>cí kontroly před vznikem závazku řádným způsobem, když ERÚ ve výše uvedených případech odpovídajícím způsobem neposoudil hospodárnost a účelnost připravované operace.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DE4" w:rsidRPr="00664DE4" w14:paraId="47C4DDBC" w14:textId="77777777" w:rsidTr="00664DE4">
        <w:trPr>
          <w:trHeight w:val="3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5A45" w14:textId="137DAF77" w:rsidR="00CF1CA7" w:rsidRPr="00664DE4" w:rsidRDefault="00CF1CA7" w:rsidP="00F46977">
            <w:pPr>
              <w:pStyle w:val="Nadpis2"/>
              <w:numPr>
                <w:ilvl w:val="0"/>
                <w:numId w:val="20"/>
              </w:numPr>
              <w:spacing w:before="0" w:after="0"/>
              <w:ind w:left="454" w:hanging="284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4DE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Pořizování vybraných služeb</w:t>
            </w:r>
          </w:p>
        </w:tc>
      </w:tr>
    </w:tbl>
    <w:p w14:paraId="667B58E0" w14:textId="0A3433A2" w:rsidR="00CF1CA7" w:rsidRPr="00F46977" w:rsidRDefault="00F46977" w:rsidP="00F46977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4.25</w:t>
      </w:r>
      <w:r>
        <w:rPr>
          <w:rFonts w:ascii="Calibri" w:hAnsi="Calibri" w:cs="Calibri"/>
          <w:sz w:val="24"/>
          <w:szCs w:val="24"/>
        </w:rPr>
        <w:tab/>
      </w:r>
      <w:r w:rsidR="00CF1CA7" w:rsidRPr="00F46977">
        <w:rPr>
          <w:rFonts w:ascii="Calibri" w:hAnsi="Calibri" w:cs="Calibri"/>
          <w:sz w:val="24"/>
          <w:szCs w:val="24"/>
        </w:rPr>
        <w:t>NKÚ ověřoval, zda ERÚ vynakládal peněžní prostředky na vybrané služby účelně, hospodárně a v souladu s právními předpisy,</w:t>
      </w:r>
      <w:r w:rsidR="00CF1CA7" w:rsidRPr="00F46977">
        <w:rPr>
          <w:rFonts w:ascii="Calibri" w:hAnsi="Calibri" w:cs="Calibri"/>
        </w:rPr>
        <w:t xml:space="preserve"> </w:t>
      </w:r>
      <w:r w:rsidR="00CF1CA7" w:rsidRPr="00F46977">
        <w:rPr>
          <w:rFonts w:ascii="Calibri" w:hAnsi="Calibri" w:cs="Calibri"/>
          <w:sz w:val="24"/>
          <w:szCs w:val="24"/>
        </w:rPr>
        <w:t>zejména zákonem č. 134/2016 Sb. a zákonem č. 218/2000 Sb. NKÚ rovněž ověřoval, zda ERÚ při pořizování služeb prováděl říd</w:t>
      </w:r>
      <w:r w:rsidR="00B27591">
        <w:rPr>
          <w:rFonts w:ascii="Calibri" w:hAnsi="Calibri" w:cs="Calibri"/>
          <w:sz w:val="24"/>
          <w:szCs w:val="24"/>
        </w:rPr>
        <w:t>i</w:t>
      </w:r>
      <w:r w:rsidR="00CF1CA7" w:rsidRPr="00F46977">
        <w:rPr>
          <w:rFonts w:ascii="Calibri" w:hAnsi="Calibri" w:cs="Calibri"/>
          <w:sz w:val="24"/>
          <w:szCs w:val="24"/>
        </w:rPr>
        <w:t xml:space="preserve">cí kontrolu v souladu se zákonem č. 320/2001 Sb. a jeho prováděcí vyhláškou č. 416/2004 Sb. </w:t>
      </w:r>
    </w:p>
    <w:p w14:paraId="570C2F95" w14:textId="0FAD7185" w:rsidR="000F2B96" w:rsidRPr="00F46977" w:rsidRDefault="00F46977" w:rsidP="00F46977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4.26</w:t>
      </w:r>
      <w:r>
        <w:rPr>
          <w:rFonts w:ascii="Calibri" w:hAnsi="Calibri" w:cs="Calibri"/>
          <w:sz w:val="24"/>
          <w:szCs w:val="24"/>
        </w:rPr>
        <w:tab/>
      </w:r>
      <w:r w:rsidR="00CF1CA7" w:rsidRPr="00F46977">
        <w:rPr>
          <w:rFonts w:ascii="Calibri" w:hAnsi="Calibri" w:cs="Calibri"/>
          <w:sz w:val="24"/>
          <w:szCs w:val="24"/>
        </w:rPr>
        <w:t>NKÚ provedl kontrolu vzorku 11 smluv na služby pořizované ERÚ v souvislosti s výkonem jeho působností</w:t>
      </w:r>
      <w:r w:rsidR="0002056D" w:rsidRPr="00F46977">
        <w:rPr>
          <w:rFonts w:ascii="Calibri" w:hAnsi="Calibri" w:cs="Calibri"/>
          <w:sz w:val="24"/>
          <w:szCs w:val="24"/>
        </w:rPr>
        <w:t xml:space="preserve"> </w:t>
      </w:r>
      <w:r w:rsidR="000F2B96" w:rsidRPr="00F46977">
        <w:rPr>
          <w:rFonts w:ascii="Calibri" w:hAnsi="Calibri" w:cs="Calibri"/>
          <w:sz w:val="24"/>
          <w:szCs w:val="24"/>
        </w:rPr>
        <w:t>v</w:t>
      </w:r>
      <w:r w:rsidR="004511F4" w:rsidRPr="00F46977">
        <w:rPr>
          <w:rFonts w:ascii="Calibri" w:hAnsi="Calibri" w:cs="Calibri"/>
          <w:sz w:val="24"/>
          <w:szCs w:val="24"/>
        </w:rPr>
        <w:t xml:space="preserve"> </w:t>
      </w:r>
      <w:r w:rsidR="000F2B96" w:rsidRPr="00F46977">
        <w:rPr>
          <w:rFonts w:ascii="Calibri" w:hAnsi="Calibri" w:cs="Calibri"/>
          <w:sz w:val="24"/>
          <w:szCs w:val="24"/>
        </w:rPr>
        <w:t xml:space="preserve">celkové hodnotě </w:t>
      </w:r>
      <w:r w:rsidR="00DC3042" w:rsidRPr="00F46977">
        <w:rPr>
          <w:rFonts w:ascii="Calibri" w:hAnsi="Calibri" w:cs="Calibri"/>
          <w:sz w:val="24"/>
          <w:szCs w:val="24"/>
        </w:rPr>
        <w:t xml:space="preserve">plnění ve výši </w:t>
      </w:r>
      <w:r w:rsidR="000F2B96" w:rsidRPr="00F46977">
        <w:rPr>
          <w:rFonts w:ascii="Calibri" w:hAnsi="Calibri" w:cs="Calibri"/>
          <w:sz w:val="24"/>
          <w:szCs w:val="24"/>
        </w:rPr>
        <w:t>8 456 185,43 Kč</w:t>
      </w:r>
      <w:r w:rsidR="004511F4" w:rsidRPr="00F46977">
        <w:rPr>
          <w:rFonts w:ascii="Calibri" w:hAnsi="Calibri" w:cs="Calibri"/>
          <w:sz w:val="24"/>
          <w:szCs w:val="24"/>
        </w:rPr>
        <w:t>, což představ</w:t>
      </w:r>
      <w:r w:rsidR="000E3105" w:rsidRPr="00F46977">
        <w:rPr>
          <w:rFonts w:ascii="Calibri" w:hAnsi="Calibri" w:cs="Calibri"/>
          <w:sz w:val="24"/>
          <w:szCs w:val="24"/>
        </w:rPr>
        <w:t>ovalo</w:t>
      </w:r>
      <w:r w:rsidR="004511F4" w:rsidRPr="00F46977">
        <w:rPr>
          <w:rFonts w:ascii="Calibri" w:hAnsi="Calibri" w:cs="Calibri"/>
          <w:sz w:val="24"/>
          <w:szCs w:val="24"/>
        </w:rPr>
        <w:t xml:space="preserve"> cca</w:t>
      </w:r>
      <w:r w:rsidR="00917904" w:rsidRPr="00F46977">
        <w:rPr>
          <w:rFonts w:ascii="Calibri" w:hAnsi="Calibri" w:cs="Calibri"/>
          <w:sz w:val="24"/>
          <w:szCs w:val="24"/>
        </w:rPr>
        <w:t> </w:t>
      </w:r>
      <w:r w:rsidR="004511F4" w:rsidRPr="00F46977">
        <w:rPr>
          <w:rFonts w:ascii="Calibri" w:hAnsi="Calibri" w:cs="Calibri"/>
          <w:sz w:val="24"/>
          <w:szCs w:val="24"/>
        </w:rPr>
        <w:t>12 % peněžních prostředků vynaložených ERÚ na pořízení služeb na základě smluv s</w:t>
      </w:r>
      <w:r w:rsidR="00DC3042" w:rsidRPr="00F46977">
        <w:rPr>
          <w:rFonts w:ascii="Calibri" w:hAnsi="Calibri" w:cs="Calibri"/>
          <w:sz w:val="24"/>
          <w:szCs w:val="24"/>
        </w:rPr>
        <w:t> </w:t>
      </w:r>
      <w:r w:rsidR="004511F4" w:rsidRPr="00F46977">
        <w:rPr>
          <w:rFonts w:ascii="Calibri" w:hAnsi="Calibri" w:cs="Calibri"/>
          <w:sz w:val="24"/>
          <w:szCs w:val="24"/>
        </w:rPr>
        <w:t>externími subjekty v období 2019</w:t>
      </w:r>
      <w:r w:rsidR="00B27591">
        <w:rPr>
          <w:rFonts w:ascii="Calibri" w:hAnsi="Calibri" w:cs="Calibri"/>
          <w:sz w:val="24"/>
          <w:szCs w:val="24"/>
        </w:rPr>
        <w:t>–</w:t>
      </w:r>
      <w:r w:rsidR="004511F4" w:rsidRPr="00F46977">
        <w:rPr>
          <w:rFonts w:ascii="Calibri" w:hAnsi="Calibri" w:cs="Calibri"/>
          <w:sz w:val="24"/>
          <w:szCs w:val="24"/>
        </w:rPr>
        <w:t xml:space="preserve">2022. Vzorek byl vybrán s ohledem na pokrytí </w:t>
      </w:r>
      <w:r w:rsidR="004511F4" w:rsidRPr="00F46977">
        <w:rPr>
          <w:rFonts w:ascii="Calibri" w:hAnsi="Calibri" w:cs="Calibri"/>
          <w:sz w:val="24"/>
          <w:szCs w:val="24"/>
        </w:rPr>
        <w:lastRenderedPageBreak/>
        <w:t>kontrolovaného období, pokrytí různých oblastí působnosti ERÚ a dále s přihlédnutím k finančnímu objemu smluvního vztahu.</w:t>
      </w:r>
    </w:p>
    <w:p w14:paraId="250D7294" w14:textId="7B2CD4E5" w:rsidR="00CF1CA7" w:rsidRPr="001A313A" w:rsidRDefault="001A313A" w:rsidP="00F46977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4.27</w:t>
      </w:r>
      <w:r>
        <w:rPr>
          <w:rFonts w:ascii="Calibri" w:hAnsi="Calibri" w:cs="Calibri"/>
          <w:sz w:val="24"/>
          <w:szCs w:val="24"/>
        </w:rPr>
        <w:tab/>
      </w:r>
      <w:r w:rsidR="004511F4" w:rsidRPr="001A313A">
        <w:rPr>
          <w:rFonts w:ascii="Calibri" w:hAnsi="Calibri" w:cs="Calibri"/>
          <w:sz w:val="24"/>
          <w:szCs w:val="24"/>
        </w:rPr>
        <w:t xml:space="preserve">Do vzorku byly vybrány právní </w:t>
      </w:r>
      <w:r w:rsidR="00CF1CA7" w:rsidRPr="001A313A">
        <w:rPr>
          <w:rFonts w:ascii="Calibri" w:hAnsi="Calibri" w:cs="Calibri"/>
          <w:sz w:val="24"/>
          <w:szCs w:val="24"/>
        </w:rPr>
        <w:t>služby</w:t>
      </w:r>
      <w:r w:rsidR="004511F4" w:rsidRPr="001A313A">
        <w:rPr>
          <w:rFonts w:ascii="Calibri" w:hAnsi="Calibri" w:cs="Calibri"/>
          <w:sz w:val="24"/>
          <w:szCs w:val="24"/>
        </w:rPr>
        <w:t xml:space="preserve"> v hodnotě 1 285 988,91 Kč</w:t>
      </w:r>
      <w:r w:rsidR="00CF1CA7" w:rsidRPr="001A313A">
        <w:rPr>
          <w:rFonts w:ascii="Calibri" w:hAnsi="Calibri" w:cs="Calibri"/>
          <w:sz w:val="24"/>
          <w:szCs w:val="24"/>
        </w:rPr>
        <w:t>, služby odborné pomoci</w:t>
      </w:r>
      <w:r w:rsidR="004511F4" w:rsidRPr="001A313A">
        <w:rPr>
          <w:rFonts w:ascii="Calibri" w:hAnsi="Calibri" w:cs="Calibri"/>
          <w:sz w:val="24"/>
          <w:szCs w:val="24"/>
        </w:rPr>
        <w:t xml:space="preserve"> v hodnotě 2 302 630 Kč</w:t>
      </w:r>
      <w:r w:rsidR="00CF1CA7" w:rsidRPr="001A313A">
        <w:rPr>
          <w:rFonts w:ascii="Calibri" w:hAnsi="Calibri" w:cs="Calibri"/>
          <w:sz w:val="24"/>
          <w:szCs w:val="24"/>
        </w:rPr>
        <w:t>, služby zajištění rozkladových a zkušebních komisí</w:t>
      </w:r>
      <w:r w:rsidR="00DC3042" w:rsidRPr="001A313A">
        <w:rPr>
          <w:rFonts w:ascii="Calibri" w:hAnsi="Calibri" w:cs="Calibri"/>
          <w:sz w:val="24"/>
          <w:szCs w:val="24"/>
        </w:rPr>
        <w:t xml:space="preserve"> v hodnotě 486 905,67 Kč</w:t>
      </w:r>
      <w:r w:rsidR="00CF1CA7" w:rsidRPr="001A313A">
        <w:rPr>
          <w:rFonts w:ascii="Calibri" w:hAnsi="Calibri" w:cs="Calibri"/>
          <w:sz w:val="24"/>
          <w:szCs w:val="24"/>
        </w:rPr>
        <w:t>, služby projektového řízení</w:t>
      </w:r>
      <w:r w:rsidR="00DC3042" w:rsidRPr="001A313A">
        <w:rPr>
          <w:rFonts w:ascii="Calibri" w:hAnsi="Calibri" w:cs="Calibri"/>
          <w:sz w:val="24"/>
          <w:szCs w:val="24"/>
        </w:rPr>
        <w:t xml:space="preserve"> v hodnotě 907 500 Kč</w:t>
      </w:r>
      <w:r w:rsidR="00CF1CA7" w:rsidRPr="001A313A">
        <w:rPr>
          <w:rFonts w:ascii="Calibri" w:hAnsi="Calibri" w:cs="Calibri"/>
          <w:sz w:val="24"/>
          <w:szCs w:val="24"/>
        </w:rPr>
        <w:t>, služby public relations</w:t>
      </w:r>
      <w:r w:rsidR="00DC3042" w:rsidRPr="001A313A">
        <w:rPr>
          <w:rFonts w:ascii="Calibri" w:hAnsi="Calibri" w:cs="Calibri"/>
          <w:sz w:val="24"/>
          <w:szCs w:val="24"/>
        </w:rPr>
        <w:t xml:space="preserve"> v</w:t>
      </w:r>
      <w:r>
        <w:rPr>
          <w:rFonts w:ascii="Calibri" w:hAnsi="Calibri" w:cs="Calibri"/>
          <w:sz w:val="24"/>
          <w:szCs w:val="24"/>
        </w:rPr>
        <w:t> </w:t>
      </w:r>
      <w:r w:rsidR="00DC3042" w:rsidRPr="001A313A">
        <w:rPr>
          <w:rFonts w:ascii="Calibri" w:hAnsi="Calibri" w:cs="Calibri"/>
          <w:sz w:val="24"/>
          <w:szCs w:val="24"/>
        </w:rPr>
        <w:t xml:space="preserve">hodnotě 2 251 231,24 Kč </w:t>
      </w:r>
      <w:r w:rsidR="00CF1CA7" w:rsidRPr="001A313A">
        <w:rPr>
          <w:rFonts w:ascii="Calibri" w:hAnsi="Calibri" w:cs="Calibri"/>
          <w:sz w:val="24"/>
          <w:szCs w:val="24"/>
        </w:rPr>
        <w:t>a organizačně</w:t>
      </w:r>
      <w:r w:rsidR="00656D6B">
        <w:rPr>
          <w:rFonts w:ascii="Calibri" w:hAnsi="Calibri" w:cs="Calibri"/>
          <w:sz w:val="24"/>
          <w:szCs w:val="24"/>
        </w:rPr>
        <w:t>-</w:t>
      </w:r>
      <w:r w:rsidR="00CF1CA7" w:rsidRPr="001A313A">
        <w:rPr>
          <w:rFonts w:ascii="Calibri" w:hAnsi="Calibri" w:cs="Calibri"/>
          <w:sz w:val="24"/>
          <w:szCs w:val="24"/>
        </w:rPr>
        <w:t>technické služby pro zajištění provozu ERÚ</w:t>
      </w:r>
      <w:r w:rsidR="00DC3042" w:rsidRPr="001A313A">
        <w:rPr>
          <w:rFonts w:ascii="Calibri" w:hAnsi="Calibri" w:cs="Calibri"/>
          <w:sz w:val="24"/>
          <w:szCs w:val="24"/>
        </w:rPr>
        <w:t xml:space="preserve"> v hodnotě 1 221 929,61 Kč</w:t>
      </w:r>
      <w:r w:rsidR="00CF1CA7" w:rsidRPr="001A313A">
        <w:rPr>
          <w:rFonts w:ascii="Calibri" w:hAnsi="Calibri" w:cs="Calibri"/>
          <w:sz w:val="24"/>
          <w:szCs w:val="24"/>
        </w:rPr>
        <w:t>.</w:t>
      </w:r>
    </w:p>
    <w:p w14:paraId="408C3CBE" w14:textId="6DC2DEA2" w:rsidR="00074B9B" w:rsidRPr="001A313A" w:rsidRDefault="001A313A" w:rsidP="001A313A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4.28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ab/>
      </w:r>
      <w:r w:rsidR="00074B9B" w:rsidRPr="001A313A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na výše uvedeném vzorku nákupů služeb ověřil, že ERÚ ve většině kontrolovaných případů postupoval účelně, hospodárně a v souladu s právními předpisy.</w:t>
      </w:r>
    </w:p>
    <w:p w14:paraId="0FF14C25" w14:textId="448CEA05" w:rsidR="00CF1CA7" w:rsidRPr="00683E9E" w:rsidRDefault="00601C8B" w:rsidP="000E2368">
      <w:pPr>
        <w:pStyle w:val="Odstavecseseznamem"/>
        <w:numPr>
          <w:ilvl w:val="0"/>
          <w:numId w:val="9"/>
        </w:numPr>
        <w:spacing w:before="240" w:after="24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NKÚ zjistil, že </w:t>
      </w:r>
      <w:r w:rsidR="00CF1CA7" w:rsidRPr="00683E9E">
        <w:rPr>
          <w:rFonts w:ascii="Calibri" w:hAnsi="Calibri" w:cs="Calibri"/>
          <w:b/>
          <w:bCs/>
          <w:sz w:val="24"/>
          <w:szCs w:val="24"/>
        </w:rPr>
        <w:t xml:space="preserve">ERÚ neprovedl relevantní průzkum trhu pro stanovení předpokládané hodnoty </w:t>
      </w:r>
      <w:r w:rsidR="00DC3042" w:rsidRPr="00683E9E">
        <w:rPr>
          <w:rFonts w:ascii="Calibri" w:hAnsi="Calibri" w:cs="Calibri"/>
          <w:b/>
          <w:bCs/>
          <w:sz w:val="24"/>
          <w:szCs w:val="24"/>
        </w:rPr>
        <w:t>veřejné zakázky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6C7A107E" w14:textId="01F04776" w:rsidR="0002056D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4.29</w:t>
      </w:r>
      <w:r>
        <w:rPr>
          <w:rFonts w:ascii="Calibri" w:hAnsi="Calibri" w:cs="Calibri"/>
          <w:sz w:val="24"/>
          <w:szCs w:val="24"/>
        </w:rPr>
        <w:tab/>
      </w:r>
      <w:r w:rsidR="00D83533" w:rsidRPr="001A313A">
        <w:rPr>
          <w:rFonts w:ascii="Calibri" w:hAnsi="Calibri" w:cs="Calibri"/>
          <w:sz w:val="24"/>
          <w:szCs w:val="24"/>
        </w:rPr>
        <w:t xml:space="preserve">NKÚ zjistil, že ERÚ v případě smlouvy na poskytování služeb public relations v hodnotě 2 251 231,24 Kč </w:t>
      </w:r>
      <w:r w:rsidR="0002056D" w:rsidRPr="001A313A">
        <w:rPr>
          <w:rFonts w:ascii="Calibri" w:hAnsi="Calibri" w:cs="Calibri"/>
          <w:bCs/>
          <w:iCs/>
          <w:sz w:val="24"/>
          <w:szCs w:val="24"/>
        </w:rPr>
        <w:t>neprovedl ověření ceny obvyklé v místě a čase před vznikem závazku, např. průzkumem trhu.</w:t>
      </w:r>
      <w:r w:rsidR="0002056D" w:rsidRPr="001A313A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NKÚ vyhodnotil, že ERÚ v posuzovaném případě neprovedl řádným způsobem předběžnou říd</w:t>
      </w:r>
      <w:r w:rsidR="00656D6B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i</w:t>
      </w:r>
      <w:r w:rsidR="0002056D" w:rsidRPr="001A313A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cí kontrolu připravované operace, když odpovídajícím způsobem neprověřil výši hodinové sazby jako cenu v</w:t>
      </w:r>
      <w:r w:rsidR="00DE4F4A" w:rsidRPr="001A313A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 xml:space="preserve"> </w:t>
      </w:r>
      <w:r w:rsidR="0002056D" w:rsidRPr="001A313A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místě a čase obvyklou, např. provedením průzkumu trhu.</w:t>
      </w:r>
    </w:p>
    <w:p w14:paraId="3C59E63F" w14:textId="5967E28F" w:rsidR="00CF1CA7" w:rsidRPr="000B0A2D" w:rsidRDefault="00AF1DF4" w:rsidP="000E2368">
      <w:pPr>
        <w:pStyle w:val="Odstavecseseznamem"/>
        <w:numPr>
          <w:ilvl w:val="0"/>
          <w:numId w:val="9"/>
        </w:numPr>
        <w:spacing w:before="240" w:after="240" w:line="240" w:lineRule="auto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0B0A2D">
        <w:rPr>
          <w:rFonts w:ascii="Calibri" w:hAnsi="Calibri" w:cs="Calibri"/>
          <w:b/>
          <w:bCs/>
          <w:sz w:val="24"/>
          <w:szCs w:val="24"/>
        </w:rPr>
        <w:t xml:space="preserve">NKÚ zjistil, že </w:t>
      </w:r>
      <w:r w:rsidR="00CF1CA7" w:rsidRPr="000B0A2D">
        <w:rPr>
          <w:rFonts w:ascii="Calibri" w:hAnsi="Calibri" w:cs="Calibri"/>
          <w:b/>
          <w:bCs/>
          <w:sz w:val="24"/>
          <w:szCs w:val="24"/>
        </w:rPr>
        <w:t>ERÚ vynakládal peněžní prostředky za plnění, která podle interních předpisů měl zajišťovat vlastními zaměstnanci</w:t>
      </w:r>
      <w:r w:rsidR="008C5BB4" w:rsidRPr="000B0A2D">
        <w:rPr>
          <w:rFonts w:ascii="Calibri" w:hAnsi="Calibri" w:cs="Calibri"/>
          <w:b/>
          <w:bCs/>
          <w:sz w:val="24"/>
          <w:szCs w:val="24"/>
        </w:rPr>
        <w:t xml:space="preserve">, což zdůvodnil </w:t>
      </w:r>
      <w:r w:rsidR="000B0A2D" w:rsidRPr="000B0A2D">
        <w:rPr>
          <w:rFonts w:ascii="Calibri" w:hAnsi="Calibri" w:cs="Calibri"/>
          <w:b/>
          <w:bCs/>
          <w:sz w:val="24"/>
          <w:szCs w:val="24"/>
        </w:rPr>
        <w:t xml:space="preserve">povinností </w:t>
      </w:r>
      <w:r w:rsidR="008C5BB4" w:rsidRPr="000B0A2D">
        <w:rPr>
          <w:rFonts w:ascii="Calibri" w:hAnsi="Calibri" w:cs="Calibri"/>
          <w:b/>
          <w:bCs/>
          <w:sz w:val="24"/>
          <w:szCs w:val="24"/>
        </w:rPr>
        <w:t>zajištění</w:t>
      </w:r>
      <w:r w:rsidR="000B0A2D" w:rsidRPr="000B0A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C5BB4" w:rsidRPr="000B0A2D">
        <w:rPr>
          <w:rFonts w:ascii="Calibri" w:hAnsi="Calibri" w:cs="Calibri"/>
          <w:b/>
          <w:bCs/>
          <w:sz w:val="24"/>
          <w:szCs w:val="24"/>
        </w:rPr>
        <w:t>agendy vyplývající z energetického zákona.</w:t>
      </w:r>
    </w:p>
    <w:p w14:paraId="0D857E3A" w14:textId="5AC81A62" w:rsidR="00F258E8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4.30</w:t>
      </w:r>
      <w:r>
        <w:rPr>
          <w:rFonts w:ascii="Calibri" w:hAnsi="Calibri" w:cs="Calibri"/>
          <w:sz w:val="24"/>
          <w:szCs w:val="24"/>
        </w:rPr>
        <w:tab/>
      </w:r>
      <w:r w:rsidR="004B2853" w:rsidRPr="001A313A">
        <w:rPr>
          <w:rFonts w:ascii="Calibri" w:hAnsi="Calibri" w:cs="Calibri"/>
          <w:sz w:val="24"/>
          <w:szCs w:val="24"/>
        </w:rPr>
        <w:t xml:space="preserve">NKÚ zjistil, že ERÚ uzavřel v prosinci 2021 smlouvu s dodavatelem na poskytování mediálního poradenství a služeb public relations (dále také „PR“). Smlouva byla uzavřena na období </w:t>
      </w:r>
      <w:r w:rsidR="00656D6B">
        <w:rPr>
          <w:rFonts w:ascii="Calibri" w:hAnsi="Calibri" w:cs="Calibri"/>
          <w:sz w:val="24"/>
          <w:szCs w:val="24"/>
        </w:rPr>
        <w:t>tří</w:t>
      </w:r>
      <w:r w:rsidR="004B2853" w:rsidRPr="001A313A">
        <w:rPr>
          <w:rFonts w:ascii="Calibri" w:hAnsi="Calibri" w:cs="Calibri"/>
          <w:sz w:val="24"/>
          <w:szCs w:val="24"/>
        </w:rPr>
        <w:t xml:space="preserve"> měsíců, cena za poskytované služby měla dosáhnout výše 2</w:t>
      </w:r>
      <w:r w:rsidR="00AC5E38" w:rsidRPr="001A313A">
        <w:rPr>
          <w:rFonts w:ascii="Calibri" w:hAnsi="Calibri" w:cs="Calibri"/>
          <w:sz w:val="24"/>
          <w:szCs w:val="24"/>
        </w:rPr>
        <w:t>90</w:t>
      </w:r>
      <w:r w:rsidR="004B2853" w:rsidRPr="001A313A">
        <w:rPr>
          <w:rFonts w:ascii="Calibri" w:hAnsi="Calibri" w:cs="Calibri"/>
          <w:sz w:val="24"/>
          <w:szCs w:val="24"/>
        </w:rPr>
        <w:t> </w:t>
      </w:r>
      <w:r w:rsidR="00AC5E38" w:rsidRPr="001A313A">
        <w:rPr>
          <w:rFonts w:ascii="Calibri" w:hAnsi="Calibri" w:cs="Calibri"/>
          <w:sz w:val="24"/>
          <w:szCs w:val="24"/>
        </w:rPr>
        <w:t>4</w:t>
      </w:r>
      <w:r w:rsidR="004B2853" w:rsidRPr="001A313A">
        <w:rPr>
          <w:rFonts w:ascii="Calibri" w:hAnsi="Calibri" w:cs="Calibri"/>
          <w:sz w:val="24"/>
          <w:szCs w:val="24"/>
        </w:rPr>
        <w:t>00 Kč</w:t>
      </w:r>
      <w:r w:rsidR="00AC5E38" w:rsidRPr="001A313A">
        <w:rPr>
          <w:rFonts w:ascii="Calibri" w:hAnsi="Calibri" w:cs="Calibri"/>
          <w:sz w:val="24"/>
          <w:szCs w:val="24"/>
        </w:rPr>
        <w:t xml:space="preserve">. </w:t>
      </w:r>
      <w:r w:rsidR="004B2853" w:rsidRPr="001A313A">
        <w:rPr>
          <w:rFonts w:ascii="Calibri" w:hAnsi="Calibri" w:cs="Calibri"/>
          <w:iCs/>
          <w:sz w:val="24"/>
          <w:szCs w:val="24"/>
        </w:rPr>
        <w:t xml:space="preserve">ERÚ prodloužil smluvní vztah s tímto dodavatelem uzavřením </w:t>
      </w:r>
      <w:r w:rsidR="00656D6B">
        <w:rPr>
          <w:rFonts w:ascii="Calibri" w:hAnsi="Calibri" w:cs="Calibri"/>
          <w:iCs/>
          <w:sz w:val="24"/>
          <w:szCs w:val="24"/>
        </w:rPr>
        <w:t>tří</w:t>
      </w:r>
      <w:r w:rsidR="004B2853" w:rsidRPr="001A313A">
        <w:rPr>
          <w:rFonts w:ascii="Calibri" w:hAnsi="Calibri" w:cs="Calibri"/>
          <w:iCs/>
          <w:sz w:val="24"/>
          <w:szCs w:val="24"/>
        </w:rPr>
        <w:t xml:space="preserve"> dodatků, a to na období 16</w:t>
      </w:r>
      <w:r w:rsidR="00917904" w:rsidRPr="001A313A">
        <w:rPr>
          <w:rFonts w:ascii="Calibri" w:hAnsi="Calibri" w:cs="Calibri"/>
          <w:iCs/>
          <w:sz w:val="24"/>
          <w:szCs w:val="24"/>
        </w:rPr>
        <w:t> </w:t>
      </w:r>
      <w:r w:rsidR="004B2853" w:rsidRPr="001A313A">
        <w:rPr>
          <w:rFonts w:ascii="Calibri" w:hAnsi="Calibri" w:cs="Calibri"/>
          <w:iCs/>
          <w:sz w:val="24"/>
          <w:szCs w:val="24"/>
        </w:rPr>
        <w:t xml:space="preserve">měsíců a zároveň umožnil poskytování služeb ve větším rozsahu. Celkové </w:t>
      </w:r>
      <w:r w:rsidR="00DE4F4A" w:rsidRPr="001A313A">
        <w:rPr>
          <w:rFonts w:ascii="Calibri" w:hAnsi="Calibri" w:cs="Calibri"/>
          <w:iCs/>
          <w:sz w:val="24"/>
          <w:szCs w:val="24"/>
        </w:rPr>
        <w:t>výdaje</w:t>
      </w:r>
      <w:r w:rsidR="004B2853" w:rsidRPr="001A313A">
        <w:rPr>
          <w:rFonts w:ascii="Calibri" w:hAnsi="Calibri" w:cs="Calibri"/>
          <w:iCs/>
          <w:sz w:val="24"/>
          <w:szCs w:val="24"/>
        </w:rPr>
        <w:t xml:space="preserve"> na poskytování </w:t>
      </w:r>
      <w:r w:rsidR="004B2853" w:rsidRPr="001A313A">
        <w:rPr>
          <w:rFonts w:ascii="Calibri" w:hAnsi="Calibri" w:cs="Calibri"/>
          <w:sz w:val="24"/>
          <w:szCs w:val="24"/>
        </w:rPr>
        <w:t>mediálního poradenství a PR služeb dosáhly výše 2 251 231,24 Kč</w:t>
      </w:r>
      <w:r w:rsidR="004C423F" w:rsidRPr="001A313A">
        <w:rPr>
          <w:rFonts w:ascii="Calibri" w:hAnsi="Calibri" w:cs="Calibri"/>
          <w:sz w:val="24"/>
          <w:szCs w:val="24"/>
        </w:rPr>
        <w:t>.</w:t>
      </w:r>
      <w:r w:rsidR="004D2055" w:rsidRPr="001A313A">
        <w:rPr>
          <w:rFonts w:ascii="Calibri" w:hAnsi="Calibri" w:cs="Calibri"/>
          <w:sz w:val="24"/>
          <w:szCs w:val="24"/>
        </w:rPr>
        <w:t xml:space="preserve"> </w:t>
      </w:r>
      <w:r w:rsidR="004B2853" w:rsidRPr="001A313A">
        <w:rPr>
          <w:rFonts w:ascii="Calibri" w:hAnsi="Calibri" w:cs="Calibri"/>
          <w:sz w:val="24"/>
          <w:szCs w:val="24"/>
        </w:rPr>
        <w:t xml:space="preserve">NKÚ zjistil, že ERÚ disponoval v období 12/2021 až 3/2023, tj. v období trvání smluvního vztahu na poskytování mediálního poradenství a PR služeb, vlastními pracovníky zařazenými na pozici </w:t>
      </w:r>
      <w:r w:rsidR="004B2853" w:rsidRPr="001A313A">
        <w:rPr>
          <w:rFonts w:ascii="Calibri" w:hAnsi="Calibri" w:cs="Calibri"/>
          <w:bCs/>
          <w:iCs/>
          <w:sz w:val="24"/>
          <w:szCs w:val="24"/>
        </w:rPr>
        <w:t xml:space="preserve">specialistů na komunikaci s veřejností. </w:t>
      </w:r>
      <w:r w:rsidR="00F258E8" w:rsidRPr="001A313A">
        <w:rPr>
          <w:rFonts w:ascii="Calibri" w:hAnsi="Calibri" w:cs="Calibri"/>
          <w:sz w:val="24"/>
          <w:szCs w:val="24"/>
        </w:rPr>
        <w:t xml:space="preserve">ERÚ odůvodnil uzavření této smlouvy nutností </w:t>
      </w:r>
      <w:r w:rsidR="00F258E8" w:rsidRPr="001A313A">
        <w:rPr>
          <w:rFonts w:ascii="Calibri" w:hAnsi="Calibri" w:cs="Calibri"/>
          <w:iCs/>
          <w:sz w:val="24"/>
          <w:szCs w:val="24"/>
        </w:rPr>
        <w:t>co nejefektivnější komunikace ERÚ s veřejností</w:t>
      </w:r>
      <w:r w:rsidR="00F258E8" w:rsidRPr="001A313A">
        <w:rPr>
          <w:rFonts w:ascii="Calibri" w:hAnsi="Calibri" w:cs="Calibri"/>
          <w:sz w:val="24"/>
          <w:szCs w:val="24"/>
        </w:rPr>
        <w:t xml:space="preserve"> ve složité situaci na energetickém trhu, vyvolané ukončením činnosti některých dodavatelů energií a </w:t>
      </w:r>
      <w:r w:rsidR="00F258E8" w:rsidRPr="001A313A">
        <w:rPr>
          <w:rFonts w:ascii="Calibri" w:hAnsi="Calibri" w:cs="Calibri"/>
          <w:iCs/>
          <w:sz w:val="24"/>
          <w:szCs w:val="24"/>
        </w:rPr>
        <w:t>energetickou krizí.</w:t>
      </w:r>
    </w:p>
    <w:p w14:paraId="35C3EB9C" w14:textId="78CEBAD0" w:rsidR="004B2853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4.31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4B2853" w:rsidRPr="001A313A">
        <w:rPr>
          <w:rFonts w:ascii="Calibri" w:hAnsi="Calibri" w:cs="Calibri"/>
          <w:bCs/>
          <w:iCs/>
          <w:sz w:val="24"/>
          <w:szCs w:val="24"/>
        </w:rPr>
        <w:t xml:space="preserve">NKÚ dále zjistil, že ERÚ uzavřel v dubnu 2019 smlouvu s dodavatelem na zpracování mezinárodního benchmarkingu koncových cen plynu na období 2019–2021. Smluvní cena za </w:t>
      </w:r>
      <w:r w:rsidR="00656D6B">
        <w:rPr>
          <w:rFonts w:ascii="Calibri" w:hAnsi="Calibri" w:cs="Calibri"/>
          <w:bCs/>
          <w:iCs/>
          <w:sz w:val="24"/>
          <w:szCs w:val="24"/>
        </w:rPr>
        <w:t>tři</w:t>
      </w:r>
      <w:r w:rsidR="004B2853" w:rsidRPr="001A313A">
        <w:rPr>
          <w:rFonts w:ascii="Calibri" w:hAnsi="Calibri" w:cs="Calibri"/>
          <w:bCs/>
          <w:iCs/>
          <w:sz w:val="24"/>
          <w:szCs w:val="24"/>
        </w:rPr>
        <w:t xml:space="preserve"> roky plnění dosáhla výše 344 850 Kč. </w:t>
      </w:r>
      <w:r w:rsidR="00F258E8" w:rsidRPr="001A313A">
        <w:rPr>
          <w:rFonts w:ascii="Calibri" w:hAnsi="Calibri" w:cs="Calibri"/>
          <w:bCs/>
          <w:iCs/>
          <w:sz w:val="24"/>
          <w:szCs w:val="24"/>
        </w:rPr>
        <w:t>NKÚ zjistil, že ERÚ uzavřel v období let 2017–2024 s </w:t>
      </w:r>
      <w:r w:rsidR="005F4ABC" w:rsidRPr="001A313A">
        <w:rPr>
          <w:rFonts w:ascii="Calibri" w:hAnsi="Calibri" w:cs="Calibri"/>
          <w:bCs/>
          <w:iCs/>
          <w:sz w:val="24"/>
          <w:szCs w:val="24"/>
        </w:rPr>
        <w:t>tímto</w:t>
      </w:r>
      <w:r w:rsidR="00F258E8" w:rsidRPr="001A313A">
        <w:rPr>
          <w:rFonts w:ascii="Calibri" w:hAnsi="Calibri" w:cs="Calibri"/>
          <w:bCs/>
          <w:iCs/>
          <w:sz w:val="24"/>
          <w:szCs w:val="24"/>
        </w:rPr>
        <w:t xml:space="preserve"> dodavatelem celkem </w:t>
      </w:r>
      <w:r w:rsidR="00656D6B">
        <w:rPr>
          <w:rFonts w:ascii="Calibri" w:hAnsi="Calibri" w:cs="Calibri"/>
          <w:bCs/>
          <w:iCs/>
          <w:sz w:val="24"/>
          <w:szCs w:val="24"/>
        </w:rPr>
        <w:t>pět</w:t>
      </w:r>
      <w:r w:rsidR="00F258E8" w:rsidRPr="001A313A">
        <w:rPr>
          <w:rFonts w:ascii="Calibri" w:hAnsi="Calibri" w:cs="Calibri"/>
          <w:bCs/>
          <w:iCs/>
          <w:sz w:val="24"/>
          <w:szCs w:val="24"/>
        </w:rPr>
        <w:t xml:space="preserve"> smluv a zadal </w:t>
      </w:r>
      <w:r w:rsidR="00656D6B">
        <w:rPr>
          <w:rFonts w:ascii="Calibri" w:hAnsi="Calibri" w:cs="Calibri"/>
          <w:bCs/>
          <w:iCs/>
          <w:sz w:val="24"/>
          <w:szCs w:val="24"/>
        </w:rPr>
        <w:t xml:space="preserve">jednu </w:t>
      </w:r>
      <w:r w:rsidR="00F258E8" w:rsidRPr="001A313A">
        <w:rPr>
          <w:rFonts w:ascii="Calibri" w:hAnsi="Calibri" w:cs="Calibri"/>
          <w:bCs/>
          <w:iCs/>
          <w:sz w:val="24"/>
          <w:szCs w:val="24"/>
        </w:rPr>
        <w:t>objednávku</w:t>
      </w:r>
      <w:r w:rsidR="005F4ABC" w:rsidRPr="001A313A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="00F258E8" w:rsidRPr="001A313A">
        <w:rPr>
          <w:rFonts w:ascii="Calibri" w:hAnsi="Calibri" w:cs="Calibri"/>
          <w:bCs/>
          <w:iCs/>
          <w:sz w:val="24"/>
          <w:szCs w:val="24"/>
        </w:rPr>
        <w:t xml:space="preserve">na jejichž základě pořizoval služby charakteru odborné pomoci – zpracování mezinárodního benchmarkingu cen energií, porovnání cen a konzultační činnost v oblasti cen energií. Za uvedené období vynaložil ERÚ na pořizované služby celkem 1 222 088 Kč. </w:t>
      </w:r>
    </w:p>
    <w:p w14:paraId="76CBAC1D" w14:textId="45BEA1FF" w:rsidR="00056F45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bCs/>
          <w:iCs/>
          <w:sz w:val="24"/>
          <w:szCs w:val="24"/>
        </w:rPr>
      </w:pPr>
      <w:bookmarkStart w:id="13" w:name="_Hlk192513162"/>
      <w:r>
        <w:rPr>
          <w:rFonts w:ascii="Calibri" w:hAnsi="Calibri" w:cs="Calibri"/>
          <w:bCs/>
          <w:iCs/>
          <w:sz w:val="24"/>
          <w:szCs w:val="24"/>
        </w:rPr>
        <w:t>4.32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>NKÚ zjistil, že ERÚ uzavřel v období let 2018</w:t>
      </w:r>
      <w:r w:rsidR="00CA3E27" w:rsidRPr="001A313A">
        <w:rPr>
          <w:rFonts w:ascii="Calibri" w:hAnsi="Calibri" w:cs="Calibri"/>
          <w:bCs/>
          <w:iCs/>
          <w:sz w:val="24"/>
          <w:szCs w:val="24"/>
        </w:rPr>
        <w:t>–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>2023 s</w:t>
      </w:r>
      <w:r w:rsidR="00AF1DF4" w:rsidRPr="001A313A">
        <w:rPr>
          <w:rFonts w:ascii="Calibri" w:hAnsi="Calibri" w:cs="Calibri"/>
          <w:bCs/>
          <w:iCs/>
          <w:sz w:val="24"/>
          <w:szCs w:val="24"/>
        </w:rPr>
        <w:t> 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>j</w:t>
      </w:r>
      <w:r w:rsidR="00AF1DF4" w:rsidRPr="001A313A">
        <w:rPr>
          <w:rFonts w:ascii="Calibri" w:hAnsi="Calibri" w:cs="Calibri"/>
          <w:bCs/>
          <w:iCs/>
          <w:sz w:val="24"/>
          <w:szCs w:val="24"/>
        </w:rPr>
        <w:t xml:space="preserve">iným 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dodavatelem celkem </w:t>
      </w:r>
      <w:r w:rsidR="00656D6B">
        <w:rPr>
          <w:rFonts w:ascii="Calibri" w:hAnsi="Calibri" w:cs="Calibri"/>
          <w:bCs/>
          <w:iCs/>
          <w:sz w:val="24"/>
          <w:szCs w:val="24"/>
        </w:rPr>
        <w:t>devět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 smluv a zadal </w:t>
      </w:r>
      <w:r w:rsidR="00656D6B">
        <w:rPr>
          <w:rFonts w:ascii="Calibri" w:hAnsi="Calibri" w:cs="Calibri"/>
          <w:bCs/>
          <w:iCs/>
          <w:sz w:val="24"/>
          <w:szCs w:val="24"/>
        </w:rPr>
        <w:t xml:space="preserve">jednu 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objednávku, na jejichž základě pořizoval </w:t>
      </w:r>
      <w:r w:rsidR="008C5BB4" w:rsidRPr="001A313A">
        <w:rPr>
          <w:rFonts w:ascii="Calibri" w:hAnsi="Calibri" w:cs="Calibri"/>
          <w:bCs/>
          <w:iCs/>
          <w:sz w:val="24"/>
          <w:szCs w:val="24"/>
        </w:rPr>
        <w:t xml:space="preserve">různé 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služby charakteru odborné pomoci – činnost projektového managementu, zpracování studie, služby 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lastRenderedPageBreak/>
        <w:t>mentora a</w:t>
      </w:r>
      <w:r w:rsidR="008C5BB4" w:rsidRPr="001A313A">
        <w:rPr>
          <w:rFonts w:ascii="Calibri" w:hAnsi="Calibri" w:cs="Calibri"/>
          <w:bCs/>
          <w:iCs/>
          <w:sz w:val="24"/>
          <w:szCs w:val="24"/>
        </w:rPr>
        <w:t> 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>realizace projektu. Za uvedené období vynaložil ERÚ na pořizované služby celkem 7 405 200 Kč</w:t>
      </w:r>
      <w:r w:rsidR="004C423F" w:rsidRPr="001A313A">
        <w:rPr>
          <w:rFonts w:ascii="Calibri" w:hAnsi="Calibri" w:cs="Calibri"/>
          <w:bCs/>
          <w:iCs/>
          <w:sz w:val="24"/>
          <w:szCs w:val="24"/>
        </w:rPr>
        <w:t>.</w:t>
      </w:r>
    </w:p>
    <w:p w14:paraId="197D67A5" w14:textId="143FA011" w:rsidR="003F04D1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4.33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>ERÚ odůvod</w:t>
      </w:r>
      <w:r w:rsidR="005F4ABC" w:rsidRPr="001A313A">
        <w:rPr>
          <w:rFonts w:ascii="Calibri" w:hAnsi="Calibri" w:cs="Calibri"/>
          <w:bCs/>
          <w:iCs/>
          <w:sz w:val="24"/>
          <w:szCs w:val="24"/>
        </w:rPr>
        <w:t>nil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 využívání externích služeb </w:t>
      </w:r>
      <w:r w:rsidR="003F04D1" w:rsidRPr="001A313A">
        <w:rPr>
          <w:rFonts w:ascii="Calibri" w:hAnsi="Calibri" w:cs="Calibri"/>
          <w:bCs/>
          <w:iCs/>
          <w:sz w:val="24"/>
          <w:szCs w:val="24"/>
        </w:rPr>
        <w:t xml:space="preserve">dlouhodobou 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personální </w:t>
      </w:r>
      <w:proofErr w:type="spellStart"/>
      <w:r w:rsidR="00056F45" w:rsidRPr="001A313A">
        <w:rPr>
          <w:rFonts w:ascii="Calibri" w:hAnsi="Calibri" w:cs="Calibri"/>
          <w:bCs/>
          <w:iCs/>
          <w:sz w:val="24"/>
          <w:szCs w:val="24"/>
        </w:rPr>
        <w:t>poddimenzovaností</w:t>
      </w:r>
      <w:proofErr w:type="spellEnd"/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 některých svých odborných útvarů</w:t>
      </w:r>
      <w:r w:rsidR="00FB6F44" w:rsidRPr="001A313A">
        <w:rPr>
          <w:rFonts w:ascii="Calibri" w:hAnsi="Calibri" w:cs="Calibri"/>
          <w:bCs/>
          <w:iCs/>
          <w:sz w:val="24"/>
          <w:szCs w:val="24"/>
        </w:rPr>
        <w:t xml:space="preserve"> a nutností </w:t>
      </w:r>
      <w:r w:rsidR="00AF1DF4" w:rsidRPr="001A313A">
        <w:rPr>
          <w:rFonts w:ascii="Calibri" w:hAnsi="Calibri" w:cs="Calibri"/>
          <w:bCs/>
          <w:iCs/>
          <w:sz w:val="24"/>
          <w:szCs w:val="24"/>
        </w:rPr>
        <w:t>plnit veškeré agendy vyplývající pro ERÚ z energetického zákona.</w:t>
      </w:r>
      <w:r w:rsidR="00056F45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bookmarkEnd w:id="13"/>
    <w:p w14:paraId="2D5A8D29" w14:textId="54976A7F" w:rsidR="001621AD" w:rsidRPr="00944A45" w:rsidRDefault="001621AD" w:rsidP="000E2368">
      <w:pPr>
        <w:pStyle w:val="Odstavecseseznamem"/>
        <w:numPr>
          <w:ilvl w:val="0"/>
          <w:numId w:val="9"/>
        </w:numPr>
        <w:spacing w:before="240" w:after="240" w:line="240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944A45">
        <w:rPr>
          <w:rFonts w:ascii="Calibri" w:hAnsi="Calibri" w:cs="Calibri"/>
          <w:b/>
          <w:bCs/>
          <w:sz w:val="24"/>
          <w:szCs w:val="24"/>
        </w:rPr>
        <w:t>N</w:t>
      </w:r>
      <w:r w:rsidR="00944A45" w:rsidRPr="00944A45">
        <w:rPr>
          <w:rFonts w:ascii="Calibri" w:hAnsi="Calibri" w:cs="Calibri"/>
          <w:b/>
          <w:bCs/>
          <w:sz w:val="24"/>
          <w:szCs w:val="24"/>
        </w:rPr>
        <w:t xml:space="preserve">KÚ zjistil </w:t>
      </w:r>
      <w:r w:rsidR="00944A45" w:rsidRPr="00944A4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významné rozdíly v provozních </w:t>
      </w:r>
      <w:r w:rsidR="009A02F7" w:rsidRPr="00A8499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výdajích</w:t>
      </w:r>
      <w:r w:rsidR="009A02F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944A45" w:rsidRPr="00944A4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jednotlivých dislokovaných pracovišť ERÚ.</w:t>
      </w:r>
    </w:p>
    <w:p w14:paraId="5CB82C65" w14:textId="4AF78A44" w:rsidR="00976C0F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4.34</w:t>
      </w:r>
      <w:r>
        <w:rPr>
          <w:rFonts w:ascii="Calibri" w:hAnsi="Calibri" w:cs="Calibri"/>
          <w:sz w:val="24"/>
          <w:szCs w:val="24"/>
        </w:rPr>
        <w:tab/>
      </w:r>
      <w:r w:rsidR="00976C0F" w:rsidRPr="001A313A">
        <w:rPr>
          <w:rFonts w:ascii="Calibri" w:hAnsi="Calibri" w:cs="Calibri"/>
          <w:sz w:val="24"/>
          <w:szCs w:val="24"/>
        </w:rPr>
        <w:t>ERÚ využív</w:t>
      </w:r>
      <w:r w:rsidR="003F04D1" w:rsidRPr="001A313A">
        <w:rPr>
          <w:rFonts w:ascii="Calibri" w:hAnsi="Calibri" w:cs="Calibri"/>
          <w:sz w:val="24"/>
          <w:szCs w:val="24"/>
        </w:rPr>
        <w:t>al</w:t>
      </w:r>
      <w:r w:rsidR="009A02F7" w:rsidRPr="001A313A">
        <w:rPr>
          <w:rFonts w:ascii="Calibri" w:hAnsi="Calibri" w:cs="Calibri"/>
          <w:sz w:val="24"/>
          <w:szCs w:val="24"/>
        </w:rPr>
        <w:t xml:space="preserve"> </w:t>
      </w:r>
      <w:r w:rsidR="003F04D1" w:rsidRPr="001A313A">
        <w:rPr>
          <w:rFonts w:ascii="Calibri" w:hAnsi="Calibri" w:cs="Calibri"/>
          <w:sz w:val="24"/>
          <w:szCs w:val="24"/>
        </w:rPr>
        <w:t>v kontrolovaném období</w:t>
      </w:r>
      <w:r w:rsidR="00976C0F" w:rsidRPr="001A313A">
        <w:rPr>
          <w:rFonts w:ascii="Calibri" w:hAnsi="Calibri" w:cs="Calibri"/>
          <w:sz w:val="24"/>
          <w:szCs w:val="24"/>
        </w:rPr>
        <w:t xml:space="preserve"> pro </w:t>
      </w:r>
      <w:r w:rsidR="009A02F7" w:rsidRPr="001A313A">
        <w:rPr>
          <w:rFonts w:ascii="Calibri" w:hAnsi="Calibri" w:cs="Calibri"/>
          <w:sz w:val="24"/>
          <w:szCs w:val="24"/>
        </w:rPr>
        <w:t>výkon s</w:t>
      </w:r>
      <w:r w:rsidR="00976C0F" w:rsidRPr="001A313A">
        <w:rPr>
          <w:rFonts w:ascii="Calibri" w:hAnsi="Calibri" w:cs="Calibri"/>
          <w:sz w:val="24"/>
          <w:szCs w:val="24"/>
        </w:rPr>
        <w:t xml:space="preserve">vé působnosti kromě svého sídla v Jihlavě ještě </w:t>
      </w:r>
      <w:r w:rsidR="00656D6B">
        <w:rPr>
          <w:rFonts w:ascii="Calibri" w:hAnsi="Calibri" w:cs="Calibri"/>
          <w:sz w:val="24"/>
          <w:szCs w:val="24"/>
        </w:rPr>
        <w:t>dvě</w:t>
      </w:r>
      <w:r w:rsidR="00976C0F" w:rsidRPr="001A313A">
        <w:rPr>
          <w:rFonts w:ascii="Calibri" w:hAnsi="Calibri" w:cs="Calibri"/>
          <w:sz w:val="24"/>
          <w:szCs w:val="24"/>
        </w:rPr>
        <w:t xml:space="preserve"> dislokovaná pracoviště, a to dislokované pracoviště Praha (dále také „pracoviště Praha“) a dislokované pracoviště Ostrava (dále také „pracoviště Ostrava“).</w:t>
      </w:r>
    </w:p>
    <w:p w14:paraId="4B9F942B" w14:textId="484A4017" w:rsidR="00450DD2" w:rsidRPr="00917904" w:rsidRDefault="00450DD2" w:rsidP="00917904">
      <w:pPr>
        <w:keepNext/>
        <w:spacing w:before="24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17904">
        <w:rPr>
          <w:rFonts w:ascii="Calibri" w:hAnsi="Calibri" w:cs="Calibri"/>
          <w:b/>
          <w:bCs/>
          <w:sz w:val="24"/>
          <w:szCs w:val="24"/>
        </w:rPr>
        <w:t>Pracoviště Praha</w:t>
      </w:r>
    </w:p>
    <w:p w14:paraId="7867F594" w14:textId="15802188" w:rsidR="00691CE5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4.35</w:t>
      </w:r>
      <w:r>
        <w:rPr>
          <w:rFonts w:ascii="Calibri" w:hAnsi="Calibri" w:cs="Calibri"/>
          <w:sz w:val="24"/>
          <w:szCs w:val="24"/>
        </w:rPr>
        <w:tab/>
      </w:r>
      <w:r w:rsidR="005F6CC8" w:rsidRPr="001A313A">
        <w:rPr>
          <w:rFonts w:ascii="Calibri" w:hAnsi="Calibri" w:cs="Calibri"/>
          <w:sz w:val="24"/>
          <w:szCs w:val="24"/>
        </w:rPr>
        <w:t>Energetický regulační úřad byl zřízen k 1. 1. 2001 zákonem č. 458/2000 Sb. se sídlem v</w:t>
      </w:r>
      <w:r w:rsidR="00691CE5" w:rsidRPr="001A313A">
        <w:rPr>
          <w:rFonts w:ascii="Calibri" w:hAnsi="Calibri" w:cs="Calibri"/>
          <w:sz w:val="24"/>
          <w:szCs w:val="24"/>
        </w:rPr>
        <w:t> </w:t>
      </w:r>
      <w:r w:rsidR="005F6CC8" w:rsidRPr="001A313A">
        <w:rPr>
          <w:rFonts w:ascii="Calibri" w:hAnsi="Calibri" w:cs="Calibri"/>
          <w:sz w:val="24"/>
          <w:szCs w:val="24"/>
        </w:rPr>
        <w:t>Jihlavě</w:t>
      </w:r>
      <w:r w:rsidR="00691CE5" w:rsidRPr="001A313A">
        <w:rPr>
          <w:rFonts w:ascii="Calibri" w:hAnsi="Calibri" w:cs="Calibri"/>
          <w:sz w:val="24"/>
          <w:szCs w:val="24"/>
        </w:rPr>
        <w:t xml:space="preserve">. Pracoviště Praha bylo zřízeno jako součást organizační struktury ERÚ </w:t>
      </w:r>
      <w:r w:rsidR="006A3E84">
        <w:rPr>
          <w:rFonts w:ascii="Calibri" w:hAnsi="Calibri" w:cs="Calibri"/>
          <w:sz w:val="24"/>
          <w:szCs w:val="24"/>
        </w:rPr>
        <w:t>s</w:t>
      </w:r>
      <w:r w:rsidR="005F6CC8" w:rsidRPr="001A313A">
        <w:rPr>
          <w:rFonts w:ascii="Calibri" w:hAnsi="Calibri" w:cs="Calibri"/>
          <w:sz w:val="24"/>
          <w:szCs w:val="24"/>
        </w:rPr>
        <w:t>tatut</w:t>
      </w:r>
      <w:r w:rsidR="00691CE5" w:rsidRPr="001A313A">
        <w:rPr>
          <w:rFonts w:ascii="Calibri" w:hAnsi="Calibri" w:cs="Calibri"/>
          <w:sz w:val="24"/>
          <w:szCs w:val="24"/>
        </w:rPr>
        <w:t>em</w:t>
      </w:r>
      <w:r w:rsidR="005F6CC8" w:rsidRPr="001A313A">
        <w:rPr>
          <w:rFonts w:ascii="Calibri" w:hAnsi="Calibri" w:cs="Calibri"/>
          <w:sz w:val="24"/>
          <w:szCs w:val="24"/>
        </w:rPr>
        <w:t xml:space="preserve"> </w:t>
      </w:r>
      <w:r w:rsidR="00691CE5" w:rsidRPr="001A313A">
        <w:rPr>
          <w:rFonts w:ascii="Calibri" w:hAnsi="Calibri" w:cs="Calibri"/>
          <w:sz w:val="24"/>
          <w:szCs w:val="24"/>
        </w:rPr>
        <w:t>ERÚ, který</w:t>
      </w:r>
      <w:r w:rsidR="005F6CC8" w:rsidRPr="001A313A">
        <w:rPr>
          <w:rFonts w:ascii="Calibri" w:hAnsi="Calibri" w:cs="Calibri"/>
          <w:sz w:val="24"/>
          <w:szCs w:val="24"/>
        </w:rPr>
        <w:t xml:space="preserve"> vzala vláda </w:t>
      </w:r>
      <w:r w:rsidR="00691CE5" w:rsidRPr="001A313A">
        <w:rPr>
          <w:rFonts w:ascii="Calibri" w:hAnsi="Calibri" w:cs="Calibri"/>
          <w:sz w:val="24"/>
          <w:szCs w:val="24"/>
        </w:rPr>
        <w:t xml:space="preserve">ČR </w:t>
      </w:r>
      <w:r w:rsidR="005F6CC8" w:rsidRPr="001A313A">
        <w:rPr>
          <w:rFonts w:ascii="Calibri" w:hAnsi="Calibri" w:cs="Calibri"/>
          <w:sz w:val="24"/>
          <w:szCs w:val="24"/>
        </w:rPr>
        <w:t xml:space="preserve">na vědomí usnesením č. 1330 ze dne 18. prosince 2000. </w:t>
      </w:r>
    </w:p>
    <w:p w14:paraId="6D7D00FE" w14:textId="6F93152D" w:rsidR="003708D4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4.36</w:t>
      </w:r>
      <w:r>
        <w:rPr>
          <w:rFonts w:ascii="Calibri" w:hAnsi="Calibri" w:cs="Calibri"/>
          <w:sz w:val="24"/>
          <w:szCs w:val="24"/>
        </w:rPr>
        <w:tab/>
      </w:r>
      <w:r w:rsidR="00EC444E" w:rsidRPr="001A313A">
        <w:rPr>
          <w:rFonts w:ascii="Calibri" w:hAnsi="Calibri" w:cs="Calibri"/>
          <w:sz w:val="24"/>
          <w:szCs w:val="24"/>
        </w:rPr>
        <w:t>P</w:t>
      </w:r>
      <w:r w:rsidR="00976C0F" w:rsidRPr="001A313A">
        <w:rPr>
          <w:rFonts w:ascii="Calibri" w:hAnsi="Calibri" w:cs="Calibri"/>
          <w:sz w:val="24"/>
          <w:szCs w:val="24"/>
        </w:rPr>
        <w:t xml:space="preserve">racoviště Praha sídlilo v kontrolovaném období </w:t>
      </w:r>
      <w:r w:rsidR="00E418E5" w:rsidRPr="001A313A">
        <w:rPr>
          <w:rFonts w:ascii="Calibri" w:hAnsi="Calibri" w:cs="Calibri"/>
          <w:sz w:val="24"/>
          <w:szCs w:val="24"/>
        </w:rPr>
        <w:t xml:space="preserve">postupně </w:t>
      </w:r>
      <w:r w:rsidR="00976C0F" w:rsidRPr="001A313A">
        <w:rPr>
          <w:rFonts w:ascii="Calibri" w:hAnsi="Calibri" w:cs="Calibri"/>
          <w:sz w:val="24"/>
          <w:szCs w:val="24"/>
        </w:rPr>
        <w:t>v</w:t>
      </w:r>
      <w:r w:rsidR="003708D4" w:rsidRPr="001A313A">
        <w:rPr>
          <w:rFonts w:ascii="Calibri" w:hAnsi="Calibri" w:cs="Calibri"/>
          <w:sz w:val="24"/>
          <w:szCs w:val="24"/>
        </w:rPr>
        <w:t>e</w:t>
      </w:r>
      <w:r w:rsidR="006A3E84">
        <w:rPr>
          <w:rFonts w:ascii="Calibri" w:hAnsi="Calibri" w:cs="Calibri"/>
          <w:sz w:val="24"/>
          <w:szCs w:val="24"/>
        </w:rPr>
        <w:t xml:space="preserve"> dvou</w:t>
      </w:r>
      <w:r w:rsidR="003708D4" w:rsidRPr="001A313A">
        <w:rPr>
          <w:rFonts w:ascii="Calibri" w:hAnsi="Calibri" w:cs="Calibri"/>
          <w:sz w:val="24"/>
          <w:szCs w:val="24"/>
        </w:rPr>
        <w:t xml:space="preserve"> </w:t>
      </w:r>
      <w:r w:rsidR="00976C0F" w:rsidRPr="001A313A">
        <w:rPr>
          <w:rFonts w:ascii="Calibri" w:hAnsi="Calibri" w:cs="Calibri"/>
          <w:sz w:val="24"/>
          <w:szCs w:val="24"/>
        </w:rPr>
        <w:t>objekt</w:t>
      </w:r>
      <w:r w:rsidR="003708D4" w:rsidRPr="001A313A">
        <w:rPr>
          <w:rFonts w:ascii="Calibri" w:hAnsi="Calibri" w:cs="Calibri"/>
          <w:sz w:val="24"/>
          <w:szCs w:val="24"/>
        </w:rPr>
        <w:t>ech vlastněných soukromými subjekty</w:t>
      </w:r>
      <w:r w:rsidR="00976C0F" w:rsidRPr="001A313A">
        <w:rPr>
          <w:rFonts w:ascii="Calibri" w:hAnsi="Calibri" w:cs="Calibri"/>
          <w:sz w:val="24"/>
          <w:szCs w:val="24"/>
        </w:rPr>
        <w:t>, v n</w:t>
      </w:r>
      <w:r w:rsidR="003708D4" w:rsidRPr="001A313A">
        <w:rPr>
          <w:rFonts w:ascii="Calibri" w:hAnsi="Calibri" w:cs="Calibri"/>
          <w:sz w:val="24"/>
          <w:szCs w:val="24"/>
        </w:rPr>
        <w:t>ich</w:t>
      </w:r>
      <w:r w:rsidR="00976C0F" w:rsidRPr="001A313A">
        <w:rPr>
          <w:rFonts w:ascii="Calibri" w:hAnsi="Calibri" w:cs="Calibri"/>
          <w:sz w:val="24"/>
          <w:szCs w:val="24"/>
        </w:rPr>
        <w:t xml:space="preserve">ž </w:t>
      </w:r>
      <w:r w:rsidR="00450DD2" w:rsidRPr="001A313A">
        <w:rPr>
          <w:rFonts w:ascii="Calibri" w:hAnsi="Calibri" w:cs="Calibri"/>
          <w:sz w:val="24"/>
          <w:szCs w:val="24"/>
        </w:rPr>
        <w:t xml:space="preserve">ERÚ </w:t>
      </w:r>
      <w:r w:rsidR="00976C0F" w:rsidRPr="001A313A">
        <w:rPr>
          <w:rFonts w:ascii="Calibri" w:hAnsi="Calibri" w:cs="Calibri"/>
          <w:sz w:val="24"/>
          <w:szCs w:val="24"/>
        </w:rPr>
        <w:t xml:space="preserve">hradilo komerční nájemné a </w:t>
      </w:r>
      <w:r w:rsidR="00DE4F4A" w:rsidRPr="001A313A">
        <w:rPr>
          <w:rFonts w:ascii="Calibri" w:hAnsi="Calibri" w:cs="Calibri"/>
          <w:sz w:val="24"/>
          <w:szCs w:val="24"/>
        </w:rPr>
        <w:t>výdaje</w:t>
      </w:r>
      <w:r w:rsidR="00976C0F" w:rsidRPr="001A313A">
        <w:rPr>
          <w:rFonts w:ascii="Calibri" w:hAnsi="Calibri" w:cs="Calibri"/>
          <w:sz w:val="24"/>
          <w:szCs w:val="24"/>
        </w:rPr>
        <w:t xml:space="preserve"> na služby</w:t>
      </w:r>
      <w:r w:rsidR="00450DD2" w:rsidRPr="001A313A">
        <w:rPr>
          <w:rFonts w:ascii="Calibri" w:hAnsi="Calibri" w:cs="Calibri"/>
          <w:sz w:val="24"/>
          <w:szCs w:val="24"/>
        </w:rPr>
        <w:t xml:space="preserve"> </w:t>
      </w:r>
      <w:r w:rsidR="00976C0F" w:rsidRPr="001A313A">
        <w:rPr>
          <w:rFonts w:ascii="Calibri" w:hAnsi="Calibri" w:cs="Calibri"/>
          <w:sz w:val="24"/>
          <w:szCs w:val="24"/>
        </w:rPr>
        <w:t>spojené s užíváním pronajatých prostor</w:t>
      </w:r>
      <w:r w:rsidR="003708D4" w:rsidRPr="001A313A">
        <w:rPr>
          <w:rFonts w:ascii="Calibri" w:hAnsi="Calibri" w:cs="Calibri"/>
          <w:sz w:val="24"/>
          <w:szCs w:val="24"/>
        </w:rPr>
        <w:t>.</w:t>
      </w:r>
      <w:r w:rsidR="00E418E5" w:rsidRPr="001A313A">
        <w:rPr>
          <w:rFonts w:ascii="Calibri" w:hAnsi="Calibri" w:cs="Calibri"/>
          <w:sz w:val="24"/>
          <w:szCs w:val="24"/>
        </w:rPr>
        <w:t xml:space="preserve"> </w:t>
      </w:r>
      <w:r w:rsidR="006B4D28" w:rsidRPr="001A313A">
        <w:rPr>
          <w:rFonts w:ascii="Calibri" w:hAnsi="Calibri" w:cs="Calibri"/>
          <w:bCs/>
          <w:iCs/>
          <w:sz w:val="24"/>
          <w:szCs w:val="24"/>
        </w:rPr>
        <w:t>Důvodem pro přesun pracoviště do nových prostor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 xml:space="preserve"> (od 1. 9. 2020)</w:t>
      </w:r>
      <w:r w:rsidR="006B4D28" w:rsidRPr="001A313A">
        <w:rPr>
          <w:rFonts w:ascii="Calibri" w:hAnsi="Calibri" w:cs="Calibri"/>
          <w:bCs/>
          <w:iCs/>
          <w:sz w:val="24"/>
          <w:szCs w:val="24"/>
        </w:rPr>
        <w:t xml:space="preserve"> byla skutečnost, že pronajímatelem původních prostor byl regulovaný subjekt</w:t>
      </w:r>
      <w:r w:rsidR="00554DB9">
        <w:rPr>
          <w:rStyle w:val="Znakapoznpodarou"/>
          <w:rFonts w:ascii="Calibri" w:hAnsi="Calibri" w:cs="Calibri"/>
          <w:bCs/>
          <w:iCs/>
          <w:sz w:val="24"/>
          <w:szCs w:val="24"/>
        </w:rPr>
        <w:footnoteReference w:id="30"/>
      </w:r>
      <w:r w:rsidR="006B4D28" w:rsidRPr="001A313A">
        <w:rPr>
          <w:rFonts w:ascii="Calibri" w:hAnsi="Calibri" w:cs="Calibri"/>
          <w:bCs/>
          <w:iCs/>
          <w:sz w:val="24"/>
          <w:szCs w:val="24"/>
        </w:rPr>
        <w:t>. Dalšími důvody byl špatný technický stav objektu a požadavek pronajímatele, aby se ERÚ finančně podílel na opravách a rekonstrukci nebytových prostor.</w:t>
      </w:r>
    </w:p>
    <w:p w14:paraId="2C2DF237" w14:textId="60ACDD34" w:rsidR="00A4379A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4.37</w:t>
      </w:r>
      <w:r>
        <w:rPr>
          <w:rFonts w:ascii="Calibri" w:hAnsi="Calibri" w:cs="Calibri"/>
          <w:sz w:val="24"/>
          <w:szCs w:val="24"/>
        </w:rPr>
        <w:tab/>
      </w:r>
      <w:r w:rsidR="00EC444E" w:rsidRPr="001A313A">
        <w:rPr>
          <w:rFonts w:ascii="Calibri" w:hAnsi="Calibri" w:cs="Calibri"/>
          <w:sz w:val="24"/>
          <w:szCs w:val="24"/>
        </w:rPr>
        <w:t>NKÚ zjistil</w:t>
      </w:r>
      <w:r w:rsidR="00EC444E" w:rsidRPr="001A313A">
        <w:rPr>
          <w:rFonts w:ascii="Calibri" w:hAnsi="Calibri" w:cs="Calibri"/>
          <w:bCs/>
          <w:iCs/>
          <w:sz w:val="24"/>
          <w:szCs w:val="24"/>
        </w:rPr>
        <w:t xml:space="preserve">, že </w:t>
      </w:r>
      <w:r w:rsidR="00FA40B1" w:rsidRPr="001A313A">
        <w:rPr>
          <w:rFonts w:ascii="Calibri" w:hAnsi="Calibri" w:cs="Calibri"/>
          <w:bCs/>
          <w:iCs/>
          <w:sz w:val="24"/>
          <w:szCs w:val="24"/>
        </w:rPr>
        <w:t xml:space="preserve">ERÚ od roku 2015 </w:t>
      </w:r>
      <w:r w:rsidR="00EC444E" w:rsidRPr="001A313A">
        <w:rPr>
          <w:rFonts w:ascii="Calibri" w:hAnsi="Calibri" w:cs="Calibri"/>
          <w:bCs/>
          <w:iCs/>
          <w:sz w:val="24"/>
          <w:szCs w:val="24"/>
        </w:rPr>
        <w:t xml:space="preserve">usiloval </w:t>
      </w:r>
      <w:r w:rsidR="00FA40B1" w:rsidRPr="001A313A">
        <w:rPr>
          <w:rFonts w:ascii="Calibri" w:hAnsi="Calibri" w:cs="Calibri"/>
          <w:bCs/>
          <w:iCs/>
          <w:sz w:val="24"/>
          <w:szCs w:val="24"/>
        </w:rPr>
        <w:t xml:space="preserve">o </w:t>
      </w:r>
      <w:r w:rsidR="00EC444E" w:rsidRPr="001A313A">
        <w:rPr>
          <w:rFonts w:ascii="Calibri" w:hAnsi="Calibri" w:cs="Calibri"/>
          <w:bCs/>
          <w:iCs/>
          <w:sz w:val="24"/>
          <w:szCs w:val="24"/>
        </w:rPr>
        <w:t>nalezení</w:t>
      </w:r>
      <w:r w:rsidR="00FA40B1" w:rsidRPr="001A313A">
        <w:rPr>
          <w:rFonts w:ascii="Calibri" w:hAnsi="Calibri" w:cs="Calibri"/>
          <w:bCs/>
          <w:iCs/>
          <w:sz w:val="24"/>
          <w:szCs w:val="24"/>
        </w:rPr>
        <w:t xml:space="preserve"> vhodných nebytových prostor ve vlastnictví státu. Za tímto účelem opakovaně oslovil Vládní dislokační komisi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 xml:space="preserve"> a</w:t>
      </w:r>
      <w:r w:rsidR="006A3E84">
        <w:rPr>
          <w:rFonts w:ascii="Calibri" w:hAnsi="Calibri" w:cs="Calibri"/>
          <w:bCs/>
          <w:iCs/>
          <w:sz w:val="24"/>
          <w:szCs w:val="24"/>
        </w:rPr>
        <w:t> rovněž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FA40B1" w:rsidRPr="001A313A">
        <w:rPr>
          <w:rFonts w:ascii="Calibri" w:hAnsi="Calibri" w:cs="Calibri"/>
          <w:bCs/>
          <w:iCs/>
          <w:sz w:val="24"/>
          <w:szCs w:val="24"/>
        </w:rPr>
        <w:t>Úřad pro zastupování státu ve věcech majetkovýc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>h, s j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>eh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 xml:space="preserve">ož 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 xml:space="preserve">pomocí vyhledával 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 xml:space="preserve">vhodné </w:t>
      </w:r>
      <w:r w:rsidR="00EC444E" w:rsidRPr="001A313A">
        <w:rPr>
          <w:rFonts w:ascii="Calibri" w:hAnsi="Calibri" w:cs="Calibri"/>
          <w:bCs/>
          <w:iCs/>
          <w:sz w:val="24"/>
          <w:szCs w:val="24"/>
        </w:rPr>
        <w:t xml:space="preserve">prostory 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>v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> 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>Centrálním registru administrativních budov</w:t>
      </w:r>
      <w:r w:rsidR="00476D8D" w:rsidRPr="001A313A">
        <w:rPr>
          <w:rFonts w:ascii="Calibri" w:hAnsi="Calibri" w:cs="Calibri"/>
          <w:bCs/>
          <w:iCs/>
          <w:sz w:val="24"/>
          <w:szCs w:val="24"/>
        </w:rPr>
        <w:t>.</w:t>
      </w:r>
      <w:r w:rsidR="00EC444E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476D8D" w:rsidRPr="001A313A">
        <w:rPr>
          <w:rFonts w:ascii="Calibri" w:hAnsi="Calibri" w:cs="Calibri"/>
          <w:bCs/>
          <w:iCs/>
          <w:sz w:val="24"/>
          <w:szCs w:val="24"/>
        </w:rPr>
        <w:t>V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>hodné prostory v</w:t>
      </w:r>
      <w:r w:rsidR="00476D8D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>objektech ve vlastnictví státu</w:t>
      </w:r>
      <w:r w:rsidR="004A2E84" w:rsidRPr="001A313A">
        <w:rPr>
          <w:rFonts w:ascii="Calibri" w:hAnsi="Calibri" w:cs="Calibri"/>
          <w:bCs/>
          <w:iCs/>
          <w:sz w:val="24"/>
          <w:szCs w:val="24"/>
        </w:rPr>
        <w:t xml:space="preserve"> nebyly k dispozici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 xml:space="preserve">. Rada ERÚ </w:t>
      </w:r>
      <w:r w:rsidR="00A4379A" w:rsidRPr="001A313A">
        <w:rPr>
          <w:rFonts w:ascii="Calibri" w:hAnsi="Calibri" w:cs="Calibri"/>
          <w:bCs/>
          <w:iCs/>
          <w:sz w:val="24"/>
          <w:szCs w:val="24"/>
        </w:rPr>
        <w:t xml:space="preserve">tak </w:t>
      </w:r>
      <w:r w:rsidR="00DD2DFC" w:rsidRPr="001A313A">
        <w:rPr>
          <w:rFonts w:ascii="Calibri" w:hAnsi="Calibri" w:cs="Calibri"/>
          <w:bCs/>
          <w:iCs/>
          <w:sz w:val="24"/>
          <w:szCs w:val="24"/>
        </w:rPr>
        <w:t xml:space="preserve">rozhodla o </w:t>
      </w:r>
      <w:r w:rsidR="00BB6C27" w:rsidRPr="001A313A">
        <w:rPr>
          <w:rFonts w:ascii="Calibri" w:hAnsi="Calibri" w:cs="Calibri"/>
          <w:bCs/>
          <w:iCs/>
          <w:sz w:val="24"/>
          <w:szCs w:val="24"/>
        </w:rPr>
        <w:t>oslovení komerčních subjektů a získání nabídek v objektech, které nebyly ve vlastnictví státu. ERÚ obdržel v roce 2019 celkem 16 nabídek, které hodnotil s</w:t>
      </w:r>
      <w:r w:rsidR="002520E0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BB6C27" w:rsidRPr="001A313A">
        <w:rPr>
          <w:rFonts w:ascii="Calibri" w:hAnsi="Calibri" w:cs="Calibri"/>
          <w:bCs/>
          <w:iCs/>
          <w:sz w:val="24"/>
          <w:szCs w:val="24"/>
        </w:rPr>
        <w:t xml:space="preserve">ohledem na </w:t>
      </w:r>
      <w:r w:rsidR="00DE4F4A" w:rsidRPr="001A313A">
        <w:rPr>
          <w:rFonts w:ascii="Calibri" w:hAnsi="Calibri" w:cs="Calibri"/>
          <w:bCs/>
          <w:iCs/>
          <w:sz w:val="24"/>
          <w:szCs w:val="24"/>
        </w:rPr>
        <w:t>výdaje</w:t>
      </w:r>
      <w:r w:rsidR="00BB6C27" w:rsidRPr="001A313A">
        <w:rPr>
          <w:rFonts w:ascii="Calibri" w:hAnsi="Calibri" w:cs="Calibri"/>
          <w:bCs/>
          <w:iCs/>
          <w:sz w:val="24"/>
          <w:szCs w:val="24"/>
        </w:rPr>
        <w:t>, splnění požadovaných technických parametrů, umístění, stáří a technický stav objektu</w:t>
      </w:r>
      <w:r w:rsidR="002520E0" w:rsidRPr="001A313A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="00BB6C27" w:rsidRPr="001A313A">
        <w:rPr>
          <w:rFonts w:ascii="Calibri" w:hAnsi="Calibri" w:cs="Calibri"/>
          <w:bCs/>
          <w:iCs/>
          <w:sz w:val="24"/>
          <w:szCs w:val="24"/>
        </w:rPr>
        <w:t>podmínky spojené s</w:t>
      </w:r>
      <w:r w:rsidR="004C1018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BB6C27" w:rsidRPr="001A313A">
        <w:rPr>
          <w:rFonts w:ascii="Calibri" w:hAnsi="Calibri" w:cs="Calibri"/>
          <w:bCs/>
          <w:iCs/>
          <w:sz w:val="24"/>
          <w:szCs w:val="24"/>
        </w:rPr>
        <w:t>uzavřením nájemní smlouvy</w:t>
      </w:r>
      <w:r w:rsidR="002520E0" w:rsidRPr="001A313A">
        <w:rPr>
          <w:rFonts w:ascii="Calibri" w:hAnsi="Calibri" w:cs="Calibri"/>
          <w:bCs/>
          <w:iCs/>
          <w:sz w:val="24"/>
          <w:szCs w:val="24"/>
        </w:rPr>
        <w:t xml:space="preserve"> a požadavek pro umístění 102</w:t>
      </w:r>
      <w:r w:rsidR="00885530" w:rsidRPr="001A313A">
        <w:rPr>
          <w:rFonts w:ascii="Calibri" w:hAnsi="Calibri" w:cs="Calibri"/>
          <w:bCs/>
          <w:iCs/>
          <w:sz w:val="24"/>
          <w:szCs w:val="24"/>
        </w:rPr>
        <w:t> </w:t>
      </w:r>
      <w:r w:rsidR="002520E0" w:rsidRPr="001A313A">
        <w:rPr>
          <w:rFonts w:ascii="Calibri" w:hAnsi="Calibri" w:cs="Calibri"/>
          <w:bCs/>
          <w:iCs/>
          <w:sz w:val="24"/>
          <w:szCs w:val="24"/>
        </w:rPr>
        <w:t>systemizovaných míst</w:t>
      </w:r>
      <w:r w:rsidR="00624ACF" w:rsidRPr="001A313A">
        <w:rPr>
          <w:rFonts w:ascii="Calibri" w:hAnsi="Calibri" w:cs="Calibri"/>
          <w:bCs/>
          <w:iCs/>
          <w:sz w:val="24"/>
          <w:szCs w:val="24"/>
        </w:rPr>
        <w:t>.</w:t>
      </w:r>
    </w:p>
    <w:p w14:paraId="16FD0443" w14:textId="506EADC0" w:rsidR="00E418E5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4.38</w:t>
      </w:r>
      <w:r>
        <w:rPr>
          <w:rFonts w:ascii="Calibri" w:hAnsi="Calibri" w:cs="Calibri"/>
          <w:sz w:val="24"/>
          <w:szCs w:val="24"/>
        </w:rPr>
        <w:tab/>
      </w:r>
      <w:r w:rsidR="003708D4" w:rsidRPr="001A313A">
        <w:rPr>
          <w:rFonts w:ascii="Calibri" w:hAnsi="Calibri" w:cs="Calibri"/>
          <w:sz w:val="24"/>
          <w:szCs w:val="24"/>
        </w:rPr>
        <w:t xml:space="preserve">Nájemní smlouva, kterou ERÚ uzavřel </w:t>
      </w:r>
      <w:r w:rsidR="00E418E5" w:rsidRPr="001A313A">
        <w:rPr>
          <w:rFonts w:ascii="Calibri" w:hAnsi="Calibri" w:cs="Calibri"/>
          <w:sz w:val="24"/>
          <w:szCs w:val="24"/>
        </w:rPr>
        <w:t>v</w:t>
      </w:r>
      <w:r w:rsidR="00240EF6" w:rsidRPr="001A313A">
        <w:rPr>
          <w:rFonts w:ascii="Calibri" w:hAnsi="Calibri" w:cs="Calibri"/>
          <w:sz w:val="24"/>
          <w:szCs w:val="24"/>
        </w:rPr>
        <w:t xml:space="preserve"> </w:t>
      </w:r>
      <w:r w:rsidR="00E418E5" w:rsidRPr="001A313A">
        <w:rPr>
          <w:rFonts w:ascii="Calibri" w:hAnsi="Calibri" w:cs="Calibri"/>
          <w:sz w:val="24"/>
          <w:szCs w:val="24"/>
        </w:rPr>
        <w:t xml:space="preserve">roce 2020 </w:t>
      </w:r>
      <w:r w:rsidR="003708D4" w:rsidRPr="001A313A">
        <w:rPr>
          <w:rFonts w:ascii="Calibri" w:hAnsi="Calibri" w:cs="Calibri"/>
          <w:sz w:val="24"/>
          <w:szCs w:val="24"/>
        </w:rPr>
        <w:t>s</w:t>
      </w:r>
      <w:r w:rsidR="00240EF6" w:rsidRPr="001A313A">
        <w:rPr>
          <w:rFonts w:ascii="Calibri" w:hAnsi="Calibri" w:cs="Calibri"/>
          <w:sz w:val="24"/>
          <w:szCs w:val="24"/>
        </w:rPr>
        <w:t xml:space="preserve"> </w:t>
      </w:r>
      <w:r w:rsidR="003708D4" w:rsidRPr="001A313A">
        <w:rPr>
          <w:rFonts w:ascii="Calibri" w:hAnsi="Calibri" w:cs="Calibri"/>
          <w:sz w:val="24"/>
          <w:szCs w:val="24"/>
        </w:rPr>
        <w:t xml:space="preserve">pronajímatelem objektu, byla uzavřena na dobu určitou v délce 10 let s ukončením </w:t>
      </w:r>
      <w:r w:rsidR="00040C62" w:rsidRPr="001A313A">
        <w:rPr>
          <w:rFonts w:ascii="Calibri" w:hAnsi="Calibri" w:cs="Calibri"/>
          <w:sz w:val="24"/>
          <w:szCs w:val="24"/>
        </w:rPr>
        <w:t xml:space="preserve">31. 8. </w:t>
      </w:r>
      <w:r w:rsidR="003708D4" w:rsidRPr="001A313A">
        <w:rPr>
          <w:rFonts w:ascii="Calibri" w:hAnsi="Calibri" w:cs="Calibri"/>
          <w:sz w:val="24"/>
          <w:szCs w:val="24"/>
        </w:rPr>
        <w:t>2030.</w:t>
      </w:r>
      <w:r w:rsidR="00A4379A" w:rsidRPr="001A313A">
        <w:rPr>
          <w:rFonts w:ascii="Calibri" w:hAnsi="Calibri" w:cs="Calibri"/>
          <w:sz w:val="24"/>
          <w:szCs w:val="24"/>
        </w:rPr>
        <w:t xml:space="preserve"> 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>Předmětem pronájmu byly nebytové prostory o výměře 1558,33</w:t>
      </w:r>
      <w:r w:rsidR="00745B77">
        <w:rPr>
          <w:rFonts w:ascii="Calibri" w:hAnsi="Calibri" w:cs="Calibri"/>
          <w:bCs/>
          <w:iCs/>
          <w:sz w:val="24"/>
          <w:szCs w:val="24"/>
        </w:rPr>
        <w:t> 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>m</w:t>
      </w:r>
      <w:r w:rsidR="00745B77" w:rsidRPr="0035544F">
        <w:rPr>
          <w:rFonts w:ascii="Calibri" w:hAnsi="Calibri" w:cs="Calibri"/>
          <w:bCs/>
          <w:iCs/>
          <w:sz w:val="24"/>
          <w:szCs w:val="24"/>
          <w:vertAlign w:val="superscript"/>
        </w:rPr>
        <w:t>2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 xml:space="preserve"> využívané jako kancelářské prostory a</w:t>
      </w:r>
      <w:r w:rsidR="00885530" w:rsidRPr="001A313A">
        <w:rPr>
          <w:rFonts w:ascii="Calibri" w:hAnsi="Calibri" w:cs="Calibri"/>
          <w:bCs/>
          <w:iCs/>
          <w:sz w:val="24"/>
          <w:szCs w:val="24"/>
        </w:rPr>
        <w:t> 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>20</w:t>
      </w:r>
      <w:r w:rsidR="00885530" w:rsidRPr="001A313A">
        <w:rPr>
          <w:rFonts w:ascii="Calibri" w:hAnsi="Calibri" w:cs="Calibri"/>
          <w:bCs/>
          <w:iCs/>
          <w:sz w:val="24"/>
          <w:szCs w:val="24"/>
        </w:rPr>
        <w:t> 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>parkovacích stání.</w:t>
      </w:r>
      <w:r w:rsidR="00A4379A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4E11AB" w:rsidRPr="001A313A">
        <w:rPr>
          <w:rFonts w:ascii="Calibri" w:hAnsi="Calibri" w:cs="Calibri"/>
          <w:sz w:val="24"/>
          <w:szCs w:val="24"/>
        </w:rPr>
        <w:t xml:space="preserve">NKÚ ověřil, že ERÚ při uzavření nájemní smlouvy postupoval v souladu s právními předpisy. </w:t>
      </w:r>
      <w:r w:rsidR="00DE4F4A" w:rsidRPr="001A313A">
        <w:rPr>
          <w:rFonts w:ascii="Calibri" w:hAnsi="Calibri" w:cs="Calibri"/>
          <w:sz w:val="24"/>
          <w:szCs w:val="24"/>
        </w:rPr>
        <w:t>Výdaje</w:t>
      </w:r>
      <w:r w:rsidR="00E418E5" w:rsidRPr="001A313A">
        <w:rPr>
          <w:rFonts w:ascii="Calibri" w:hAnsi="Calibri" w:cs="Calibri"/>
          <w:sz w:val="24"/>
          <w:szCs w:val="24"/>
        </w:rPr>
        <w:t xml:space="preserve"> pracoviště Praha</w:t>
      </w:r>
      <w:r w:rsidR="00A4379A" w:rsidRPr="001A313A">
        <w:rPr>
          <w:rFonts w:ascii="Calibri" w:hAnsi="Calibri" w:cs="Calibri"/>
          <w:sz w:val="24"/>
          <w:szCs w:val="24"/>
        </w:rPr>
        <w:t xml:space="preserve"> </w:t>
      </w:r>
      <w:r w:rsidR="00E418E5" w:rsidRPr="001A313A">
        <w:rPr>
          <w:rFonts w:ascii="Calibri" w:hAnsi="Calibri" w:cs="Calibri"/>
          <w:sz w:val="24"/>
          <w:szCs w:val="24"/>
        </w:rPr>
        <w:t>spojené s využíváním pronajatých prostor</w:t>
      </w:r>
      <w:r w:rsidR="00AC5E38" w:rsidRPr="001A313A">
        <w:rPr>
          <w:rFonts w:ascii="Calibri" w:hAnsi="Calibri" w:cs="Calibri"/>
          <w:sz w:val="24"/>
          <w:szCs w:val="24"/>
        </w:rPr>
        <w:t xml:space="preserve">, počty </w:t>
      </w:r>
      <w:r w:rsidR="00DA74B7" w:rsidRPr="001A313A">
        <w:rPr>
          <w:rFonts w:ascii="Calibri" w:hAnsi="Calibri" w:cs="Calibri"/>
          <w:sz w:val="24"/>
          <w:szCs w:val="24"/>
        </w:rPr>
        <w:t>systemizovaných míst</w:t>
      </w:r>
      <w:r w:rsidR="00AC5E38" w:rsidRPr="001A313A">
        <w:rPr>
          <w:rFonts w:ascii="Calibri" w:hAnsi="Calibri" w:cs="Calibri"/>
          <w:sz w:val="24"/>
          <w:szCs w:val="24"/>
        </w:rPr>
        <w:t xml:space="preserve"> v jednotlivých letech a roční </w:t>
      </w:r>
      <w:r w:rsidR="00DE4F4A" w:rsidRPr="001A313A">
        <w:rPr>
          <w:rFonts w:ascii="Calibri" w:hAnsi="Calibri" w:cs="Calibri"/>
          <w:sz w:val="24"/>
          <w:szCs w:val="24"/>
        </w:rPr>
        <w:t>výdaje</w:t>
      </w:r>
      <w:r w:rsidR="00AC5E38" w:rsidRPr="001A313A">
        <w:rPr>
          <w:rFonts w:ascii="Calibri" w:hAnsi="Calibri" w:cs="Calibri"/>
          <w:sz w:val="24"/>
          <w:szCs w:val="24"/>
        </w:rPr>
        <w:t xml:space="preserve"> na </w:t>
      </w:r>
      <w:r w:rsidR="00745B77">
        <w:rPr>
          <w:rFonts w:ascii="Calibri" w:hAnsi="Calibri" w:cs="Calibri"/>
          <w:sz w:val="24"/>
          <w:szCs w:val="24"/>
        </w:rPr>
        <w:t>jedno</w:t>
      </w:r>
      <w:r w:rsidR="00AC5E38" w:rsidRPr="001A313A">
        <w:rPr>
          <w:rFonts w:ascii="Calibri" w:hAnsi="Calibri" w:cs="Calibri"/>
          <w:sz w:val="24"/>
          <w:szCs w:val="24"/>
        </w:rPr>
        <w:t xml:space="preserve"> </w:t>
      </w:r>
      <w:r w:rsidR="00DA74B7" w:rsidRPr="001A313A">
        <w:rPr>
          <w:rFonts w:ascii="Calibri" w:hAnsi="Calibri" w:cs="Calibri"/>
          <w:sz w:val="24"/>
          <w:szCs w:val="24"/>
        </w:rPr>
        <w:t>systemizované místo</w:t>
      </w:r>
      <w:r w:rsidR="00AC5E38" w:rsidRPr="001A313A">
        <w:rPr>
          <w:rFonts w:ascii="Calibri" w:hAnsi="Calibri" w:cs="Calibri"/>
          <w:sz w:val="24"/>
          <w:szCs w:val="24"/>
        </w:rPr>
        <w:t xml:space="preserve"> uvádí tabulka</w:t>
      </w:r>
      <w:r w:rsidR="00A4379A" w:rsidRPr="001A313A">
        <w:rPr>
          <w:rFonts w:ascii="Calibri" w:hAnsi="Calibri" w:cs="Calibri"/>
          <w:sz w:val="24"/>
          <w:szCs w:val="24"/>
        </w:rPr>
        <w:t xml:space="preserve"> č.</w:t>
      </w:r>
      <w:r w:rsidR="00AC5E38" w:rsidRPr="001A313A">
        <w:rPr>
          <w:rFonts w:ascii="Calibri" w:hAnsi="Calibri" w:cs="Calibri"/>
          <w:sz w:val="24"/>
          <w:szCs w:val="24"/>
        </w:rPr>
        <w:t> </w:t>
      </w:r>
      <w:r w:rsidR="00944A45" w:rsidRPr="001A313A">
        <w:rPr>
          <w:rFonts w:ascii="Calibri" w:hAnsi="Calibri" w:cs="Calibri"/>
          <w:sz w:val="24"/>
          <w:szCs w:val="24"/>
        </w:rPr>
        <w:t>5</w:t>
      </w:r>
      <w:r w:rsidR="00A4379A" w:rsidRPr="001A313A">
        <w:rPr>
          <w:rFonts w:ascii="Calibri" w:hAnsi="Calibri" w:cs="Calibri"/>
          <w:sz w:val="24"/>
          <w:szCs w:val="24"/>
        </w:rPr>
        <w:t>.</w:t>
      </w:r>
    </w:p>
    <w:p w14:paraId="68BE1DB8" w14:textId="77777777" w:rsidR="00B47368" w:rsidRDefault="00B4736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35658418" w14:textId="6D391A8E" w:rsidR="00976C0F" w:rsidRPr="008027A9" w:rsidRDefault="00E418E5" w:rsidP="00745B77">
      <w:pPr>
        <w:keepNext/>
        <w:tabs>
          <w:tab w:val="right" w:pos="9072"/>
        </w:tabs>
        <w:spacing w:before="120" w:after="40" w:line="240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  <w:r w:rsidRPr="008027A9">
        <w:rPr>
          <w:rFonts w:ascii="Calibri" w:hAnsi="Calibri" w:cs="Calibri"/>
          <w:b/>
          <w:bCs/>
          <w:sz w:val="24"/>
          <w:szCs w:val="24"/>
        </w:rPr>
        <w:lastRenderedPageBreak/>
        <w:t xml:space="preserve">Tabulka č. </w:t>
      </w:r>
      <w:r w:rsidR="00944A45" w:rsidRPr="008027A9">
        <w:rPr>
          <w:rFonts w:ascii="Calibri" w:hAnsi="Calibri" w:cs="Calibri"/>
          <w:b/>
          <w:bCs/>
          <w:sz w:val="24"/>
          <w:szCs w:val="24"/>
        </w:rPr>
        <w:t>5</w:t>
      </w:r>
      <w:r w:rsidR="00745B77">
        <w:rPr>
          <w:rFonts w:ascii="Calibri" w:hAnsi="Calibri" w:cs="Calibri"/>
          <w:b/>
          <w:bCs/>
          <w:sz w:val="24"/>
          <w:szCs w:val="24"/>
        </w:rPr>
        <w:t>:</w:t>
      </w:r>
      <w:r w:rsidRPr="008027A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70AC" w:rsidRPr="008027A9">
        <w:rPr>
          <w:rFonts w:ascii="Calibri" w:hAnsi="Calibri" w:cs="Calibri"/>
          <w:b/>
          <w:bCs/>
          <w:sz w:val="24"/>
          <w:szCs w:val="24"/>
        </w:rPr>
        <w:t>Výdaje</w:t>
      </w:r>
      <w:r w:rsidRPr="008027A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970AC" w:rsidRPr="008027A9">
        <w:rPr>
          <w:rFonts w:ascii="Calibri" w:hAnsi="Calibri" w:cs="Calibri"/>
          <w:b/>
          <w:bCs/>
          <w:sz w:val="24"/>
          <w:szCs w:val="24"/>
        </w:rPr>
        <w:t xml:space="preserve">na </w:t>
      </w:r>
      <w:r w:rsidRPr="008027A9">
        <w:rPr>
          <w:rFonts w:ascii="Calibri" w:hAnsi="Calibri" w:cs="Calibri"/>
          <w:b/>
          <w:bCs/>
          <w:sz w:val="24"/>
          <w:szCs w:val="24"/>
        </w:rPr>
        <w:t>pracoviště Praha</w:t>
      </w:r>
      <w:r w:rsidR="00AC5E38" w:rsidRPr="008027A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45B77">
        <w:rPr>
          <w:rFonts w:ascii="Calibri" w:hAnsi="Calibri" w:cs="Calibri"/>
          <w:b/>
          <w:bCs/>
          <w:sz w:val="24"/>
          <w:szCs w:val="24"/>
        </w:rPr>
        <w:tab/>
      </w:r>
      <w:r w:rsidR="005D2DA3" w:rsidRPr="008027A9">
        <w:rPr>
          <w:rFonts w:ascii="Calibri" w:hAnsi="Calibri" w:cs="Calibri"/>
          <w:b/>
          <w:bCs/>
          <w:sz w:val="24"/>
          <w:szCs w:val="24"/>
        </w:rPr>
        <w:t>(v tis. Kč)</w:t>
      </w:r>
    </w:p>
    <w:tbl>
      <w:tblPr>
        <w:tblW w:w="85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907"/>
        <w:gridCol w:w="907"/>
        <w:gridCol w:w="964"/>
        <w:gridCol w:w="964"/>
      </w:tblGrid>
      <w:tr w:rsidR="00A4379A" w:rsidRPr="00B903E3" w14:paraId="22A87933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E6E6E6"/>
            <w:noWrap/>
            <w:vAlign w:val="center"/>
            <w:hideMark/>
          </w:tcPr>
          <w:p w14:paraId="5F679953" w14:textId="13AB5294" w:rsidR="00A4379A" w:rsidRPr="00B903E3" w:rsidRDefault="00F970AC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Výdaje</w:t>
            </w:r>
          </w:p>
        </w:tc>
        <w:tc>
          <w:tcPr>
            <w:tcW w:w="907" w:type="dxa"/>
            <w:shd w:val="clear" w:color="auto" w:fill="E6E6E6"/>
            <w:noWrap/>
            <w:vAlign w:val="center"/>
            <w:hideMark/>
          </w:tcPr>
          <w:p w14:paraId="2471EFC7" w14:textId="77777777" w:rsidR="00A4379A" w:rsidRPr="00B903E3" w:rsidRDefault="00A4379A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2019</w:t>
            </w:r>
          </w:p>
        </w:tc>
        <w:tc>
          <w:tcPr>
            <w:tcW w:w="907" w:type="dxa"/>
            <w:shd w:val="clear" w:color="auto" w:fill="E6E6E6"/>
            <w:noWrap/>
            <w:vAlign w:val="center"/>
            <w:hideMark/>
          </w:tcPr>
          <w:p w14:paraId="42086AFA" w14:textId="77777777" w:rsidR="00A4379A" w:rsidRPr="00B903E3" w:rsidRDefault="00A4379A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2020</w:t>
            </w:r>
          </w:p>
        </w:tc>
        <w:tc>
          <w:tcPr>
            <w:tcW w:w="964" w:type="dxa"/>
            <w:shd w:val="clear" w:color="auto" w:fill="E6E6E6"/>
            <w:noWrap/>
            <w:vAlign w:val="center"/>
            <w:hideMark/>
          </w:tcPr>
          <w:p w14:paraId="57FCCFD0" w14:textId="77777777" w:rsidR="00A4379A" w:rsidRPr="00B903E3" w:rsidRDefault="00A4379A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2021</w:t>
            </w:r>
          </w:p>
        </w:tc>
        <w:tc>
          <w:tcPr>
            <w:tcW w:w="964" w:type="dxa"/>
            <w:shd w:val="clear" w:color="auto" w:fill="E6E6E6"/>
            <w:noWrap/>
            <w:vAlign w:val="center"/>
            <w:hideMark/>
          </w:tcPr>
          <w:p w14:paraId="18BD33FC" w14:textId="77777777" w:rsidR="00A4379A" w:rsidRPr="00B903E3" w:rsidRDefault="00A4379A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</w:tr>
      <w:tr w:rsidR="00A4379A" w:rsidRPr="00B903E3" w14:paraId="0104E6EC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343E51A6" w14:textId="18736DB6" w:rsidR="00A4379A" w:rsidRPr="00B903E3" w:rsidRDefault="00A4379A" w:rsidP="0088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Nájemné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55CF2904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5 126,16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76564E2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6 094,89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DBF131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7 098,15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BC0BC65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7 328,49</w:t>
            </w:r>
          </w:p>
        </w:tc>
      </w:tr>
      <w:tr w:rsidR="00A4379A" w:rsidRPr="00B903E3" w14:paraId="722687B2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341BAEB9" w14:textId="0D88F98E" w:rsidR="00A4379A" w:rsidRPr="00B903E3" w:rsidRDefault="004C1018" w:rsidP="0088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Ostatní provozní </w:t>
            </w:r>
            <w:r w:rsidR="00F970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výdaje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(služby aj.)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50AB186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2 860,87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6491725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3 704,69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D099DC6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3 178,32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F6A762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3 749,10</w:t>
            </w:r>
          </w:p>
        </w:tc>
      </w:tr>
      <w:tr w:rsidR="00A4379A" w:rsidRPr="00B903E3" w14:paraId="6AA7F7F4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auto"/>
            <w:noWrap/>
            <w:vAlign w:val="center"/>
            <w:hideMark/>
          </w:tcPr>
          <w:p w14:paraId="4B30A31C" w14:textId="77777777" w:rsidR="00A4379A" w:rsidRPr="00B903E3" w:rsidRDefault="00A4379A" w:rsidP="00885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23EE554C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7 987,03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14:paraId="094AFC36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9 799,58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CBA4E8E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10 276,46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2645423" w14:textId="77777777" w:rsidR="00A4379A" w:rsidRPr="00B903E3" w:rsidRDefault="00A4379A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11 077,59</w:t>
            </w:r>
          </w:p>
        </w:tc>
      </w:tr>
      <w:tr w:rsidR="00AC5E38" w:rsidRPr="00B903E3" w14:paraId="2653B6C0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auto"/>
            <w:noWrap/>
            <w:vAlign w:val="center"/>
          </w:tcPr>
          <w:p w14:paraId="7E158E3D" w14:textId="343D4BA0" w:rsidR="00AC5E38" w:rsidRPr="00AC5E38" w:rsidRDefault="00AC5E38" w:rsidP="00885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</w:t>
            </w:r>
            <w:r w:rsidR="00DA74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et systemizovaných míst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BFEC8C0" w14:textId="5627B378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102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8683AB4" w14:textId="4C1CEEB7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71A0D3C5" w14:textId="0CFEC072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41E9183D" w14:textId="2429805A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</w:tr>
      <w:tr w:rsidR="00AC5E38" w:rsidRPr="00B903E3" w14:paraId="3184C2D1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auto"/>
            <w:noWrap/>
            <w:vAlign w:val="center"/>
          </w:tcPr>
          <w:p w14:paraId="54B6CAB3" w14:textId="42BCA422" w:rsidR="00AC5E38" w:rsidRPr="00AC5E38" w:rsidRDefault="00AC5E38" w:rsidP="00885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Roční </w:t>
            </w:r>
            <w:r w:rsidR="00DE4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výdaje</w:t>
            </w: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</w:t>
            </w:r>
            <w:r w:rsidR="00745B7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jedno</w:t>
            </w: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="0001748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systemizované místo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38B2966" w14:textId="5F42345A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78,30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0CBFD58C" w14:textId="09DF50F1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94,23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67004C5" w14:textId="5730E4C6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146,81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273DA27" w14:textId="09C554C1" w:rsidR="00AC5E38" w:rsidRPr="00AC5E38" w:rsidRDefault="00AC5E3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158,25</w:t>
            </w:r>
          </w:p>
        </w:tc>
      </w:tr>
      <w:tr w:rsidR="0065674D" w:rsidRPr="00B903E3" w14:paraId="21E4087F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auto"/>
            <w:noWrap/>
            <w:vAlign w:val="center"/>
          </w:tcPr>
          <w:p w14:paraId="3D707D9D" w14:textId="59F19194" w:rsidR="0065674D" w:rsidRPr="00F970AC" w:rsidRDefault="0065674D" w:rsidP="0088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70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Nájemné na </w:t>
            </w:r>
            <w:r w:rsidR="00745B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jedno</w:t>
            </w:r>
            <w:r w:rsidRPr="00F970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systemizované místo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1F8FB1E6" w14:textId="2A81B291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50,26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6A8916E" w14:textId="4CAC396B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58,60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6BE010BC" w14:textId="0623A86C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DEEEC18" w14:textId="2100F5F4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104,69</w:t>
            </w:r>
          </w:p>
        </w:tc>
      </w:tr>
      <w:tr w:rsidR="0065674D" w:rsidRPr="00B903E3" w14:paraId="250B1B9E" w14:textId="77777777" w:rsidTr="001B23B7">
        <w:trPr>
          <w:trHeight w:val="255"/>
          <w:jc w:val="right"/>
        </w:trPr>
        <w:tc>
          <w:tcPr>
            <w:tcW w:w="4762" w:type="dxa"/>
            <w:shd w:val="clear" w:color="auto" w:fill="auto"/>
            <w:noWrap/>
            <w:vAlign w:val="center"/>
          </w:tcPr>
          <w:p w14:paraId="002F14E5" w14:textId="236AC3D1" w:rsidR="0065674D" w:rsidRPr="00F970AC" w:rsidRDefault="0065674D" w:rsidP="008855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970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Ostatní provozní výdaje na </w:t>
            </w:r>
            <w:r w:rsidR="00745B7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jedno</w:t>
            </w:r>
            <w:r w:rsidRPr="00F970A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systemizované místo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9414E37" w14:textId="3CE84664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28,05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49625039" w14:textId="35E13F5F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35,62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BAC846E" w14:textId="1D48FF92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461551E" w14:textId="148158A3" w:rsidR="0065674D" w:rsidRPr="00AC5E38" w:rsidRDefault="0065674D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53,56</w:t>
            </w:r>
          </w:p>
        </w:tc>
      </w:tr>
    </w:tbl>
    <w:p w14:paraId="3B4A07A7" w14:textId="51E6F5BA" w:rsidR="00E418E5" w:rsidRPr="00B903E3" w:rsidRDefault="005D2DA3" w:rsidP="00885530">
      <w:pPr>
        <w:spacing w:before="40" w:after="120" w:line="24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35544F">
        <w:rPr>
          <w:rFonts w:ascii="Calibri" w:hAnsi="Calibri" w:cs="Calibri"/>
          <w:b/>
          <w:bCs/>
          <w:sz w:val="20"/>
          <w:szCs w:val="20"/>
        </w:rPr>
        <w:t>Zdroj:</w:t>
      </w:r>
      <w:r w:rsidRPr="00B903E3">
        <w:rPr>
          <w:rFonts w:ascii="Calibri" w:hAnsi="Calibri" w:cs="Calibri"/>
          <w:sz w:val="20"/>
          <w:szCs w:val="20"/>
        </w:rPr>
        <w:t xml:space="preserve"> </w:t>
      </w:r>
      <w:r w:rsidR="001B23B7">
        <w:rPr>
          <w:rFonts w:ascii="Calibri" w:hAnsi="Calibri" w:cs="Calibri"/>
          <w:sz w:val="20"/>
          <w:szCs w:val="20"/>
        </w:rPr>
        <w:t>i</w:t>
      </w:r>
      <w:r w:rsidR="00A4379A" w:rsidRPr="00B903E3">
        <w:rPr>
          <w:rFonts w:ascii="Calibri" w:hAnsi="Calibri" w:cs="Calibri"/>
          <w:sz w:val="20"/>
          <w:szCs w:val="20"/>
        </w:rPr>
        <w:t>nformace</w:t>
      </w:r>
      <w:r w:rsidRPr="00B903E3">
        <w:rPr>
          <w:rFonts w:ascii="Calibri" w:hAnsi="Calibri" w:cs="Calibri"/>
          <w:sz w:val="20"/>
          <w:szCs w:val="20"/>
        </w:rPr>
        <w:t xml:space="preserve"> ERÚ</w:t>
      </w:r>
      <w:r w:rsidR="006453F3">
        <w:rPr>
          <w:rFonts w:ascii="Calibri" w:hAnsi="Calibri" w:cs="Calibri"/>
          <w:sz w:val="20"/>
          <w:szCs w:val="20"/>
        </w:rPr>
        <w:t>.</w:t>
      </w:r>
    </w:p>
    <w:p w14:paraId="055BC12B" w14:textId="0788A4DB" w:rsidR="00E418E5" w:rsidRPr="008027A9" w:rsidRDefault="00A4379A" w:rsidP="00885530">
      <w:pPr>
        <w:keepNext/>
        <w:spacing w:before="24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027A9">
        <w:rPr>
          <w:rFonts w:ascii="Calibri" w:hAnsi="Calibri" w:cs="Calibri"/>
          <w:b/>
          <w:bCs/>
          <w:sz w:val="24"/>
          <w:szCs w:val="24"/>
        </w:rPr>
        <w:t>P</w:t>
      </w:r>
      <w:r w:rsidR="00040C62" w:rsidRPr="008027A9">
        <w:rPr>
          <w:rFonts w:ascii="Calibri" w:hAnsi="Calibri" w:cs="Calibri"/>
          <w:b/>
          <w:bCs/>
          <w:sz w:val="24"/>
          <w:szCs w:val="24"/>
        </w:rPr>
        <w:t>racoviště Ostrava</w:t>
      </w:r>
    </w:p>
    <w:p w14:paraId="5A5170B1" w14:textId="3DE8C725" w:rsidR="00B903E3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4.39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240EF6" w:rsidRPr="001A313A">
        <w:rPr>
          <w:rFonts w:ascii="Calibri" w:hAnsi="Calibri" w:cs="Calibri"/>
          <w:bCs/>
          <w:iCs/>
          <w:sz w:val="24"/>
          <w:szCs w:val="24"/>
        </w:rPr>
        <w:t>NKÚ zjistil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 xml:space="preserve">, že zřízením dislokovaného pracoviště Ostrava řešil ERÚ rychlý nárůst systemizovaných pracovních míst v důsledků </w:t>
      </w:r>
      <w:r w:rsidR="00E3286F" w:rsidRPr="001A313A">
        <w:rPr>
          <w:rFonts w:ascii="Calibri" w:hAnsi="Calibri" w:cs="Calibri"/>
          <w:bCs/>
          <w:iCs/>
          <w:sz w:val="24"/>
          <w:szCs w:val="24"/>
        </w:rPr>
        <w:t>rozšíření pravomocí</w:t>
      </w:r>
      <w:r w:rsidR="00476D8D" w:rsidRPr="001A313A">
        <w:rPr>
          <w:rFonts w:ascii="Calibri" w:hAnsi="Calibri" w:cs="Calibri"/>
          <w:bCs/>
          <w:iCs/>
          <w:sz w:val="24"/>
          <w:szCs w:val="24"/>
        </w:rPr>
        <w:t xml:space="preserve"> a působnosti</w:t>
      </w:r>
      <w:r w:rsidR="00E3286F" w:rsidRPr="001A313A">
        <w:rPr>
          <w:rFonts w:ascii="Calibri" w:hAnsi="Calibri" w:cs="Calibri"/>
          <w:bCs/>
          <w:iCs/>
          <w:sz w:val="24"/>
          <w:szCs w:val="24"/>
        </w:rPr>
        <w:t xml:space="preserve"> ERÚ 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 xml:space="preserve">po nabytí účinnosti zákona č. 211/2011 Sb. a </w:t>
      </w:r>
      <w:r w:rsidR="00E3286F" w:rsidRPr="001A313A">
        <w:rPr>
          <w:rFonts w:ascii="Calibri" w:hAnsi="Calibri" w:cs="Calibri"/>
          <w:bCs/>
          <w:iCs/>
          <w:sz w:val="24"/>
          <w:szCs w:val="24"/>
        </w:rPr>
        <w:t xml:space="preserve">zákona 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>č. 131/2015 Sb., který</w:t>
      </w:r>
      <w:r w:rsidR="00E3286F" w:rsidRPr="001A313A">
        <w:rPr>
          <w:rFonts w:ascii="Calibri" w:hAnsi="Calibri" w:cs="Calibri"/>
          <w:bCs/>
          <w:iCs/>
          <w:sz w:val="24"/>
          <w:szCs w:val="24"/>
        </w:rPr>
        <w:t>mi se měnil energetický zákon.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 xml:space="preserve"> K</w:t>
      </w:r>
      <w:r w:rsidR="00240EF6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>nárůstu systemizovaných pracovních míst přispěla rovněž delimitace pracovníků některých regionálních pracovišť S</w:t>
      </w:r>
      <w:r w:rsidR="00E3286F" w:rsidRPr="001A313A">
        <w:rPr>
          <w:rFonts w:ascii="Calibri" w:hAnsi="Calibri" w:cs="Calibri"/>
          <w:bCs/>
          <w:iCs/>
          <w:sz w:val="24"/>
          <w:szCs w:val="24"/>
        </w:rPr>
        <w:t>tátní energetické inspekce</w:t>
      </w:r>
      <w:r w:rsidR="00240EF6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040C62" w:rsidRPr="001A313A">
        <w:rPr>
          <w:rFonts w:ascii="Calibri" w:hAnsi="Calibri" w:cs="Calibri"/>
          <w:bCs/>
          <w:iCs/>
          <w:sz w:val="24"/>
          <w:szCs w:val="24"/>
        </w:rPr>
        <w:t>ve prospěch ERÚ.</w:t>
      </w:r>
    </w:p>
    <w:p w14:paraId="73BBECC0" w14:textId="246DC161" w:rsidR="00F970AC" w:rsidRPr="001A313A" w:rsidRDefault="001A313A" w:rsidP="001A313A">
      <w:pPr>
        <w:spacing w:after="120" w:line="240" w:lineRule="auto"/>
        <w:ind w:left="567" w:hanging="567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4.40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3F0CF7" w:rsidRPr="001A313A">
        <w:rPr>
          <w:rFonts w:ascii="Calibri" w:hAnsi="Calibri" w:cs="Calibri"/>
          <w:bCs/>
          <w:iCs/>
          <w:sz w:val="24"/>
          <w:szCs w:val="24"/>
        </w:rPr>
        <w:t>Pracoviště Ostrava sídl</w:t>
      </w:r>
      <w:r w:rsidR="00B903E3" w:rsidRPr="001A313A">
        <w:rPr>
          <w:rFonts w:ascii="Calibri" w:hAnsi="Calibri" w:cs="Calibri"/>
          <w:bCs/>
          <w:iCs/>
          <w:sz w:val="24"/>
          <w:szCs w:val="24"/>
        </w:rPr>
        <w:t>ilo v kontrolovaném období</w:t>
      </w:r>
      <w:r w:rsidR="003F0CF7" w:rsidRPr="001A313A">
        <w:rPr>
          <w:rFonts w:ascii="Calibri" w:hAnsi="Calibri" w:cs="Calibri"/>
          <w:bCs/>
          <w:iCs/>
          <w:sz w:val="24"/>
          <w:szCs w:val="24"/>
        </w:rPr>
        <w:t xml:space="preserve"> ve dvou objektech ve vlastnictví státu. </w:t>
      </w:r>
      <w:r w:rsidR="00093B65" w:rsidRPr="001A313A">
        <w:rPr>
          <w:rFonts w:ascii="Calibri" w:hAnsi="Calibri" w:cs="Calibri"/>
          <w:bCs/>
          <w:iCs/>
          <w:sz w:val="24"/>
          <w:szCs w:val="24"/>
        </w:rPr>
        <w:t xml:space="preserve">Provozní </w:t>
      </w:r>
      <w:r w:rsidR="00DE4F4A" w:rsidRPr="001A313A">
        <w:rPr>
          <w:rFonts w:ascii="Calibri" w:hAnsi="Calibri" w:cs="Calibri"/>
          <w:bCs/>
          <w:iCs/>
          <w:sz w:val="24"/>
          <w:szCs w:val="24"/>
        </w:rPr>
        <w:t>výdaje</w:t>
      </w:r>
      <w:r w:rsidR="00093B65" w:rsidRPr="001A313A">
        <w:rPr>
          <w:rFonts w:ascii="Calibri" w:hAnsi="Calibri" w:cs="Calibri"/>
          <w:bCs/>
          <w:iCs/>
          <w:sz w:val="24"/>
          <w:szCs w:val="24"/>
        </w:rPr>
        <w:t xml:space="preserve"> za obě pracoviště</w:t>
      </w:r>
      <w:r w:rsidR="00AC5E38" w:rsidRPr="001A313A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="00DA74B7" w:rsidRPr="001A313A">
        <w:rPr>
          <w:rFonts w:ascii="Calibri" w:hAnsi="Calibri" w:cs="Calibri"/>
          <w:sz w:val="24"/>
          <w:szCs w:val="24"/>
        </w:rPr>
        <w:t xml:space="preserve">počty systemizovaných míst v jednotlivých letech a roční </w:t>
      </w:r>
      <w:r w:rsidR="00DE4F4A" w:rsidRPr="001A313A">
        <w:rPr>
          <w:rFonts w:ascii="Calibri" w:hAnsi="Calibri" w:cs="Calibri"/>
          <w:sz w:val="24"/>
          <w:szCs w:val="24"/>
        </w:rPr>
        <w:t>výdaje</w:t>
      </w:r>
      <w:r w:rsidR="00DA74B7" w:rsidRPr="001A313A">
        <w:rPr>
          <w:rFonts w:ascii="Calibri" w:hAnsi="Calibri" w:cs="Calibri"/>
          <w:sz w:val="24"/>
          <w:szCs w:val="24"/>
        </w:rPr>
        <w:t xml:space="preserve"> na </w:t>
      </w:r>
      <w:r w:rsidR="00C50C12">
        <w:rPr>
          <w:rFonts w:ascii="Calibri" w:hAnsi="Calibri" w:cs="Calibri"/>
          <w:sz w:val="24"/>
          <w:szCs w:val="24"/>
        </w:rPr>
        <w:t>jedno</w:t>
      </w:r>
      <w:r w:rsidR="00DA74B7" w:rsidRPr="001A313A">
        <w:rPr>
          <w:rFonts w:ascii="Calibri" w:hAnsi="Calibri" w:cs="Calibri"/>
          <w:sz w:val="24"/>
          <w:szCs w:val="24"/>
        </w:rPr>
        <w:t xml:space="preserve"> systemizované místo </w:t>
      </w:r>
      <w:r w:rsidR="00B903E3" w:rsidRPr="001A313A">
        <w:rPr>
          <w:rFonts w:ascii="Calibri" w:hAnsi="Calibri" w:cs="Calibri"/>
          <w:bCs/>
          <w:iCs/>
          <w:sz w:val="24"/>
          <w:szCs w:val="24"/>
        </w:rPr>
        <w:t>uvádí</w:t>
      </w:r>
      <w:r w:rsidR="00093B65" w:rsidRPr="001A313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B903E3" w:rsidRPr="001A313A">
        <w:rPr>
          <w:rFonts w:ascii="Calibri" w:hAnsi="Calibri" w:cs="Calibri"/>
          <w:bCs/>
          <w:iCs/>
          <w:sz w:val="24"/>
          <w:szCs w:val="24"/>
        </w:rPr>
        <w:t>tabulka</w:t>
      </w:r>
      <w:r w:rsidR="00093B65" w:rsidRPr="001A313A">
        <w:rPr>
          <w:rFonts w:ascii="Calibri" w:hAnsi="Calibri" w:cs="Calibri"/>
          <w:bCs/>
          <w:iCs/>
          <w:sz w:val="24"/>
          <w:szCs w:val="24"/>
        </w:rPr>
        <w:t xml:space="preserve"> č. </w:t>
      </w:r>
      <w:r w:rsidR="00944A45" w:rsidRPr="001A313A">
        <w:rPr>
          <w:rFonts w:ascii="Calibri" w:hAnsi="Calibri" w:cs="Calibri"/>
          <w:bCs/>
          <w:iCs/>
          <w:sz w:val="24"/>
          <w:szCs w:val="24"/>
        </w:rPr>
        <w:t>6</w:t>
      </w:r>
      <w:r w:rsidR="00093B65" w:rsidRPr="001A313A">
        <w:rPr>
          <w:rFonts w:ascii="Calibri" w:hAnsi="Calibri" w:cs="Calibri"/>
          <w:bCs/>
          <w:iCs/>
          <w:sz w:val="24"/>
          <w:szCs w:val="24"/>
        </w:rPr>
        <w:t>.</w:t>
      </w:r>
    </w:p>
    <w:p w14:paraId="7E81D037" w14:textId="21A073CB" w:rsidR="00093B65" w:rsidRPr="008027A9" w:rsidRDefault="00093B65" w:rsidP="00C50C12">
      <w:pPr>
        <w:keepNext/>
        <w:tabs>
          <w:tab w:val="right" w:pos="9072"/>
        </w:tabs>
        <w:spacing w:before="120" w:after="40" w:line="240" w:lineRule="auto"/>
        <w:ind w:firstLine="567"/>
        <w:jc w:val="both"/>
        <w:rPr>
          <w:rFonts w:ascii="Calibri" w:hAnsi="Calibri" w:cs="Calibri"/>
          <w:b/>
          <w:iCs/>
          <w:sz w:val="24"/>
          <w:szCs w:val="24"/>
        </w:rPr>
      </w:pPr>
      <w:r w:rsidRPr="008027A9">
        <w:rPr>
          <w:rFonts w:ascii="Calibri" w:hAnsi="Calibri" w:cs="Calibri"/>
          <w:b/>
          <w:iCs/>
          <w:sz w:val="24"/>
          <w:szCs w:val="24"/>
        </w:rPr>
        <w:t xml:space="preserve">Tabulka č. </w:t>
      </w:r>
      <w:r w:rsidR="00944A45" w:rsidRPr="008027A9">
        <w:rPr>
          <w:rFonts w:ascii="Calibri" w:hAnsi="Calibri" w:cs="Calibri"/>
          <w:b/>
          <w:iCs/>
          <w:sz w:val="24"/>
          <w:szCs w:val="24"/>
        </w:rPr>
        <w:t>6</w:t>
      </w:r>
      <w:r w:rsidR="00C50C12">
        <w:rPr>
          <w:rFonts w:ascii="Calibri" w:hAnsi="Calibri" w:cs="Calibri"/>
          <w:b/>
          <w:iCs/>
          <w:sz w:val="24"/>
          <w:szCs w:val="24"/>
        </w:rPr>
        <w:t>:</w:t>
      </w:r>
      <w:r w:rsidRPr="008027A9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C34A7E" w:rsidRPr="008027A9">
        <w:rPr>
          <w:rFonts w:ascii="Calibri" w:hAnsi="Calibri" w:cs="Calibri"/>
          <w:b/>
          <w:iCs/>
          <w:sz w:val="24"/>
          <w:szCs w:val="24"/>
        </w:rPr>
        <w:t>Výdaje na</w:t>
      </w:r>
      <w:r w:rsidRPr="008027A9">
        <w:rPr>
          <w:rFonts w:ascii="Calibri" w:hAnsi="Calibri" w:cs="Calibri"/>
          <w:b/>
          <w:iCs/>
          <w:sz w:val="24"/>
          <w:szCs w:val="24"/>
        </w:rPr>
        <w:t xml:space="preserve"> pracoviště Ostrava </w:t>
      </w:r>
      <w:r w:rsidR="00C50C12">
        <w:rPr>
          <w:rFonts w:ascii="Calibri" w:hAnsi="Calibri" w:cs="Calibri"/>
          <w:b/>
          <w:iCs/>
          <w:sz w:val="24"/>
          <w:szCs w:val="24"/>
        </w:rPr>
        <w:tab/>
      </w:r>
      <w:r w:rsidRPr="008027A9">
        <w:rPr>
          <w:rFonts w:ascii="Calibri" w:hAnsi="Calibri" w:cs="Calibri"/>
          <w:b/>
          <w:iCs/>
          <w:sz w:val="24"/>
          <w:szCs w:val="24"/>
        </w:rPr>
        <w:t>(v tis. Kč)</w:t>
      </w:r>
    </w:p>
    <w:tbl>
      <w:tblPr>
        <w:tblW w:w="8505" w:type="dxa"/>
        <w:tblInd w:w="5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27"/>
        <w:gridCol w:w="1028"/>
        <w:gridCol w:w="1027"/>
        <w:gridCol w:w="1028"/>
      </w:tblGrid>
      <w:tr w:rsidR="00240EF6" w:rsidRPr="00B903E3" w14:paraId="489FA13E" w14:textId="77777777" w:rsidTr="0088553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0EC11E" w14:textId="7541BE7F" w:rsidR="00240EF6" w:rsidRPr="00B903E3" w:rsidRDefault="00DE4F4A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Výdaje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E1359A4" w14:textId="77777777" w:rsidR="00240EF6" w:rsidRPr="00B903E3" w:rsidRDefault="00240EF6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2019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762B5D5" w14:textId="77777777" w:rsidR="00240EF6" w:rsidRPr="00B903E3" w:rsidRDefault="00240EF6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60E675C5" w14:textId="77777777" w:rsidR="00240EF6" w:rsidRPr="00B903E3" w:rsidRDefault="00240EF6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440F05E" w14:textId="77777777" w:rsidR="00240EF6" w:rsidRPr="00B903E3" w:rsidRDefault="00240EF6" w:rsidP="008855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2022</w:t>
            </w:r>
          </w:p>
        </w:tc>
      </w:tr>
      <w:tr w:rsidR="004C1018" w:rsidRPr="00B903E3" w14:paraId="3762C8B8" w14:textId="77777777" w:rsidTr="00885530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8D2" w14:textId="4E0591FF" w:rsidR="004C1018" w:rsidRPr="00B903E3" w:rsidRDefault="004C1018" w:rsidP="00885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Provozní </w:t>
            </w:r>
            <w:r w:rsidR="00C34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výdaje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(služby</w:t>
            </w:r>
            <w:r w:rsidR="00C34A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, nájem parkovacích míst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aj.)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8D33" w14:textId="77777777" w:rsidR="004C1018" w:rsidRPr="00B903E3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1 599,22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C05C" w14:textId="77777777" w:rsidR="004C1018" w:rsidRPr="00B903E3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1 583,05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534E" w14:textId="77777777" w:rsidR="004C1018" w:rsidRPr="00B903E3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1 662,70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8E90" w14:textId="77777777" w:rsidR="004C1018" w:rsidRPr="00B903E3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03E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1 692,58</w:t>
            </w:r>
          </w:p>
        </w:tc>
      </w:tr>
      <w:tr w:rsidR="004C1018" w:rsidRPr="00B903E3" w14:paraId="428A75F9" w14:textId="77777777" w:rsidTr="0088553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1234" w14:textId="05283F25" w:rsidR="004C1018" w:rsidRPr="00AC5E38" w:rsidRDefault="004C1018" w:rsidP="00885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et systemizovaných míst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2908" w14:textId="6A1ED06C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176F" w14:textId="3B2EAA15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DD29" w14:textId="083FC239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2DA9" w14:textId="110AA8FA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90</w:t>
            </w:r>
          </w:p>
        </w:tc>
      </w:tr>
      <w:tr w:rsidR="004C1018" w:rsidRPr="00B903E3" w14:paraId="49BAB452" w14:textId="77777777" w:rsidTr="00885530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9FFE" w14:textId="2386E626" w:rsidR="004C1018" w:rsidRPr="00AC5E38" w:rsidRDefault="004C1018" w:rsidP="008855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Roční </w:t>
            </w:r>
            <w:r w:rsidR="00DE4F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výdaje</w:t>
            </w: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</w:t>
            </w:r>
            <w:r w:rsidR="00C50C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jedno</w:t>
            </w: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systemizované místo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B401" w14:textId="0574E4FA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14,81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774F" w14:textId="7080F35B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21,99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EF95" w14:textId="1E04CE2A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18,47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17D2" w14:textId="3965EE82" w:rsidR="004C1018" w:rsidRPr="00AC5E38" w:rsidRDefault="004C1018" w:rsidP="008855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C5E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18,81</w:t>
            </w:r>
          </w:p>
        </w:tc>
      </w:tr>
    </w:tbl>
    <w:p w14:paraId="78F9BABA" w14:textId="09380A83" w:rsidR="00093B65" w:rsidRPr="00B903E3" w:rsidRDefault="00093B65" w:rsidP="00885530">
      <w:pPr>
        <w:spacing w:before="40" w:after="120" w:line="24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35544F">
        <w:rPr>
          <w:rFonts w:ascii="Calibri" w:hAnsi="Calibri" w:cs="Calibri"/>
          <w:b/>
          <w:bCs/>
          <w:sz w:val="20"/>
          <w:szCs w:val="20"/>
        </w:rPr>
        <w:t>Zdroj:</w:t>
      </w:r>
      <w:r w:rsidRPr="00B903E3">
        <w:rPr>
          <w:rFonts w:ascii="Calibri" w:hAnsi="Calibri" w:cs="Calibri"/>
          <w:sz w:val="20"/>
          <w:szCs w:val="20"/>
        </w:rPr>
        <w:t xml:space="preserve"> </w:t>
      </w:r>
      <w:r w:rsidR="00C50C12">
        <w:rPr>
          <w:rFonts w:ascii="Calibri" w:hAnsi="Calibri" w:cs="Calibri"/>
          <w:sz w:val="20"/>
          <w:szCs w:val="20"/>
        </w:rPr>
        <w:t>i</w:t>
      </w:r>
      <w:r w:rsidR="00B903E3">
        <w:rPr>
          <w:rFonts w:ascii="Calibri" w:hAnsi="Calibri" w:cs="Calibri"/>
          <w:sz w:val="20"/>
          <w:szCs w:val="20"/>
        </w:rPr>
        <w:t>nformace</w:t>
      </w:r>
      <w:r w:rsidRPr="00B903E3">
        <w:rPr>
          <w:rFonts w:ascii="Calibri" w:hAnsi="Calibri" w:cs="Calibri"/>
          <w:sz w:val="20"/>
          <w:szCs w:val="20"/>
        </w:rPr>
        <w:t xml:space="preserve"> ERÚ</w:t>
      </w:r>
      <w:r w:rsidR="006453F3">
        <w:rPr>
          <w:rFonts w:ascii="Calibri" w:hAnsi="Calibri" w:cs="Calibri"/>
          <w:sz w:val="20"/>
          <w:szCs w:val="20"/>
        </w:rPr>
        <w:t>.</w:t>
      </w:r>
    </w:p>
    <w:p w14:paraId="7634EB68" w14:textId="45F7FABD" w:rsidR="00F14702" w:rsidRPr="008027A9" w:rsidRDefault="00DE4F4A" w:rsidP="008027A9">
      <w:pPr>
        <w:keepNext/>
        <w:spacing w:before="240"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027A9">
        <w:rPr>
          <w:rFonts w:ascii="Calibri" w:hAnsi="Calibri" w:cs="Calibri"/>
          <w:b/>
          <w:bCs/>
          <w:sz w:val="24"/>
          <w:szCs w:val="24"/>
        </w:rPr>
        <w:t>Výdaje</w:t>
      </w:r>
      <w:r w:rsidR="00F14702" w:rsidRPr="008027A9">
        <w:rPr>
          <w:rFonts w:ascii="Calibri" w:hAnsi="Calibri" w:cs="Calibri"/>
          <w:b/>
          <w:bCs/>
          <w:sz w:val="24"/>
          <w:szCs w:val="24"/>
        </w:rPr>
        <w:t xml:space="preserve"> na </w:t>
      </w:r>
      <w:r w:rsidR="00C50C12">
        <w:rPr>
          <w:rFonts w:ascii="Calibri" w:hAnsi="Calibri" w:cs="Calibri"/>
          <w:b/>
          <w:bCs/>
          <w:sz w:val="24"/>
          <w:szCs w:val="24"/>
        </w:rPr>
        <w:t>jedno</w:t>
      </w:r>
      <w:r w:rsidR="00F14702" w:rsidRPr="008027A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F04D1" w:rsidRPr="008027A9">
        <w:rPr>
          <w:rFonts w:ascii="Calibri" w:hAnsi="Calibri" w:cs="Calibri"/>
          <w:b/>
          <w:bCs/>
          <w:sz w:val="24"/>
          <w:szCs w:val="24"/>
        </w:rPr>
        <w:t>systemizované místo</w:t>
      </w:r>
      <w:r w:rsidR="00F14702" w:rsidRPr="008027A9">
        <w:rPr>
          <w:rFonts w:ascii="Calibri" w:hAnsi="Calibri" w:cs="Calibri"/>
          <w:b/>
          <w:bCs/>
          <w:sz w:val="24"/>
          <w:szCs w:val="24"/>
        </w:rPr>
        <w:t xml:space="preserve"> na dislokovaných pracovištích ERÚ</w:t>
      </w:r>
    </w:p>
    <w:p w14:paraId="1A4D09B5" w14:textId="1D165ADE" w:rsidR="001621AD" w:rsidRPr="001A313A" w:rsidRDefault="001A313A" w:rsidP="001A313A">
      <w:pPr>
        <w:spacing w:after="24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4.41</w:t>
      </w:r>
      <w:r>
        <w:rPr>
          <w:rFonts w:ascii="Calibri" w:hAnsi="Calibri" w:cs="Calibri"/>
          <w:sz w:val="24"/>
          <w:szCs w:val="24"/>
        </w:rPr>
        <w:tab/>
      </w:r>
      <w:r w:rsidR="00F14702" w:rsidRPr="001A313A">
        <w:rPr>
          <w:rFonts w:ascii="Calibri" w:hAnsi="Calibri" w:cs="Calibri"/>
          <w:sz w:val="24"/>
          <w:szCs w:val="24"/>
        </w:rPr>
        <w:t xml:space="preserve">NKÚ zjistil, že roční </w:t>
      </w:r>
      <w:r w:rsidR="00DE4F4A" w:rsidRPr="001A313A">
        <w:rPr>
          <w:rFonts w:ascii="Calibri" w:hAnsi="Calibri" w:cs="Calibri"/>
          <w:sz w:val="24"/>
          <w:szCs w:val="24"/>
        </w:rPr>
        <w:t>výdaje</w:t>
      </w:r>
      <w:r w:rsidR="00981402" w:rsidRPr="001A313A">
        <w:rPr>
          <w:rFonts w:ascii="Calibri" w:hAnsi="Calibri" w:cs="Calibri"/>
          <w:sz w:val="24"/>
          <w:szCs w:val="24"/>
        </w:rPr>
        <w:t xml:space="preserve"> na </w:t>
      </w:r>
      <w:r w:rsidR="001B23B7">
        <w:rPr>
          <w:rFonts w:ascii="Calibri" w:hAnsi="Calibri" w:cs="Calibri"/>
          <w:sz w:val="24"/>
          <w:szCs w:val="24"/>
        </w:rPr>
        <w:t>jedno</w:t>
      </w:r>
      <w:r w:rsidR="00981402" w:rsidRPr="001A313A">
        <w:rPr>
          <w:rFonts w:ascii="Calibri" w:hAnsi="Calibri" w:cs="Calibri"/>
          <w:sz w:val="24"/>
          <w:szCs w:val="24"/>
        </w:rPr>
        <w:t xml:space="preserve"> </w:t>
      </w:r>
      <w:r w:rsidR="003F04D1" w:rsidRPr="001A313A">
        <w:rPr>
          <w:rFonts w:ascii="Calibri" w:hAnsi="Calibri" w:cs="Calibri"/>
          <w:sz w:val="24"/>
          <w:szCs w:val="24"/>
        </w:rPr>
        <w:t>systemizované místo</w:t>
      </w:r>
      <w:r w:rsidR="00981402" w:rsidRPr="001A313A">
        <w:rPr>
          <w:rFonts w:ascii="Calibri" w:hAnsi="Calibri" w:cs="Calibri"/>
          <w:sz w:val="24"/>
          <w:szCs w:val="24"/>
        </w:rPr>
        <w:t xml:space="preserve"> spojené s</w:t>
      </w:r>
      <w:r w:rsidR="00C34A7E" w:rsidRPr="001A313A">
        <w:rPr>
          <w:rFonts w:ascii="Calibri" w:hAnsi="Calibri" w:cs="Calibri"/>
          <w:sz w:val="24"/>
          <w:szCs w:val="24"/>
        </w:rPr>
        <w:t xml:space="preserve"> </w:t>
      </w:r>
      <w:r w:rsidR="00981402" w:rsidRPr="001A313A">
        <w:rPr>
          <w:rFonts w:ascii="Calibri" w:hAnsi="Calibri" w:cs="Calibri"/>
          <w:sz w:val="24"/>
          <w:szCs w:val="24"/>
        </w:rPr>
        <w:t>užíváním prostor dislokovaných pracovišť</w:t>
      </w:r>
      <w:r w:rsidR="004C4DC3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</w:t>
      </w:r>
      <w:r w:rsidR="009814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byly </w:t>
      </w:r>
      <w:r w:rsidR="00F14702" w:rsidRPr="001A313A">
        <w:rPr>
          <w:rFonts w:ascii="Calibri" w:hAnsi="Calibri" w:cs="Calibri"/>
          <w:sz w:val="24"/>
          <w:szCs w:val="24"/>
        </w:rPr>
        <w:t xml:space="preserve">na 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pracovišti Praha </w:t>
      </w:r>
      <w:r w:rsidR="009814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až osminásobně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vyšší</w:t>
      </w:r>
      <w:r w:rsidR="004C4DC3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než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na pracovišti Ostrava. Rozdíl byl způsoben především skutečností, že pracoviště Ostrava sídl</w:t>
      </w:r>
      <w:r w:rsidR="003F04D1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ilo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v nebytových prostorách ve vlastnictví státu a</w:t>
      </w:r>
      <w:r w:rsidR="00994313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ERÚ za tyto prostory nehrad</w:t>
      </w:r>
      <w:r w:rsidR="003F04D1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il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nájemné, zatímco pracoviště Praha sídl</w:t>
      </w:r>
      <w:r w:rsidR="003F04D1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ilo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v komerčních nebytových prostorách a ERÚ hrad</w:t>
      </w:r>
      <w:r w:rsidR="003F04D1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il </w:t>
      </w:r>
      <w:r w:rsidR="00F14702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komerční nájemné.</w:t>
      </w:r>
      <w:r w:rsidR="008D2673" w:rsidRPr="001A313A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 xml:space="preserve"> </w:t>
      </w:r>
      <w:r w:rsidR="008D2673" w:rsidRPr="001A313A">
        <w:rPr>
          <w:rFonts w:ascii="Calibri" w:eastAsia="Calibri" w:hAnsi="Calibri" w:cs="Calibri"/>
          <w:kern w:val="0"/>
          <w:sz w:val="24"/>
          <w:szCs w:val="24"/>
          <w14:ligatures w14:val="none"/>
        </w:rPr>
        <w:t>NKÚ nezjistil neúčelné ani</w:t>
      </w:r>
      <w:r w:rsidR="001B23B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8D2673" w:rsidRPr="001A313A">
        <w:rPr>
          <w:rFonts w:ascii="Calibri" w:eastAsia="Calibri" w:hAnsi="Calibri" w:cs="Calibri"/>
          <w:kern w:val="0"/>
          <w:sz w:val="24"/>
          <w:szCs w:val="24"/>
          <w14:ligatures w14:val="none"/>
        </w:rPr>
        <w:t>nehospodárné vynakládání peněžních prostředků na provozní výdaje dislokovaných pracovišť.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DE4" w:rsidRPr="00664DE4" w14:paraId="4DB256EE" w14:textId="77777777" w:rsidTr="00664DE4">
        <w:trPr>
          <w:trHeight w:val="3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0AB" w14:textId="77777777" w:rsidR="00CF1CA7" w:rsidRPr="00664DE4" w:rsidRDefault="00CF1CA7" w:rsidP="000A10E2">
            <w:pPr>
              <w:pStyle w:val="Nadpis2"/>
              <w:numPr>
                <w:ilvl w:val="0"/>
                <w:numId w:val="20"/>
              </w:numPr>
              <w:spacing w:before="0" w:after="0"/>
              <w:ind w:left="454" w:hanging="284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bookmarkStart w:id="14" w:name="_Hlk192492507"/>
            <w:r w:rsidRPr="00664DE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Evidence, inventarizace a vyřazování majetku</w:t>
            </w:r>
          </w:p>
        </w:tc>
      </w:tr>
    </w:tbl>
    <w:bookmarkEnd w:id="14"/>
    <w:p w14:paraId="01D14CCC" w14:textId="7DA8B0DD" w:rsidR="00CF1CA7" w:rsidRPr="000A10E2" w:rsidRDefault="000A10E2" w:rsidP="000A10E2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Aptos" w:hAnsi="Calibri" w:cs="Calibri"/>
          <w:sz w:val="24"/>
          <w:szCs w:val="24"/>
        </w:rPr>
        <w:t>4.42</w:t>
      </w:r>
      <w:r>
        <w:rPr>
          <w:rFonts w:ascii="Calibri" w:eastAsia="Aptos" w:hAnsi="Calibri" w:cs="Calibri"/>
          <w:sz w:val="24"/>
          <w:szCs w:val="24"/>
        </w:rPr>
        <w:tab/>
      </w:r>
      <w:r w:rsidR="00CF1CA7" w:rsidRPr="000A10E2">
        <w:rPr>
          <w:rFonts w:ascii="Calibri" w:eastAsia="Aptos" w:hAnsi="Calibri" w:cs="Calibri"/>
          <w:sz w:val="24"/>
          <w:szCs w:val="24"/>
        </w:rPr>
        <w:t>NKÚ ověřoval, zda ERÚ v souladu s § 14 odst. 2 zákona č. 219/2000 Sb. vedl v kontrolovaném období let 2019</w:t>
      </w:r>
      <w:r w:rsidR="001B23B7">
        <w:rPr>
          <w:rFonts w:ascii="Calibri" w:eastAsia="Aptos" w:hAnsi="Calibri" w:cs="Calibri"/>
          <w:sz w:val="24"/>
          <w:szCs w:val="24"/>
        </w:rPr>
        <w:t>–</w:t>
      </w:r>
      <w:r w:rsidR="00CF1CA7" w:rsidRPr="000A10E2">
        <w:rPr>
          <w:rFonts w:ascii="Calibri" w:eastAsia="Aptos" w:hAnsi="Calibri" w:cs="Calibri"/>
          <w:sz w:val="24"/>
          <w:szCs w:val="24"/>
        </w:rPr>
        <w:t xml:space="preserve">2022 řádnou evidenci majetku a </w:t>
      </w:r>
      <w:r w:rsidR="00CF1CA7" w:rsidRPr="000A10E2">
        <w:rPr>
          <w:rFonts w:ascii="Calibri" w:hAnsi="Calibri" w:cs="Calibri"/>
          <w:sz w:val="24"/>
          <w:szCs w:val="24"/>
        </w:rPr>
        <w:t>prováděl řádnou inventarizaci majetku v souladu s § 29 a § 30 zákona č. 563/1991 Sb. a jeho prováděcí vyhláškou č. 270/2010 Sb.</w:t>
      </w:r>
      <w:r w:rsidR="00CF1CA7" w:rsidRPr="000A10E2">
        <w:rPr>
          <w:rFonts w:ascii="Calibri" w:hAnsi="Calibri" w:cs="Calibri"/>
        </w:rPr>
        <w:t xml:space="preserve"> </w:t>
      </w:r>
      <w:r w:rsidR="00CF1CA7" w:rsidRPr="000A10E2">
        <w:rPr>
          <w:rFonts w:ascii="Calibri" w:hAnsi="Calibri" w:cs="Calibri"/>
          <w:sz w:val="24"/>
          <w:szCs w:val="24"/>
        </w:rPr>
        <w:t>NKÚ dále ověřoval, zda ERÚ postupoval při vyřazování majetku v souladu se zákonem č. 219/2000 Sb. a jeho prováděcí vyhláškou č. 62/2001 Sb.</w:t>
      </w:r>
    </w:p>
    <w:p w14:paraId="557BE9E7" w14:textId="4B9613A8" w:rsidR="00CF1CA7" w:rsidRPr="000A10E2" w:rsidRDefault="000A10E2" w:rsidP="000A10E2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4.43</w:t>
      </w:r>
      <w:r>
        <w:rPr>
          <w:rFonts w:ascii="Calibri" w:hAnsi="Calibri" w:cs="Calibri"/>
          <w:sz w:val="24"/>
          <w:szCs w:val="24"/>
        </w:rPr>
        <w:tab/>
      </w:r>
      <w:r w:rsidR="00CF1CA7" w:rsidRPr="000A10E2">
        <w:rPr>
          <w:rFonts w:ascii="Calibri" w:hAnsi="Calibri" w:cs="Calibri"/>
          <w:sz w:val="24"/>
          <w:szCs w:val="24"/>
        </w:rPr>
        <w:t>NKÚ na vzorku 25 položek majetku (vybraných náhodným výběrem ze vzorku pořízeného majetku vybraného ke kontrole v rámci bodu B. a doplněného o položky staveb a pozemků) ověřil, že ERÚ vedl řádnou evidenci majetku</w:t>
      </w:r>
      <w:r w:rsidR="000E3105" w:rsidRPr="000A10E2">
        <w:rPr>
          <w:rFonts w:ascii="Calibri" w:hAnsi="Calibri" w:cs="Calibri"/>
          <w:sz w:val="24"/>
          <w:szCs w:val="24"/>
        </w:rPr>
        <w:t>,</w:t>
      </w:r>
      <w:r w:rsidR="00CF1CA7" w:rsidRPr="000A10E2">
        <w:rPr>
          <w:rFonts w:ascii="Calibri" w:hAnsi="Calibri" w:cs="Calibri"/>
          <w:sz w:val="24"/>
          <w:szCs w:val="24"/>
        </w:rPr>
        <w:t xml:space="preserve"> a dále ověřil, že ERÚ provedl </w:t>
      </w:r>
      <w:r w:rsidR="00CF1CA7" w:rsidRPr="000A10E2">
        <w:rPr>
          <w:rFonts w:ascii="Calibri" w:hAnsi="Calibri" w:cs="Calibri"/>
          <w:sz w:val="24"/>
          <w:szCs w:val="24"/>
        </w:rPr>
        <w:lastRenderedPageBreak/>
        <w:t>v kontrolovaném období let 2019</w:t>
      </w:r>
      <w:r w:rsidR="001B23B7">
        <w:rPr>
          <w:rFonts w:ascii="Calibri" w:eastAsia="Aptos" w:hAnsi="Calibri" w:cs="Calibri"/>
          <w:sz w:val="24"/>
          <w:szCs w:val="24"/>
        </w:rPr>
        <w:t>–</w:t>
      </w:r>
      <w:r w:rsidR="00CF1CA7" w:rsidRPr="000A10E2">
        <w:rPr>
          <w:rFonts w:ascii="Calibri" w:hAnsi="Calibri" w:cs="Calibri"/>
          <w:sz w:val="24"/>
          <w:szCs w:val="24"/>
        </w:rPr>
        <w:t>2022 vždy řádnou inventarizaci majetku k</w:t>
      </w:r>
      <w:r w:rsidR="00885530" w:rsidRPr="000A10E2">
        <w:rPr>
          <w:rFonts w:ascii="Calibri" w:hAnsi="Calibri" w:cs="Calibri"/>
          <w:sz w:val="24"/>
          <w:szCs w:val="24"/>
        </w:rPr>
        <w:t> </w:t>
      </w:r>
      <w:r w:rsidR="00CF1CA7" w:rsidRPr="000A10E2">
        <w:rPr>
          <w:rFonts w:ascii="Calibri" w:hAnsi="Calibri" w:cs="Calibri"/>
          <w:sz w:val="24"/>
          <w:szCs w:val="24"/>
        </w:rPr>
        <w:t>31. 12.</w:t>
      </w:r>
      <w:r w:rsidR="00885530" w:rsidRPr="000A10E2">
        <w:rPr>
          <w:rFonts w:ascii="Calibri" w:hAnsi="Calibri" w:cs="Calibri"/>
          <w:sz w:val="24"/>
          <w:szCs w:val="24"/>
        </w:rPr>
        <w:t> </w:t>
      </w:r>
      <w:r w:rsidR="00CF1CA7" w:rsidRPr="000A10E2">
        <w:rPr>
          <w:rFonts w:ascii="Calibri" w:hAnsi="Calibri" w:cs="Calibri"/>
          <w:sz w:val="24"/>
          <w:szCs w:val="24"/>
        </w:rPr>
        <w:t>příslušného roku v souladu s právními předpisy.</w:t>
      </w:r>
    </w:p>
    <w:p w14:paraId="3C302588" w14:textId="577CFA28" w:rsidR="00CF1CA7" w:rsidRPr="000A10E2" w:rsidRDefault="000A10E2" w:rsidP="000A10E2">
      <w:pPr>
        <w:spacing w:before="120" w:after="24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4.44</w:t>
      </w:r>
      <w:r>
        <w:rPr>
          <w:rFonts w:ascii="Calibri" w:hAnsi="Calibri" w:cs="Calibri"/>
          <w:sz w:val="24"/>
          <w:szCs w:val="24"/>
        </w:rPr>
        <w:tab/>
      </w:r>
      <w:r w:rsidR="00CF1CA7" w:rsidRPr="000A10E2">
        <w:rPr>
          <w:rFonts w:ascii="Calibri" w:hAnsi="Calibri" w:cs="Calibri"/>
          <w:sz w:val="24"/>
          <w:szCs w:val="24"/>
        </w:rPr>
        <w:t>NKÚ ověřoval postup ERÚ při vyřazování majetku na vzorku 61 položek vyřazeného majetku. Do vzorku byly vybrány všechny bezúplatné převody majetku (38 položek) a vzorek 23 položek majetku vyřazeného likvidací. K prodeji majetku v kontrolovaném období nedošlo. Celkem NKÚ ověřil vyřazení majetku v celkové pořizovací ceně 20 216 869,06 Kč, což představ</w:t>
      </w:r>
      <w:r w:rsidR="000E3105" w:rsidRPr="000A10E2">
        <w:rPr>
          <w:rFonts w:ascii="Calibri" w:hAnsi="Calibri" w:cs="Calibri"/>
          <w:sz w:val="24"/>
          <w:szCs w:val="24"/>
        </w:rPr>
        <w:t>ovalo</w:t>
      </w:r>
      <w:r w:rsidR="00CF1CA7" w:rsidRPr="000A10E2">
        <w:rPr>
          <w:rFonts w:ascii="Calibri" w:hAnsi="Calibri" w:cs="Calibri"/>
          <w:sz w:val="24"/>
          <w:szCs w:val="24"/>
        </w:rPr>
        <w:t xml:space="preserve"> cca 63 % celkové hodnoty majetku vyřazeného v letech 2019</w:t>
      </w:r>
      <w:r w:rsidR="001B23B7">
        <w:rPr>
          <w:rFonts w:ascii="Calibri" w:eastAsia="Aptos" w:hAnsi="Calibri" w:cs="Calibri"/>
          <w:sz w:val="24"/>
          <w:szCs w:val="24"/>
        </w:rPr>
        <w:t>–</w:t>
      </w:r>
      <w:r w:rsidR="00CF1CA7" w:rsidRPr="000A10E2">
        <w:rPr>
          <w:rFonts w:ascii="Calibri" w:hAnsi="Calibri" w:cs="Calibri"/>
          <w:sz w:val="24"/>
          <w:szCs w:val="24"/>
        </w:rPr>
        <w:t>2022.</w:t>
      </w:r>
      <w:r w:rsidR="00CF1CA7" w:rsidRPr="000A10E2">
        <w:rPr>
          <w:rFonts w:ascii="Calibri" w:hAnsi="Calibri" w:cs="Calibri"/>
        </w:rPr>
        <w:t xml:space="preserve"> </w:t>
      </w:r>
      <w:r w:rsidR="00CF1CA7" w:rsidRPr="000A10E2">
        <w:rPr>
          <w:rFonts w:ascii="Calibri" w:hAnsi="Calibri" w:cs="Calibri"/>
          <w:sz w:val="24"/>
          <w:szCs w:val="24"/>
        </w:rPr>
        <w:t>NKÚ na vybraném vzorku ověřil, že ERÚ postupoval při vyřazování majetku v souladu s právními předpisy.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DE4" w:rsidRPr="00664DE4" w14:paraId="3063601B" w14:textId="77777777" w:rsidTr="00664DE4">
        <w:trPr>
          <w:trHeight w:val="3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080" w14:textId="222FB487" w:rsidR="00A7786D" w:rsidRPr="00664DE4" w:rsidRDefault="00A7786D" w:rsidP="000A10E2">
            <w:pPr>
              <w:pStyle w:val="Nadpis2"/>
              <w:numPr>
                <w:ilvl w:val="0"/>
                <w:numId w:val="20"/>
              </w:numPr>
              <w:spacing w:before="0" w:after="0"/>
              <w:ind w:left="454" w:hanging="284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4DE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Pohledávky a jejich vymáhání</w:t>
            </w:r>
          </w:p>
        </w:tc>
      </w:tr>
    </w:tbl>
    <w:p w14:paraId="6FD68F22" w14:textId="3554AF5B" w:rsidR="0052654F" w:rsidRPr="000A10E2" w:rsidRDefault="000A10E2" w:rsidP="000A10E2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4.45</w:t>
      </w:r>
      <w:r>
        <w:rPr>
          <w:rFonts w:ascii="Calibri" w:hAnsi="Calibri" w:cs="Calibri"/>
          <w:sz w:val="24"/>
          <w:szCs w:val="24"/>
        </w:rPr>
        <w:tab/>
      </w:r>
      <w:r w:rsidR="0052654F" w:rsidRPr="000A10E2">
        <w:rPr>
          <w:rFonts w:ascii="Calibri" w:hAnsi="Calibri" w:cs="Calibri"/>
          <w:sz w:val="24"/>
          <w:szCs w:val="24"/>
        </w:rPr>
        <w:t xml:space="preserve">NKÚ ověřoval, jakým způsobem ERÚ postupoval při vymáhání pohledávek vzniklých z neuhrazených pokut vyměřených ve správním řízení, které zároveň </w:t>
      </w:r>
      <w:r w:rsidR="0052654F" w:rsidRPr="000A10E2">
        <w:rPr>
          <w:rFonts w:ascii="Calibri" w:hAnsi="Calibri" w:cs="Calibri"/>
          <w:iCs/>
          <w:sz w:val="24"/>
          <w:szCs w:val="24"/>
        </w:rPr>
        <w:t>nebyly v rámci tzv. dělené správy předávány k vymáhání Celnímu úřadu pro Kraj Vysočina.</w:t>
      </w:r>
    </w:p>
    <w:p w14:paraId="6B813C11" w14:textId="01FEE488" w:rsidR="00872F8A" w:rsidRPr="000A10E2" w:rsidRDefault="000A10E2" w:rsidP="000A10E2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4.46</w:t>
      </w:r>
      <w:r>
        <w:rPr>
          <w:rFonts w:ascii="Calibri" w:hAnsi="Calibri" w:cs="Calibri"/>
          <w:sz w:val="24"/>
          <w:szCs w:val="24"/>
        </w:rPr>
        <w:tab/>
      </w:r>
      <w:r w:rsidR="00872F8A" w:rsidRPr="000A10E2">
        <w:rPr>
          <w:rFonts w:ascii="Calibri" w:hAnsi="Calibri" w:cs="Calibri"/>
          <w:sz w:val="24"/>
          <w:szCs w:val="24"/>
        </w:rPr>
        <w:t xml:space="preserve">NKÚ ověřoval </w:t>
      </w:r>
      <w:r w:rsidR="00872F8A" w:rsidRPr="000A10E2">
        <w:rPr>
          <w:rFonts w:ascii="Calibri" w:hAnsi="Calibri" w:cs="Calibri"/>
          <w:iCs/>
          <w:sz w:val="24"/>
          <w:szCs w:val="24"/>
        </w:rPr>
        <w:t>p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ostup ERÚ </w:t>
      </w:r>
      <w:r w:rsidR="0052654F" w:rsidRPr="000A10E2">
        <w:rPr>
          <w:rFonts w:ascii="Calibri" w:hAnsi="Calibri" w:cs="Calibri"/>
          <w:sz w:val="24"/>
          <w:szCs w:val="24"/>
        </w:rPr>
        <w:t xml:space="preserve">při vymáhání pohledávek na vzorku 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10 pohledávek </w:t>
      </w:r>
      <w:r w:rsidR="0052654F" w:rsidRPr="000A10E2">
        <w:rPr>
          <w:rFonts w:ascii="Calibri" w:hAnsi="Calibri" w:cs="Calibri"/>
          <w:sz w:val="24"/>
          <w:szCs w:val="24"/>
        </w:rPr>
        <w:t xml:space="preserve">po lhůtě splatnosti k 31. 12. 2022 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v celkové výši </w:t>
      </w:r>
      <w:r w:rsidR="0052654F" w:rsidRPr="000A10E2">
        <w:rPr>
          <w:rFonts w:ascii="Calibri" w:hAnsi="Calibri" w:cs="Calibri"/>
          <w:sz w:val="24"/>
          <w:szCs w:val="24"/>
        </w:rPr>
        <w:t xml:space="preserve">4 708 673 Kč. Výběr vzorku byl proveden dle finanční významnosti pohledávek, rizikovosti a délky vymáhání. Vzorek vybraný ke kontrole představoval </w:t>
      </w:r>
      <w:r w:rsidR="00872F8A" w:rsidRPr="000A10E2">
        <w:rPr>
          <w:rFonts w:ascii="Calibri" w:hAnsi="Calibri" w:cs="Calibri"/>
          <w:sz w:val="24"/>
          <w:szCs w:val="24"/>
        </w:rPr>
        <w:t xml:space="preserve">cca </w:t>
      </w:r>
      <w:r w:rsidR="0052654F" w:rsidRPr="000A10E2">
        <w:rPr>
          <w:rFonts w:ascii="Calibri" w:hAnsi="Calibri" w:cs="Calibri"/>
          <w:sz w:val="24"/>
          <w:szCs w:val="24"/>
        </w:rPr>
        <w:t>4</w:t>
      </w:r>
      <w:r w:rsidR="00872F8A" w:rsidRPr="000A10E2">
        <w:rPr>
          <w:rFonts w:ascii="Calibri" w:hAnsi="Calibri" w:cs="Calibri"/>
          <w:sz w:val="24"/>
          <w:szCs w:val="24"/>
        </w:rPr>
        <w:t>9</w:t>
      </w:r>
      <w:r w:rsidR="0052654F" w:rsidRPr="000A10E2">
        <w:rPr>
          <w:rFonts w:ascii="Calibri" w:hAnsi="Calibri" w:cs="Calibri"/>
          <w:sz w:val="24"/>
          <w:szCs w:val="24"/>
        </w:rPr>
        <w:t> % z celkového objemu pohledávek evidovaných ke konci roku 2022.</w:t>
      </w:r>
      <w:r w:rsidR="00872F8A" w:rsidRPr="000A10E2">
        <w:rPr>
          <w:rFonts w:ascii="Calibri" w:hAnsi="Calibri" w:cs="Calibri"/>
          <w:iCs/>
          <w:sz w:val="24"/>
          <w:szCs w:val="24"/>
        </w:rPr>
        <w:t xml:space="preserve"> NKÚ na vybraném vzorku ověřil, že ERÚ včasným uplatněním a vymáháním pohledávek zajišťoval, aby nedošlo k jejich promlčení nebo zániku.</w:t>
      </w:r>
    </w:p>
    <w:p w14:paraId="3934DEBC" w14:textId="7095C079" w:rsidR="00134431" w:rsidRPr="000A10E2" w:rsidRDefault="000A10E2" w:rsidP="000A10E2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4.47</w:t>
      </w:r>
      <w:r>
        <w:rPr>
          <w:rFonts w:ascii="Calibri" w:hAnsi="Calibri" w:cs="Calibri"/>
          <w:iCs/>
          <w:sz w:val="24"/>
          <w:szCs w:val="24"/>
        </w:rPr>
        <w:tab/>
      </w:r>
      <w:r w:rsidR="00872F8A" w:rsidRPr="000A10E2">
        <w:rPr>
          <w:rFonts w:ascii="Calibri" w:hAnsi="Calibri" w:cs="Calibri"/>
          <w:iCs/>
          <w:sz w:val="24"/>
          <w:szCs w:val="24"/>
        </w:rPr>
        <w:t xml:space="preserve">NKÚ </w:t>
      </w:r>
      <w:r w:rsidR="009065DC" w:rsidRPr="000A10E2">
        <w:rPr>
          <w:rFonts w:ascii="Calibri" w:hAnsi="Calibri" w:cs="Calibri"/>
          <w:iCs/>
          <w:sz w:val="24"/>
          <w:szCs w:val="24"/>
        </w:rPr>
        <w:t xml:space="preserve">dále </w:t>
      </w:r>
      <w:r w:rsidR="00872F8A" w:rsidRPr="000A10E2">
        <w:rPr>
          <w:rFonts w:ascii="Calibri" w:hAnsi="Calibri" w:cs="Calibri"/>
          <w:iCs/>
          <w:sz w:val="24"/>
          <w:szCs w:val="24"/>
        </w:rPr>
        <w:t>ověřoval postup ERÚ při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 odepisování pohledávek </w:t>
      </w:r>
      <w:r w:rsidR="00872F8A" w:rsidRPr="000A10E2">
        <w:rPr>
          <w:rFonts w:ascii="Calibri" w:hAnsi="Calibri" w:cs="Calibri"/>
          <w:iCs/>
          <w:sz w:val="24"/>
          <w:szCs w:val="24"/>
        </w:rPr>
        <w:t>na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 vzor</w:t>
      </w:r>
      <w:r w:rsidR="00872F8A" w:rsidRPr="000A10E2">
        <w:rPr>
          <w:rFonts w:ascii="Calibri" w:hAnsi="Calibri" w:cs="Calibri"/>
          <w:iCs/>
          <w:sz w:val="24"/>
          <w:szCs w:val="24"/>
        </w:rPr>
        <w:t xml:space="preserve">ku </w:t>
      </w:r>
      <w:r w:rsidR="001B23B7">
        <w:rPr>
          <w:rFonts w:ascii="Calibri" w:hAnsi="Calibri" w:cs="Calibri"/>
          <w:iCs/>
          <w:sz w:val="24"/>
          <w:szCs w:val="24"/>
        </w:rPr>
        <w:t>pěti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 pohledávek</w:t>
      </w:r>
      <w:r w:rsidR="00F15B7F" w:rsidRPr="000A10E2">
        <w:rPr>
          <w:rFonts w:ascii="Calibri" w:hAnsi="Calibri" w:cs="Calibri"/>
          <w:iCs/>
          <w:sz w:val="24"/>
          <w:szCs w:val="24"/>
        </w:rPr>
        <w:t xml:space="preserve"> v celkové výši </w:t>
      </w:r>
      <w:r w:rsidR="00F15B7F" w:rsidRPr="000A10E2">
        <w:rPr>
          <w:rFonts w:ascii="Calibri" w:hAnsi="Calibri" w:cs="Calibri"/>
          <w:sz w:val="24"/>
          <w:szCs w:val="24"/>
        </w:rPr>
        <w:t>1 161 884,94 Kč</w:t>
      </w:r>
      <w:r w:rsidR="0052654F" w:rsidRPr="000A10E2">
        <w:rPr>
          <w:rFonts w:ascii="Calibri" w:hAnsi="Calibri" w:cs="Calibri"/>
          <w:iCs/>
          <w:sz w:val="24"/>
          <w:szCs w:val="24"/>
        </w:rPr>
        <w:t>, u</w:t>
      </w:r>
      <w:r w:rsidR="00134431" w:rsidRPr="000A10E2">
        <w:rPr>
          <w:rFonts w:ascii="Calibri" w:hAnsi="Calibri" w:cs="Calibri"/>
          <w:iCs/>
          <w:sz w:val="24"/>
          <w:szCs w:val="24"/>
        </w:rPr>
        <w:t> </w:t>
      </w:r>
      <w:r w:rsidR="0052654F" w:rsidRPr="000A10E2">
        <w:rPr>
          <w:rFonts w:ascii="Calibri" w:hAnsi="Calibri" w:cs="Calibri"/>
          <w:iCs/>
          <w:sz w:val="24"/>
          <w:szCs w:val="24"/>
        </w:rPr>
        <w:t>kterých ERÚ upustil od vymáhání, resp. které odepsal pro nedobytnost v letech 2019</w:t>
      </w:r>
      <w:r w:rsidR="006453F3" w:rsidRPr="000A10E2">
        <w:rPr>
          <w:rFonts w:ascii="Calibri" w:hAnsi="Calibri" w:cs="Calibri"/>
          <w:iCs/>
          <w:sz w:val="24"/>
          <w:szCs w:val="24"/>
        </w:rPr>
        <w:t>–</w:t>
      </w:r>
      <w:r w:rsidR="0052654F" w:rsidRPr="000A10E2">
        <w:rPr>
          <w:rFonts w:ascii="Calibri" w:hAnsi="Calibri" w:cs="Calibri"/>
          <w:iCs/>
          <w:sz w:val="24"/>
          <w:szCs w:val="24"/>
        </w:rPr>
        <w:t>2022</w:t>
      </w:r>
      <w:r w:rsidR="00F15B7F" w:rsidRPr="000A10E2">
        <w:rPr>
          <w:rFonts w:ascii="Calibri" w:hAnsi="Calibri" w:cs="Calibri"/>
          <w:iCs/>
          <w:sz w:val="24"/>
          <w:szCs w:val="24"/>
        </w:rPr>
        <w:t>.</w:t>
      </w:r>
      <w:r w:rsidR="00134431" w:rsidRPr="000A10E2">
        <w:rPr>
          <w:rFonts w:ascii="Calibri" w:hAnsi="Calibri" w:cs="Calibri"/>
          <w:iCs/>
          <w:sz w:val="24"/>
          <w:szCs w:val="24"/>
        </w:rPr>
        <w:t xml:space="preserve"> </w:t>
      </w:r>
      <w:r w:rsidR="0052654F" w:rsidRPr="000A10E2">
        <w:rPr>
          <w:rFonts w:ascii="Calibri" w:hAnsi="Calibri" w:cs="Calibri"/>
          <w:iCs/>
          <w:sz w:val="24"/>
          <w:szCs w:val="24"/>
        </w:rPr>
        <w:t>Výběr byl proveden dle finanční významnosti vyřazené pohledávky a rizikovosti.</w:t>
      </w:r>
      <w:r w:rsidR="0052654F" w:rsidRPr="000A10E2">
        <w:rPr>
          <w:rFonts w:ascii="Calibri" w:hAnsi="Calibri" w:cs="Calibri"/>
          <w:sz w:val="24"/>
          <w:szCs w:val="24"/>
        </w:rPr>
        <w:t xml:space="preserve"> Vzorek vybraný ke kontrole představoval </w:t>
      </w:r>
      <w:r w:rsidR="00872F8A" w:rsidRPr="000A10E2">
        <w:rPr>
          <w:rFonts w:ascii="Calibri" w:hAnsi="Calibri" w:cs="Calibri"/>
          <w:sz w:val="24"/>
          <w:szCs w:val="24"/>
        </w:rPr>
        <w:t xml:space="preserve">cca </w:t>
      </w:r>
      <w:r w:rsidR="0052654F" w:rsidRPr="000A10E2">
        <w:rPr>
          <w:rFonts w:ascii="Calibri" w:hAnsi="Calibri" w:cs="Calibri"/>
          <w:sz w:val="24"/>
          <w:szCs w:val="24"/>
        </w:rPr>
        <w:t>3</w:t>
      </w:r>
      <w:r w:rsidR="00872F8A" w:rsidRPr="000A10E2">
        <w:rPr>
          <w:rFonts w:ascii="Calibri" w:hAnsi="Calibri" w:cs="Calibri"/>
          <w:sz w:val="24"/>
          <w:szCs w:val="24"/>
        </w:rPr>
        <w:t>4</w:t>
      </w:r>
      <w:r w:rsidR="0052654F" w:rsidRPr="000A10E2">
        <w:rPr>
          <w:rFonts w:ascii="Calibri" w:hAnsi="Calibri" w:cs="Calibri"/>
          <w:sz w:val="24"/>
          <w:szCs w:val="24"/>
        </w:rPr>
        <w:t> % z celkového objemu odepsaných pohledávek.</w:t>
      </w:r>
      <w:r w:rsidR="00872F8A" w:rsidRPr="000A10E2">
        <w:rPr>
          <w:rFonts w:ascii="Calibri" w:hAnsi="Calibri" w:cs="Calibri"/>
          <w:sz w:val="24"/>
          <w:szCs w:val="24"/>
        </w:rPr>
        <w:t xml:space="preserve"> 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NKÚ </w:t>
      </w:r>
      <w:r w:rsidR="00872F8A" w:rsidRPr="000A10E2">
        <w:rPr>
          <w:rFonts w:ascii="Calibri" w:hAnsi="Calibri" w:cs="Calibri"/>
          <w:iCs/>
          <w:sz w:val="24"/>
          <w:szCs w:val="24"/>
        </w:rPr>
        <w:t>na vybraném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 vzorku</w:t>
      </w:r>
      <w:r w:rsidR="00872F8A" w:rsidRPr="000A10E2">
        <w:rPr>
          <w:rFonts w:ascii="Calibri" w:hAnsi="Calibri" w:cs="Calibri"/>
          <w:iCs/>
          <w:sz w:val="24"/>
          <w:szCs w:val="24"/>
        </w:rPr>
        <w:t xml:space="preserve"> 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odepsaných pohledávek ověřil, že ERÚ upustil od vymáhání pouze u prokazatelně nedobytných pohledávek. </w:t>
      </w:r>
    </w:p>
    <w:p w14:paraId="4BE8FF94" w14:textId="1DFC8932" w:rsidR="00A7786D" w:rsidRPr="000A10E2" w:rsidRDefault="000A10E2" w:rsidP="000A10E2">
      <w:pPr>
        <w:spacing w:before="120" w:after="24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4.48</w:t>
      </w:r>
      <w:r>
        <w:rPr>
          <w:rFonts w:ascii="Calibri" w:hAnsi="Calibri" w:cs="Calibri"/>
          <w:iCs/>
          <w:sz w:val="24"/>
          <w:szCs w:val="24"/>
        </w:rPr>
        <w:tab/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NKÚ </w:t>
      </w:r>
      <w:r w:rsidR="009065DC" w:rsidRPr="000A10E2">
        <w:rPr>
          <w:rFonts w:ascii="Calibri" w:hAnsi="Calibri" w:cs="Calibri"/>
          <w:iCs/>
          <w:sz w:val="24"/>
          <w:szCs w:val="24"/>
        </w:rPr>
        <w:t>dále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 ověř</w:t>
      </w:r>
      <w:r w:rsidR="00134431" w:rsidRPr="000A10E2">
        <w:rPr>
          <w:rFonts w:ascii="Calibri" w:hAnsi="Calibri" w:cs="Calibri"/>
          <w:iCs/>
          <w:sz w:val="24"/>
          <w:szCs w:val="24"/>
        </w:rPr>
        <w:t xml:space="preserve">oval 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postup ERÚ při </w:t>
      </w:r>
      <w:r w:rsidR="007A019A" w:rsidRPr="000A10E2">
        <w:rPr>
          <w:rFonts w:ascii="Calibri" w:hAnsi="Calibri" w:cs="Calibri"/>
          <w:iCs/>
          <w:sz w:val="24"/>
          <w:szCs w:val="24"/>
        </w:rPr>
        <w:t xml:space="preserve">vymáhání pohledávky a následném </w:t>
      </w:r>
      <w:r w:rsidR="0052654F" w:rsidRPr="000A10E2">
        <w:rPr>
          <w:rFonts w:ascii="Calibri" w:hAnsi="Calibri" w:cs="Calibri"/>
          <w:iCs/>
          <w:sz w:val="24"/>
          <w:szCs w:val="24"/>
        </w:rPr>
        <w:t xml:space="preserve">soudním řízení vedeném proti ERÚ dodavatelem tepla ve věci uložené pokuty ve výši </w:t>
      </w:r>
      <w:r w:rsidR="0052654F" w:rsidRPr="000A10E2">
        <w:rPr>
          <w:rFonts w:ascii="Calibri" w:hAnsi="Calibri" w:cs="Calibri"/>
          <w:sz w:val="24"/>
          <w:szCs w:val="24"/>
        </w:rPr>
        <w:t>111</w:t>
      </w:r>
      <w:r w:rsidR="00134431" w:rsidRPr="000A10E2">
        <w:rPr>
          <w:rFonts w:ascii="Calibri" w:hAnsi="Calibri" w:cs="Calibri"/>
          <w:sz w:val="24"/>
          <w:szCs w:val="24"/>
        </w:rPr>
        <w:t> </w:t>
      </w:r>
      <w:r w:rsidR="0052654F" w:rsidRPr="000A10E2">
        <w:rPr>
          <w:rFonts w:ascii="Calibri" w:hAnsi="Calibri" w:cs="Calibri"/>
          <w:sz w:val="24"/>
          <w:szCs w:val="24"/>
        </w:rPr>
        <w:t>286</w:t>
      </w:r>
      <w:r w:rsidR="00134431" w:rsidRPr="000A10E2">
        <w:rPr>
          <w:rFonts w:ascii="Calibri" w:hAnsi="Calibri" w:cs="Calibri"/>
          <w:sz w:val="24"/>
          <w:szCs w:val="24"/>
        </w:rPr>
        <w:t> </w:t>
      </w:r>
      <w:r w:rsidR="0052654F" w:rsidRPr="000A10E2">
        <w:rPr>
          <w:rFonts w:ascii="Calibri" w:hAnsi="Calibri" w:cs="Calibri"/>
          <w:sz w:val="24"/>
          <w:szCs w:val="24"/>
        </w:rPr>
        <w:t>907 Kč, náhrady nákladů řízení ve výši 1 000 Kč a uloženým opatřením k nápravě.</w:t>
      </w:r>
      <w:r w:rsidR="00134431" w:rsidRPr="000A10E2">
        <w:rPr>
          <w:rFonts w:ascii="Calibri" w:hAnsi="Calibri" w:cs="Calibri"/>
          <w:sz w:val="24"/>
          <w:szCs w:val="24"/>
        </w:rPr>
        <w:t xml:space="preserve"> </w:t>
      </w:r>
      <w:r w:rsidR="0052654F" w:rsidRPr="000A10E2">
        <w:rPr>
          <w:rFonts w:ascii="Calibri" w:hAnsi="Calibri" w:cs="Calibri"/>
          <w:iCs/>
          <w:sz w:val="24"/>
          <w:szCs w:val="24"/>
        </w:rPr>
        <w:t>NKÚ ověřil, že ERÚ v</w:t>
      </w:r>
      <w:r w:rsidR="007A019A" w:rsidRPr="000A10E2">
        <w:rPr>
          <w:rFonts w:ascii="Calibri" w:hAnsi="Calibri" w:cs="Calibri"/>
          <w:iCs/>
          <w:sz w:val="24"/>
          <w:szCs w:val="24"/>
        </w:rPr>
        <w:t xml:space="preserve"> </w:t>
      </w:r>
      <w:r w:rsidR="0052654F" w:rsidRPr="000A10E2">
        <w:rPr>
          <w:rFonts w:ascii="Calibri" w:hAnsi="Calibri" w:cs="Calibri"/>
          <w:iCs/>
          <w:sz w:val="24"/>
          <w:szCs w:val="24"/>
        </w:rPr>
        <w:t>případě soudního řízení s dodavatelem tepla podnikl veškeré procesní kroky v</w:t>
      </w:r>
      <w:r w:rsidR="007A019A" w:rsidRPr="000A10E2">
        <w:rPr>
          <w:rFonts w:ascii="Calibri" w:hAnsi="Calibri" w:cs="Calibri"/>
          <w:iCs/>
          <w:sz w:val="24"/>
          <w:szCs w:val="24"/>
        </w:rPr>
        <w:t> </w:t>
      </w:r>
      <w:r w:rsidR="0052654F" w:rsidRPr="000A10E2">
        <w:rPr>
          <w:rFonts w:ascii="Calibri" w:hAnsi="Calibri" w:cs="Calibri"/>
          <w:iCs/>
          <w:sz w:val="24"/>
          <w:szCs w:val="24"/>
        </w:rPr>
        <w:t>souladu s právními předpisy.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DE4" w:rsidRPr="00664DE4" w14:paraId="1D355AC6" w14:textId="77777777" w:rsidTr="00664DE4">
        <w:trPr>
          <w:trHeight w:val="38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1A8" w14:textId="5CD56E02" w:rsidR="00A7786D" w:rsidRPr="00664DE4" w:rsidRDefault="00A7786D" w:rsidP="001B23B7">
            <w:pPr>
              <w:pStyle w:val="Nadpis2"/>
              <w:numPr>
                <w:ilvl w:val="0"/>
                <w:numId w:val="20"/>
              </w:numPr>
              <w:spacing w:before="0" w:after="0"/>
              <w:ind w:left="454" w:hanging="284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64DE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Vnitřní kontrolní systém</w:t>
            </w:r>
          </w:p>
        </w:tc>
      </w:tr>
    </w:tbl>
    <w:p w14:paraId="4D640D29" w14:textId="3C05CA08" w:rsidR="003932AD" w:rsidRPr="000A10E2" w:rsidRDefault="000A10E2" w:rsidP="000A10E2">
      <w:pPr>
        <w:spacing w:before="120" w:after="12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4.49</w:t>
      </w:r>
      <w:r>
        <w:rPr>
          <w:rFonts w:ascii="Calibri" w:hAnsi="Calibri" w:cs="Calibri"/>
          <w:sz w:val="24"/>
          <w:szCs w:val="24"/>
        </w:rPr>
        <w:tab/>
      </w:r>
      <w:r w:rsidR="003932AD" w:rsidRPr="000A10E2">
        <w:rPr>
          <w:rFonts w:ascii="Calibri" w:hAnsi="Calibri" w:cs="Calibri"/>
          <w:sz w:val="24"/>
          <w:szCs w:val="24"/>
        </w:rPr>
        <w:t>NKÚ ověřoval</w:t>
      </w:r>
      <w:r w:rsidR="0052654F" w:rsidRPr="000A10E2">
        <w:rPr>
          <w:rFonts w:ascii="Calibri" w:hAnsi="Calibri" w:cs="Calibri"/>
          <w:sz w:val="24"/>
          <w:szCs w:val="24"/>
        </w:rPr>
        <w:t xml:space="preserve">, zda </w:t>
      </w:r>
      <w:r w:rsidR="001B23B7" w:rsidRPr="000A10E2">
        <w:rPr>
          <w:rFonts w:ascii="Calibri" w:hAnsi="Calibri" w:cs="Calibri"/>
          <w:sz w:val="24"/>
          <w:szCs w:val="24"/>
        </w:rPr>
        <w:t xml:space="preserve">má </w:t>
      </w:r>
      <w:r w:rsidR="0052654F" w:rsidRPr="000A10E2">
        <w:rPr>
          <w:rFonts w:ascii="Calibri" w:hAnsi="Calibri" w:cs="Calibri"/>
          <w:sz w:val="24"/>
          <w:szCs w:val="24"/>
        </w:rPr>
        <w:t xml:space="preserve">ERÚ vytvořený vnitřní kontrolní systém, v organizační struktuře začleněný útvar interního auditu a </w:t>
      </w:r>
      <w:r w:rsidR="003932AD" w:rsidRPr="000A10E2">
        <w:rPr>
          <w:rFonts w:ascii="Calibri" w:hAnsi="Calibri" w:cs="Calibri"/>
          <w:sz w:val="24"/>
          <w:szCs w:val="24"/>
        </w:rPr>
        <w:t>zda</w:t>
      </w:r>
      <w:r w:rsidR="0052654F" w:rsidRPr="000A10E2">
        <w:rPr>
          <w:rFonts w:ascii="Calibri" w:hAnsi="Calibri" w:cs="Calibri"/>
          <w:sz w:val="24"/>
          <w:szCs w:val="24"/>
        </w:rPr>
        <w:t xml:space="preserve"> při schvalovacích postupech postupoval v souladu se </w:t>
      </w:r>
      <w:r w:rsidR="00AD7A45" w:rsidRPr="000A10E2">
        <w:rPr>
          <w:rFonts w:ascii="Calibri" w:eastAsia="Calibri" w:hAnsi="Calibri" w:cs="Calibri"/>
          <w:bCs/>
          <w:iCs/>
          <w:kern w:val="0"/>
          <w:sz w:val="24"/>
          <w:szCs w:val="24"/>
          <w14:ligatures w14:val="none"/>
        </w:rPr>
        <w:t>zákonem č. 320/2001 Sb. a jeho prováděcí vyhláškou č. 416/2004 Sb</w:t>
      </w:r>
      <w:r w:rsidR="0052654F" w:rsidRPr="000A10E2">
        <w:rPr>
          <w:rFonts w:ascii="Calibri" w:hAnsi="Calibri" w:cs="Calibri"/>
          <w:sz w:val="24"/>
          <w:szCs w:val="24"/>
        </w:rPr>
        <w:t xml:space="preserve">. </w:t>
      </w:r>
    </w:p>
    <w:p w14:paraId="075E97C4" w14:textId="00EBDD6B" w:rsidR="0052654F" w:rsidRPr="000A10E2" w:rsidRDefault="000A10E2" w:rsidP="000A10E2">
      <w:pPr>
        <w:spacing w:after="120" w:line="240" w:lineRule="auto"/>
        <w:ind w:left="567" w:hanging="567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4.50</w:t>
      </w:r>
      <w:r>
        <w:rPr>
          <w:rFonts w:ascii="Calibri" w:hAnsi="Calibri" w:cs="Calibri"/>
          <w:bCs/>
          <w:iCs/>
          <w:sz w:val="24"/>
          <w:szCs w:val="24"/>
        </w:rPr>
        <w:tab/>
      </w:r>
      <w:r w:rsidR="004A104C" w:rsidRPr="000A10E2">
        <w:rPr>
          <w:rFonts w:ascii="Calibri" w:hAnsi="Calibri" w:cs="Calibri"/>
          <w:bCs/>
          <w:iCs/>
          <w:sz w:val="24"/>
          <w:szCs w:val="24"/>
        </w:rPr>
        <w:t>NKÚ ověřil</w:t>
      </w:r>
      <w:r w:rsidR="0052654F" w:rsidRPr="000A10E2">
        <w:rPr>
          <w:rFonts w:ascii="Calibri" w:hAnsi="Calibri" w:cs="Calibri"/>
          <w:bCs/>
          <w:iCs/>
          <w:sz w:val="24"/>
          <w:szCs w:val="24"/>
        </w:rPr>
        <w:t xml:space="preserve">, že ERÚ </w:t>
      </w:r>
      <w:r w:rsidR="004A104C" w:rsidRPr="000A10E2">
        <w:rPr>
          <w:rFonts w:ascii="Calibri" w:hAnsi="Calibri" w:cs="Calibri"/>
          <w:bCs/>
          <w:iCs/>
          <w:sz w:val="24"/>
          <w:szCs w:val="24"/>
        </w:rPr>
        <w:t>prováděl</w:t>
      </w:r>
      <w:r w:rsidR="0052654F" w:rsidRPr="000A10E2">
        <w:rPr>
          <w:rFonts w:ascii="Calibri" w:hAnsi="Calibri" w:cs="Calibri"/>
          <w:bCs/>
          <w:iCs/>
          <w:sz w:val="24"/>
          <w:szCs w:val="24"/>
        </w:rPr>
        <w:t xml:space="preserve"> interní audity ve shodě se střednědobými a ročními plány interních auditů, pořizoval zprávy o zjištěních z </w:t>
      </w:r>
      <w:r w:rsidR="004A104C" w:rsidRPr="000A10E2">
        <w:rPr>
          <w:rFonts w:ascii="Calibri" w:hAnsi="Calibri" w:cs="Calibri"/>
          <w:bCs/>
          <w:iCs/>
          <w:sz w:val="24"/>
          <w:szCs w:val="24"/>
        </w:rPr>
        <w:t>provedených</w:t>
      </w:r>
      <w:r w:rsidR="0052654F" w:rsidRPr="000A10E2">
        <w:rPr>
          <w:rFonts w:ascii="Calibri" w:hAnsi="Calibri" w:cs="Calibri"/>
          <w:bCs/>
          <w:iCs/>
          <w:sz w:val="24"/>
          <w:szCs w:val="24"/>
        </w:rPr>
        <w:t xml:space="preserve"> auditů a pře</w:t>
      </w:r>
      <w:r w:rsidR="001B23B7">
        <w:rPr>
          <w:rFonts w:ascii="Calibri" w:hAnsi="Calibri" w:cs="Calibri"/>
          <w:bCs/>
          <w:iCs/>
          <w:sz w:val="24"/>
          <w:szCs w:val="24"/>
        </w:rPr>
        <w:t>d</w:t>
      </w:r>
      <w:r w:rsidR="0052654F" w:rsidRPr="000A10E2">
        <w:rPr>
          <w:rFonts w:ascii="Calibri" w:hAnsi="Calibri" w:cs="Calibri"/>
          <w:bCs/>
          <w:iCs/>
          <w:sz w:val="24"/>
          <w:szCs w:val="24"/>
        </w:rPr>
        <w:t xml:space="preserve">kládal Radě </w:t>
      </w:r>
      <w:r w:rsidR="004A104C" w:rsidRPr="000A10E2">
        <w:rPr>
          <w:rFonts w:ascii="Calibri" w:hAnsi="Calibri" w:cs="Calibri"/>
          <w:bCs/>
          <w:iCs/>
          <w:sz w:val="24"/>
          <w:szCs w:val="24"/>
        </w:rPr>
        <w:t xml:space="preserve">ERÚ </w:t>
      </w:r>
      <w:r w:rsidR="0052654F" w:rsidRPr="000A10E2">
        <w:rPr>
          <w:rFonts w:ascii="Calibri" w:hAnsi="Calibri" w:cs="Calibri"/>
          <w:bCs/>
          <w:iCs/>
          <w:sz w:val="24"/>
          <w:szCs w:val="24"/>
        </w:rPr>
        <w:t>zprávy o výsledcích oddělení interního auditu.</w:t>
      </w:r>
    </w:p>
    <w:p w14:paraId="143449CE" w14:textId="4E13A0AF" w:rsidR="008219BF" w:rsidRPr="002A47F9" w:rsidRDefault="002A47F9" w:rsidP="002A47F9">
      <w:pPr>
        <w:spacing w:after="480" w:line="240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4.51</w:t>
      </w:r>
      <w:r>
        <w:rPr>
          <w:rFonts w:ascii="Calibri" w:hAnsi="Calibri" w:cs="Calibri"/>
          <w:bCs/>
          <w:sz w:val="24"/>
          <w:szCs w:val="24"/>
        </w:rPr>
        <w:tab/>
      </w:r>
      <w:r w:rsidR="008219BF" w:rsidRPr="002A47F9">
        <w:rPr>
          <w:rFonts w:ascii="Calibri" w:hAnsi="Calibri" w:cs="Calibri"/>
          <w:bCs/>
          <w:sz w:val="24"/>
          <w:szCs w:val="24"/>
        </w:rPr>
        <w:t>NKÚ ověřoval provádění říd</w:t>
      </w:r>
      <w:r w:rsidR="002334B2">
        <w:rPr>
          <w:rFonts w:ascii="Calibri" w:hAnsi="Calibri" w:cs="Calibri"/>
          <w:bCs/>
          <w:sz w:val="24"/>
          <w:szCs w:val="24"/>
        </w:rPr>
        <w:t>i</w:t>
      </w:r>
      <w:r w:rsidR="008219BF" w:rsidRPr="002A47F9">
        <w:rPr>
          <w:rFonts w:ascii="Calibri" w:hAnsi="Calibri" w:cs="Calibri"/>
          <w:bCs/>
          <w:sz w:val="24"/>
          <w:szCs w:val="24"/>
        </w:rPr>
        <w:t xml:space="preserve">cí kontroly </w:t>
      </w:r>
      <w:r w:rsidR="008219BF" w:rsidRPr="002A47F9">
        <w:rPr>
          <w:rFonts w:ascii="Calibri" w:hAnsi="Calibri" w:cs="Calibri"/>
          <w:sz w:val="24"/>
          <w:szCs w:val="24"/>
        </w:rPr>
        <w:t>v procesu přípravy finančních operací před jejich schválením, při průběžném sledování uskutečňovaných operací až do jejich konečného vypořádání a vyúčtování a následném prověření vybraných operací v rámci dosažených výsledků a správnosti hospodaření. Ověřování probíhalo v</w:t>
      </w:r>
      <w:r w:rsidR="00831A17" w:rsidRPr="002A47F9">
        <w:rPr>
          <w:rFonts w:ascii="Calibri" w:hAnsi="Calibri" w:cs="Calibri"/>
          <w:sz w:val="24"/>
          <w:szCs w:val="24"/>
        </w:rPr>
        <w:t xml:space="preserve"> </w:t>
      </w:r>
      <w:r w:rsidR="008219BF" w:rsidRPr="002A47F9">
        <w:rPr>
          <w:rFonts w:ascii="Calibri" w:hAnsi="Calibri" w:cs="Calibri"/>
          <w:sz w:val="24"/>
          <w:szCs w:val="24"/>
        </w:rPr>
        <w:t xml:space="preserve">rámci kontroly vybraných </w:t>
      </w:r>
      <w:r w:rsidR="008219BF" w:rsidRPr="002A47F9">
        <w:rPr>
          <w:rFonts w:ascii="Calibri" w:hAnsi="Calibri" w:cs="Calibri"/>
          <w:sz w:val="24"/>
          <w:szCs w:val="24"/>
        </w:rPr>
        <w:lastRenderedPageBreak/>
        <w:t xml:space="preserve">vzorků </w:t>
      </w:r>
      <w:r w:rsidR="00831A17" w:rsidRPr="002A47F9">
        <w:rPr>
          <w:rFonts w:ascii="Calibri" w:hAnsi="Calibri" w:cs="Calibri"/>
          <w:sz w:val="24"/>
          <w:szCs w:val="24"/>
        </w:rPr>
        <w:t>nákupů majetku a</w:t>
      </w:r>
      <w:r w:rsidR="008219BF" w:rsidRPr="002A47F9">
        <w:rPr>
          <w:rFonts w:ascii="Calibri" w:hAnsi="Calibri" w:cs="Calibri"/>
          <w:sz w:val="24"/>
          <w:szCs w:val="24"/>
        </w:rPr>
        <w:t xml:space="preserve"> služeb. </w:t>
      </w:r>
      <w:bookmarkStart w:id="15" w:name="_Hlk193287263"/>
      <w:bookmarkStart w:id="16" w:name="_Hlk190337438"/>
      <w:r w:rsidR="008219BF" w:rsidRPr="002A47F9">
        <w:rPr>
          <w:rFonts w:ascii="Calibri" w:hAnsi="Calibri" w:cs="Calibri"/>
          <w:sz w:val="24"/>
          <w:szCs w:val="24"/>
        </w:rPr>
        <w:t xml:space="preserve">NKÚ na </w:t>
      </w:r>
      <w:r w:rsidR="00831A17" w:rsidRPr="002A47F9">
        <w:rPr>
          <w:rFonts w:ascii="Calibri" w:hAnsi="Calibri" w:cs="Calibri"/>
          <w:sz w:val="24"/>
          <w:szCs w:val="24"/>
        </w:rPr>
        <w:t>vybraných</w:t>
      </w:r>
      <w:r w:rsidR="008219BF" w:rsidRPr="002A47F9">
        <w:rPr>
          <w:rFonts w:ascii="Calibri" w:hAnsi="Calibri" w:cs="Calibri"/>
          <w:sz w:val="24"/>
          <w:szCs w:val="24"/>
        </w:rPr>
        <w:t xml:space="preserve"> vzorcích zjistil, že </w:t>
      </w:r>
      <w:r w:rsidR="00352B22" w:rsidRPr="002A47F9">
        <w:rPr>
          <w:rFonts w:ascii="Calibri" w:hAnsi="Calibri" w:cs="Calibri"/>
          <w:sz w:val="24"/>
          <w:szCs w:val="24"/>
        </w:rPr>
        <w:t xml:space="preserve">ERÚ </w:t>
      </w:r>
      <w:r w:rsidR="008219BF" w:rsidRPr="002A47F9">
        <w:rPr>
          <w:rFonts w:ascii="Calibri" w:hAnsi="Calibri" w:cs="Calibri"/>
          <w:sz w:val="24"/>
          <w:szCs w:val="24"/>
        </w:rPr>
        <w:t>neprovedl</w:t>
      </w:r>
      <w:r w:rsidR="00352B22" w:rsidRPr="002A47F9">
        <w:rPr>
          <w:rFonts w:ascii="Calibri" w:hAnsi="Calibri" w:cs="Calibri"/>
          <w:sz w:val="24"/>
          <w:szCs w:val="24"/>
        </w:rPr>
        <w:t xml:space="preserve"> </w:t>
      </w:r>
      <w:r w:rsidR="009A02F7" w:rsidRPr="002A47F9">
        <w:rPr>
          <w:rFonts w:ascii="Calibri" w:hAnsi="Calibri" w:cs="Calibri"/>
          <w:sz w:val="24"/>
          <w:szCs w:val="24"/>
        </w:rPr>
        <w:t xml:space="preserve">ve </w:t>
      </w:r>
      <w:r w:rsidR="00C50C12">
        <w:rPr>
          <w:rFonts w:ascii="Calibri" w:hAnsi="Calibri" w:cs="Calibri"/>
          <w:sz w:val="24"/>
          <w:szCs w:val="24"/>
        </w:rPr>
        <w:t>čtyřech</w:t>
      </w:r>
      <w:r w:rsidR="009A02F7" w:rsidRPr="002A47F9">
        <w:rPr>
          <w:rFonts w:ascii="Calibri" w:hAnsi="Calibri" w:cs="Calibri"/>
          <w:sz w:val="24"/>
          <w:szCs w:val="24"/>
        </w:rPr>
        <w:t xml:space="preserve"> případech </w:t>
      </w:r>
      <w:r w:rsidR="008219BF" w:rsidRPr="002A47F9">
        <w:rPr>
          <w:rFonts w:ascii="Calibri" w:hAnsi="Calibri" w:cs="Calibri"/>
          <w:sz w:val="24"/>
          <w:szCs w:val="24"/>
        </w:rPr>
        <w:t>řádným způsobem předběžnou říd</w:t>
      </w:r>
      <w:r w:rsidR="002334B2">
        <w:rPr>
          <w:rFonts w:ascii="Calibri" w:hAnsi="Calibri" w:cs="Calibri"/>
          <w:sz w:val="24"/>
          <w:szCs w:val="24"/>
        </w:rPr>
        <w:t>i</w:t>
      </w:r>
      <w:r w:rsidR="008219BF" w:rsidRPr="002A47F9">
        <w:rPr>
          <w:rFonts w:ascii="Calibri" w:hAnsi="Calibri" w:cs="Calibri"/>
          <w:sz w:val="24"/>
          <w:szCs w:val="24"/>
        </w:rPr>
        <w:t>cí kontrolu, když odpovídajícím způsobem neposoudil hospodárnost zvoleného řešení nákupu majetku nebo služby</w:t>
      </w:r>
      <w:bookmarkEnd w:id="15"/>
      <w:r w:rsidR="008219BF" w:rsidRPr="002A47F9">
        <w:rPr>
          <w:rFonts w:ascii="Calibri" w:hAnsi="Calibri" w:cs="Calibri"/>
          <w:sz w:val="24"/>
          <w:szCs w:val="24"/>
        </w:rPr>
        <w:t xml:space="preserve"> (viz odst. 4.1</w:t>
      </w:r>
      <w:r w:rsidR="00060ABA" w:rsidRPr="002A47F9">
        <w:rPr>
          <w:rFonts w:ascii="Calibri" w:hAnsi="Calibri" w:cs="Calibri"/>
          <w:sz w:val="24"/>
          <w:szCs w:val="24"/>
        </w:rPr>
        <w:t>7</w:t>
      </w:r>
      <w:r w:rsidR="008219BF" w:rsidRPr="002A47F9">
        <w:rPr>
          <w:rFonts w:ascii="Calibri" w:hAnsi="Calibri" w:cs="Calibri"/>
          <w:sz w:val="24"/>
          <w:szCs w:val="24"/>
        </w:rPr>
        <w:t>–4.2</w:t>
      </w:r>
      <w:r w:rsidR="00060ABA" w:rsidRPr="002A47F9">
        <w:rPr>
          <w:rFonts w:ascii="Calibri" w:hAnsi="Calibri" w:cs="Calibri"/>
          <w:sz w:val="24"/>
          <w:szCs w:val="24"/>
        </w:rPr>
        <w:t>4</w:t>
      </w:r>
      <w:r w:rsidR="008219BF" w:rsidRPr="002A47F9">
        <w:rPr>
          <w:rFonts w:ascii="Calibri" w:hAnsi="Calibri" w:cs="Calibri"/>
          <w:sz w:val="24"/>
          <w:szCs w:val="24"/>
        </w:rPr>
        <w:t xml:space="preserve"> a odst. 4.</w:t>
      </w:r>
      <w:r w:rsidR="009A779B" w:rsidRPr="002A47F9">
        <w:rPr>
          <w:rFonts w:ascii="Calibri" w:hAnsi="Calibri" w:cs="Calibri"/>
          <w:sz w:val="24"/>
          <w:szCs w:val="24"/>
        </w:rPr>
        <w:t>29</w:t>
      </w:r>
      <w:r w:rsidR="008219BF" w:rsidRPr="002A47F9">
        <w:rPr>
          <w:rFonts w:ascii="Calibri" w:hAnsi="Calibri" w:cs="Calibri"/>
          <w:sz w:val="24"/>
          <w:szCs w:val="24"/>
        </w:rPr>
        <w:t>).</w:t>
      </w:r>
      <w:bookmarkEnd w:id="16"/>
    </w:p>
    <w:p w14:paraId="7CF79A9C" w14:textId="73CABB4A" w:rsidR="00360018" w:rsidRDefault="00360018" w:rsidP="007E5E1D">
      <w:pPr>
        <w:keepNext/>
        <w:spacing w:before="84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EA7B49">
        <w:rPr>
          <w:rFonts w:ascii="Calibri" w:hAnsi="Calibri" w:cs="Calibri"/>
          <w:b/>
          <w:bCs/>
          <w:sz w:val="24"/>
          <w:szCs w:val="24"/>
        </w:rPr>
        <w:t>Seznam zkratek</w:t>
      </w:r>
    </w:p>
    <w:p w14:paraId="41EA0CD1" w14:textId="77777777" w:rsidR="004332D3" w:rsidRDefault="004332D3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D6507A">
        <w:rPr>
          <w:rFonts w:ascii="Calibri" w:hAnsi="Calibri" w:cs="Calibri"/>
          <w:sz w:val="24"/>
          <w:szCs w:val="24"/>
        </w:rPr>
        <w:t>ERÚ</w:t>
      </w:r>
      <w:r w:rsidRPr="00D6507A">
        <w:rPr>
          <w:rFonts w:ascii="Calibri" w:hAnsi="Calibri" w:cs="Calibri"/>
          <w:sz w:val="24"/>
          <w:szCs w:val="24"/>
        </w:rPr>
        <w:tab/>
      </w:r>
      <w:r w:rsidRPr="00B903E3">
        <w:rPr>
          <w:rFonts w:ascii="Calibri" w:hAnsi="Calibri" w:cs="Calibri"/>
          <w:bCs/>
          <w:iCs/>
          <w:sz w:val="24"/>
          <w:szCs w:val="24"/>
        </w:rPr>
        <w:t>Energetický regulační úřad</w:t>
      </w:r>
    </w:p>
    <w:p w14:paraId="4AFA7B54" w14:textId="77777777" w:rsidR="004332D3" w:rsidRDefault="004332D3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FKSP</w:t>
      </w:r>
      <w:r>
        <w:rPr>
          <w:rFonts w:ascii="Calibri" w:hAnsi="Calibri" w:cs="Calibri"/>
          <w:sz w:val="24"/>
          <w:szCs w:val="24"/>
        </w:rPr>
        <w:tab/>
        <w:t>Fond kulturních a sociálních potřeb</w:t>
      </w:r>
    </w:p>
    <w:p w14:paraId="74C4F731" w14:textId="1CD91D8A" w:rsidR="000B2391" w:rsidRDefault="000B2391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HW</w:t>
      </w:r>
      <w:r>
        <w:rPr>
          <w:rFonts w:ascii="Calibri" w:hAnsi="Calibri" w:cs="Calibri"/>
          <w:sz w:val="24"/>
          <w:szCs w:val="24"/>
        </w:rPr>
        <w:tab/>
        <w:t>hardware</w:t>
      </w:r>
    </w:p>
    <w:p w14:paraId="065A1159" w14:textId="437FF5E7" w:rsidR="004332D3" w:rsidRDefault="004332D3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ICT</w:t>
      </w:r>
      <w:r>
        <w:rPr>
          <w:rFonts w:ascii="Calibri" w:hAnsi="Calibri" w:cs="Calibri"/>
          <w:sz w:val="24"/>
          <w:szCs w:val="24"/>
        </w:rPr>
        <w:tab/>
      </w:r>
      <w:r w:rsidR="006A3E84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nformační a komunikační technologie</w:t>
      </w:r>
    </w:p>
    <w:p w14:paraId="48582FEA" w14:textId="1F0967AD" w:rsidR="004332D3" w:rsidRDefault="004332D3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JIS</w:t>
      </w:r>
      <w:r>
        <w:rPr>
          <w:rFonts w:ascii="Calibri" w:hAnsi="Calibri" w:cs="Calibri"/>
          <w:sz w:val="24"/>
          <w:szCs w:val="24"/>
        </w:rPr>
        <w:tab/>
      </w:r>
      <w:r w:rsidR="006A3E84"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>ednotný informační systém</w:t>
      </w:r>
    </w:p>
    <w:p w14:paraId="7A3300C4" w14:textId="77777777" w:rsidR="004332D3" w:rsidRDefault="004332D3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MF</w:t>
      </w:r>
      <w:r>
        <w:rPr>
          <w:rFonts w:ascii="Calibri" w:hAnsi="Calibri" w:cs="Calibri"/>
          <w:sz w:val="24"/>
          <w:szCs w:val="24"/>
        </w:rPr>
        <w:tab/>
        <w:t>Ministerstvo financí České republiky</w:t>
      </w:r>
    </w:p>
    <w:p w14:paraId="11B15A77" w14:textId="77777777" w:rsidR="004332D3" w:rsidRPr="00D6507A" w:rsidRDefault="004332D3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D6507A">
        <w:rPr>
          <w:rFonts w:ascii="Calibri" w:hAnsi="Calibri" w:cs="Calibri"/>
          <w:sz w:val="24"/>
          <w:szCs w:val="24"/>
        </w:rPr>
        <w:t>NKÚ</w:t>
      </w:r>
      <w:r w:rsidRPr="00D6507A">
        <w:rPr>
          <w:rFonts w:ascii="Calibri" w:hAnsi="Calibri" w:cs="Calibri"/>
          <w:sz w:val="24"/>
          <w:szCs w:val="24"/>
        </w:rPr>
        <w:tab/>
        <w:t>Nejvyšší kontrolní úřad</w:t>
      </w:r>
    </w:p>
    <w:p w14:paraId="44D4AA69" w14:textId="46DB19A2" w:rsidR="00360018" w:rsidRDefault="004332D3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</w:t>
      </w:r>
      <w:r>
        <w:rPr>
          <w:rFonts w:ascii="Calibri" w:hAnsi="Calibri" w:cs="Calibri"/>
          <w:sz w:val="24"/>
          <w:szCs w:val="24"/>
        </w:rPr>
        <w:tab/>
      </w:r>
      <w:r w:rsidR="006A3E84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ublic relations</w:t>
      </w:r>
    </w:p>
    <w:p w14:paraId="46E48FA3" w14:textId="5AAE7418" w:rsidR="000B2391" w:rsidRDefault="000B2391" w:rsidP="00924A30">
      <w:pPr>
        <w:keepNext/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SW</w:t>
      </w:r>
      <w:r>
        <w:rPr>
          <w:rFonts w:ascii="Calibri" w:hAnsi="Calibri" w:cs="Calibri"/>
          <w:sz w:val="24"/>
          <w:szCs w:val="24"/>
        </w:rPr>
        <w:tab/>
        <w:t>software</w:t>
      </w:r>
    </w:p>
    <w:p w14:paraId="10BF026C" w14:textId="77777777" w:rsidR="00924A30" w:rsidRPr="00D066CA" w:rsidRDefault="00924A30" w:rsidP="00D066CA">
      <w:pPr>
        <w:tabs>
          <w:tab w:val="left" w:pos="1560"/>
        </w:tabs>
        <w:spacing w:after="120" w:line="240" w:lineRule="auto"/>
        <w:rPr>
          <w:rFonts w:ascii="Calibri" w:hAnsi="Calibri" w:cs="Calibri"/>
          <w:sz w:val="24"/>
          <w:szCs w:val="24"/>
        </w:rPr>
      </w:pPr>
    </w:p>
    <w:sectPr w:rsidR="00924A30" w:rsidRPr="00D066CA" w:rsidSect="0097627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CBBD" w14:textId="77777777" w:rsidR="009D0648" w:rsidRDefault="009D0648" w:rsidP="00974FA2">
      <w:pPr>
        <w:spacing w:after="0" w:line="240" w:lineRule="auto"/>
      </w:pPr>
      <w:r>
        <w:separator/>
      </w:r>
    </w:p>
  </w:endnote>
  <w:endnote w:type="continuationSeparator" w:id="0">
    <w:p w14:paraId="15F65716" w14:textId="77777777" w:rsidR="009D0648" w:rsidRDefault="009D0648" w:rsidP="0097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7E88F" w14:textId="4A47ECB6" w:rsidR="00DB09B2" w:rsidRDefault="00DB09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50EEB0" wp14:editId="724969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1065" cy="391160"/>
              <wp:effectExtent l="0" t="0" r="13335" b="0"/>
              <wp:wrapNone/>
              <wp:docPr id="108441236" name="Textové pole 6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E4227" w14:textId="590CA6D6" w:rsidR="00DB09B2" w:rsidRPr="00DB09B2" w:rsidRDefault="00DB09B2" w:rsidP="00DB0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 w:val="24"/>
                              <w:szCs w:val="24"/>
                            </w:rPr>
                          </w:pPr>
                          <w:r w:rsidRPr="00DB09B2"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0EEB0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alt="TLP:CLEAR" style="position:absolute;margin-left:0;margin-top:0;width:70.9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570E4227" w14:textId="590CA6D6" w:rsidR="00DB09B2" w:rsidRPr="00DB09B2" w:rsidRDefault="00DB09B2" w:rsidP="00DB0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28282"/>
                        <w:sz w:val="24"/>
                        <w:szCs w:val="24"/>
                      </w:rPr>
                    </w:pPr>
                    <w:r w:rsidRPr="00DB09B2">
                      <w:rPr>
                        <w:rFonts w:ascii="Calibri" w:eastAsia="Calibri" w:hAnsi="Calibri" w:cs="Calibri"/>
                        <w:noProof/>
                        <w:color w:val="828282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9DBB" w14:textId="2065521D" w:rsidR="00976277" w:rsidRDefault="00DB09B2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0BF375" wp14:editId="7C3E8E7A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1065" cy="391160"/>
              <wp:effectExtent l="0" t="0" r="13335" b="0"/>
              <wp:wrapNone/>
              <wp:docPr id="677118738" name="Textové pole 7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AE159" w14:textId="2DE3DC2A" w:rsidR="00DB09B2" w:rsidRPr="00DB09B2" w:rsidRDefault="00DB09B2" w:rsidP="00DB0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 w:val="24"/>
                              <w:szCs w:val="24"/>
                            </w:rPr>
                          </w:pPr>
                          <w:r w:rsidRPr="00DB09B2"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BF3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TLP:CLEAR" style="position:absolute;left:0;text-align:left;margin-left:0;margin-top:0;width:70.9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03AE159" w14:textId="2DE3DC2A" w:rsidR="00DB09B2" w:rsidRPr="00DB09B2" w:rsidRDefault="00DB09B2" w:rsidP="00DB0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28282"/>
                        <w:sz w:val="24"/>
                        <w:szCs w:val="24"/>
                      </w:rPr>
                    </w:pPr>
                    <w:r w:rsidRPr="00DB09B2">
                      <w:rPr>
                        <w:rFonts w:ascii="Calibri" w:eastAsia="Calibri" w:hAnsi="Calibri" w:cs="Calibri"/>
                        <w:noProof/>
                        <w:color w:val="828282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31396814"/>
        <w:docPartObj>
          <w:docPartGallery w:val="Page Numbers (Bottom of Page)"/>
          <w:docPartUnique/>
        </w:docPartObj>
      </w:sdtPr>
      <w:sdtEndPr/>
      <w:sdtContent>
        <w:r w:rsidR="00976277">
          <w:fldChar w:fldCharType="begin"/>
        </w:r>
        <w:r w:rsidR="00976277">
          <w:instrText>PAGE   \* MERGEFORMAT</w:instrText>
        </w:r>
        <w:r w:rsidR="00976277">
          <w:fldChar w:fldCharType="separate"/>
        </w:r>
        <w:r w:rsidR="00976277">
          <w:t>2</w:t>
        </w:r>
        <w:r w:rsidR="0097627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422B" w14:textId="65C3BE5A" w:rsidR="00DB09B2" w:rsidRDefault="00DB09B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6A65E7" wp14:editId="121C6034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901065" cy="391160"/>
              <wp:effectExtent l="0" t="0" r="13335" b="0"/>
              <wp:wrapNone/>
              <wp:docPr id="1420229282" name="Textové pole 5" descr="TLP:CLEAR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A3B9F" w14:textId="1D8E22AC" w:rsidR="00DB09B2" w:rsidRPr="00DB09B2" w:rsidRDefault="00DB09B2" w:rsidP="00DB0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 w:val="24"/>
                              <w:szCs w:val="24"/>
                            </w:rPr>
                          </w:pPr>
                          <w:r w:rsidRPr="00DB09B2">
                            <w:rPr>
                              <w:rFonts w:ascii="Calibri" w:eastAsia="Calibri" w:hAnsi="Calibri" w:cs="Calibri"/>
                              <w:noProof/>
                              <w:color w:val="828282"/>
                              <w:sz w:val="24"/>
                              <w:szCs w:val="24"/>
                            </w:rPr>
                            <w:t>TLP:CLEAR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A65E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TLP:CLEAR" style="position:absolute;margin-left:0;margin-top:0;width:70.9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2BA3B9F" w14:textId="1D8E22AC" w:rsidR="00DB09B2" w:rsidRPr="00DB09B2" w:rsidRDefault="00DB09B2" w:rsidP="00DB0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28282"/>
                        <w:sz w:val="24"/>
                        <w:szCs w:val="24"/>
                      </w:rPr>
                    </w:pPr>
                    <w:r w:rsidRPr="00DB09B2">
                      <w:rPr>
                        <w:rFonts w:ascii="Calibri" w:eastAsia="Calibri" w:hAnsi="Calibri" w:cs="Calibri"/>
                        <w:noProof/>
                        <w:color w:val="828282"/>
                        <w:sz w:val="24"/>
                        <w:szCs w:val="24"/>
                      </w:rPr>
                      <w:t>TLP:CLEAR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693D" w14:textId="77777777" w:rsidR="009D0648" w:rsidRDefault="009D0648" w:rsidP="00974FA2">
      <w:pPr>
        <w:spacing w:after="0" w:line="240" w:lineRule="auto"/>
      </w:pPr>
      <w:r>
        <w:separator/>
      </w:r>
    </w:p>
  </w:footnote>
  <w:footnote w:type="continuationSeparator" w:id="0">
    <w:p w14:paraId="457B70C3" w14:textId="77777777" w:rsidR="009D0648" w:rsidRDefault="009D0648" w:rsidP="00974FA2">
      <w:pPr>
        <w:spacing w:after="0" w:line="240" w:lineRule="auto"/>
      </w:pPr>
      <w:r>
        <w:continuationSeparator/>
      </w:r>
    </w:p>
  </w:footnote>
  <w:footnote w:id="1">
    <w:p w14:paraId="0AC2809A" w14:textId="74BBF26F" w:rsidR="00927429" w:rsidRPr="00A853BA" w:rsidRDefault="00A775D1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853B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Výdaje </w:t>
      </w:r>
      <w:bookmarkStart w:id="1" w:name="_Hlk193704616"/>
      <w:r>
        <w:rPr>
          <w:rFonts w:ascii="Calibri" w:hAnsi="Calibri" w:cs="Calibri"/>
        </w:rPr>
        <w:t xml:space="preserve">na platy a ostatní platby za provedenou práci (vč. souvisejících povinných odvodů </w:t>
      </w:r>
      <w:bookmarkEnd w:id="1"/>
      <w:r>
        <w:rPr>
          <w:rFonts w:ascii="Calibri" w:hAnsi="Calibri" w:cs="Calibri"/>
        </w:rPr>
        <w:t xml:space="preserve">pojistného a přídělu do fondu kulturních a sociálních potřeb) </w:t>
      </w:r>
      <w:r w:rsidRPr="00A853BA">
        <w:rPr>
          <w:rFonts w:ascii="Calibri" w:hAnsi="Calibri" w:cs="Calibri"/>
        </w:rPr>
        <w:t>nebyly předmětem kontroly.</w:t>
      </w:r>
    </w:p>
  </w:footnote>
  <w:footnote w:id="2">
    <w:p w14:paraId="66100614" w14:textId="69508675" w:rsidR="00CE4F88" w:rsidRPr="00654733" w:rsidRDefault="00CE4F88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654733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654733">
        <w:rPr>
          <w:rFonts w:ascii="Calibri" w:hAnsi="Calibri" w:cs="Calibri"/>
        </w:rPr>
        <w:t xml:space="preserve">Program 149 010 – </w:t>
      </w:r>
      <w:r w:rsidRPr="00654733">
        <w:rPr>
          <w:rFonts w:ascii="Calibri" w:hAnsi="Calibri" w:cs="Calibri"/>
          <w:i/>
          <w:iCs/>
        </w:rPr>
        <w:t>Rozvoj a obnova materiálně-technické základny ERÚ na období 2008 až 2013</w:t>
      </w:r>
      <w:r w:rsidRPr="00654733">
        <w:rPr>
          <w:rFonts w:ascii="Calibri" w:hAnsi="Calibri" w:cs="Calibri"/>
        </w:rPr>
        <w:t xml:space="preserve"> (prodloužen do roku 2018);</w:t>
      </w:r>
      <w:r>
        <w:rPr>
          <w:rFonts w:ascii="Calibri" w:hAnsi="Calibri" w:cs="Calibri"/>
        </w:rPr>
        <w:t xml:space="preserve"> p</w:t>
      </w:r>
      <w:r w:rsidRPr="00654733">
        <w:rPr>
          <w:rFonts w:ascii="Calibri" w:hAnsi="Calibri" w:cs="Calibri"/>
        </w:rPr>
        <w:t xml:space="preserve">rogram </w:t>
      </w:r>
      <w:bookmarkStart w:id="2" w:name="_Hlk193438525"/>
      <w:r w:rsidRPr="00654733">
        <w:rPr>
          <w:rFonts w:ascii="Calibri" w:hAnsi="Calibri" w:cs="Calibri"/>
        </w:rPr>
        <w:t xml:space="preserve">149 020 – </w:t>
      </w:r>
      <w:r w:rsidRPr="00654733">
        <w:rPr>
          <w:rFonts w:ascii="Calibri" w:hAnsi="Calibri" w:cs="Calibri"/>
          <w:i/>
          <w:iCs/>
        </w:rPr>
        <w:t>Rozvoj a obnova materiálně-technické základny ERÚ na období 2016 až 2020</w:t>
      </w:r>
      <w:r w:rsidRPr="00654733">
        <w:rPr>
          <w:rFonts w:ascii="Calibri" w:hAnsi="Calibri" w:cs="Calibri"/>
        </w:rPr>
        <w:t xml:space="preserve"> (prodloužen do roku 2024)</w:t>
      </w:r>
      <w:bookmarkEnd w:id="2"/>
      <w:r w:rsidRPr="00654733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p</w:t>
      </w:r>
      <w:r w:rsidRPr="00654733">
        <w:rPr>
          <w:rFonts w:ascii="Calibri" w:hAnsi="Calibri" w:cs="Calibri"/>
        </w:rPr>
        <w:t xml:space="preserve">rogram 149 030 – </w:t>
      </w:r>
      <w:r w:rsidRPr="00654733">
        <w:rPr>
          <w:rFonts w:ascii="Calibri" w:hAnsi="Calibri" w:cs="Calibri"/>
          <w:i/>
          <w:iCs/>
        </w:rPr>
        <w:t>Rozvoj a obnova materiálně-technické základny ERÚ na období 2022 až 2026</w:t>
      </w:r>
      <w:r w:rsidRPr="00654733">
        <w:rPr>
          <w:rFonts w:ascii="Calibri" w:hAnsi="Calibri" w:cs="Calibri"/>
        </w:rPr>
        <w:t>.</w:t>
      </w:r>
    </w:p>
  </w:footnote>
  <w:footnote w:id="3">
    <w:p w14:paraId="33C3FAE4" w14:textId="51431357" w:rsidR="00C3636E" w:rsidRPr="00A5554E" w:rsidRDefault="00C3636E" w:rsidP="002A4CB5">
      <w:pPr>
        <w:pStyle w:val="Textpoznpodarou"/>
        <w:ind w:left="284" w:hanging="284"/>
        <w:rPr>
          <w:rFonts w:ascii="Calibri" w:hAnsi="Calibri" w:cs="Calibri"/>
        </w:rPr>
      </w:pPr>
      <w:r w:rsidRPr="00A5554E">
        <w:rPr>
          <w:rStyle w:val="Znakapoznpodarou"/>
        </w:rPr>
        <w:footnoteRef/>
      </w:r>
      <w:r w:rsidRPr="00A5554E">
        <w:rPr>
          <w:rStyle w:val="Znakapoznpodarou"/>
        </w:rPr>
        <w:t xml:space="preserve"> </w:t>
      </w:r>
      <w:r w:rsidR="002A4CB5">
        <w:rPr>
          <w:rStyle w:val="Znakapoznpodarou"/>
        </w:rPr>
        <w:tab/>
      </w:r>
      <w:r w:rsidRPr="00A5554E">
        <w:rPr>
          <w:rFonts w:ascii="Calibri" w:hAnsi="Calibri" w:cs="Calibri"/>
        </w:rPr>
        <w:t>Termín závěrečného vyhodnocení programu byl stanoven do 30. 6. 2025.</w:t>
      </w:r>
    </w:p>
  </w:footnote>
  <w:footnote w:id="4">
    <w:p w14:paraId="007CC80F" w14:textId="1549CC78" w:rsidR="00C3636E" w:rsidRPr="002E45F6" w:rsidRDefault="00C3636E" w:rsidP="002A4CB5">
      <w:pPr>
        <w:pStyle w:val="Textpoznpodarou"/>
        <w:ind w:left="284" w:hanging="284"/>
        <w:rPr>
          <w:rFonts w:ascii="Calibri" w:hAnsi="Calibri" w:cs="Calibri"/>
        </w:rPr>
      </w:pPr>
      <w:r w:rsidRPr="002E45F6">
        <w:rPr>
          <w:rStyle w:val="Znakapoznpodarou"/>
          <w:rFonts w:ascii="Calibri" w:hAnsi="Calibri" w:cs="Calibri"/>
        </w:rPr>
        <w:footnoteRef/>
      </w:r>
      <w:r w:rsidRPr="002E45F6">
        <w:rPr>
          <w:rFonts w:ascii="Calibri" w:hAnsi="Calibri" w:cs="Calibri"/>
        </w:rPr>
        <w:t xml:space="preserve"> </w:t>
      </w:r>
      <w:r w:rsidR="002A4CB5">
        <w:rPr>
          <w:rFonts w:ascii="Calibri" w:hAnsi="Calibri" w:cs="Calibri"/>
        </w:rPr>
        <w:tab/>
      </w:r>
      <w:r w:rsidRPr="002E45F6">
        <w:rPr>
          <w:rFonts w:ascii="Calibri" w:hAnsi="Calibri" w:cs="Calibri"/>
        </w:rPr>
        <w:t xml:space="preserve">ICT = </w:t>
      </w:r>
      <w:r>
        <w:rPr>
          <w:rFonts w:ascii="Calibri" w:hAnsi="Calibri" w:cs="Calibri"/>
        </w:rPr>
        <w:t>informační a komunikační technologie.</w:t>
      </w:r>
    </w:p>
  </w:footnote>
  <w:footnote w:id="5">
    <w:p w14:paraId="59C6F4FD" w14:textId="5989318E" w:rsidR="00060B51" w:rsidRPr="00FF6854" w:rsidRDefault="00060B51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FF6854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FF6854">
        <w:rPr>
          <w:rFonts w:ascii="Calibri" w:hAnsi="Calibri" w:cs="Calibri"/>
        </w:rPr>
        <w:t>Zákon č. 458/2000 Sb., o podmínkách podnikání a o výkonu státní správy v energetických odvětvích a o změně některých zákonů (energetický zákon)</w:t>
      </w:r>
      <w:r>
        <w:rPr>
          <w:rFonts w:ascii="Calibri" w:hAnsi="Calibri" w:cs="Calibri"/>
        </w:rPr>
        <w:t>.</w:t>
      </w:r>
    </w:p>
  </w:footnote>
  <w:footnote w:id="6">
    <w:p w14:paraId="40B1766F" w14:textId="7F3F0BA5" w:rsidR="00060B51" w:rsidRPr="00F77E38" w:rsidRDefault="00060B51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F77E38">
        <w:rPr>
          <w:rStyle w:val="Znakapoznpodarou"/>
          <w:rFonts w:ascii="Calibri" w:hAnsi="Calibri" w:cs="Calibri"/>
        </w:rPr>
        <w:footnoteRef/>
      </w:r>
      <w:r w:rsidRPr="00F77E38"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F77E38">
        <w:rPr>
          <w:rFonts w:ascii="Calibri" w:hAnsi="Calibri" w:cs="Calibri"/>
        </w:rPr>
        <w:t>Zákon č. 218/2000 Sb., o rozpočtových pravidlech a o změně některých souvisejících zákonů (rozpočtová pravidla).</w:t>
      </w:r>
    </w:p>
  </w:footnote>
  <w:footnote w:id="7">
    <w:p w14:paraId="73196912" w14:textId="30AEAAD5" w:rsidR="00060B51" w:rsidRPr="00C5509D" w:rsidRDefault="00060B51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C5509D">
        <w:rPr>
          <w:rStyle w:val="Znakapoznpodarou"/>
          <w:rFonts w:ascii="Calibri" w:hAnsi="Calibri" w:cs="Calibri"/>
        </w:rPr>
        <w:footnoteRef/>
      </w:r>
      <w:r w:rsidRPr="00C5509D"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C5509D">
        <w:rPr>
          <w:rFonts w:ascii="Calibri" w:hAnsi="Calibri" w:cs="Calibri"/>
        </w:rPr>
        <w:t>Zákon č. 320/2001 Sb., o finanční kontrole ve veřejné správě a o změně některých zákonů (zákon o finanční kontrole).</w:t>
      </w:r>
    </w:p>
  </w:footnote>
  <w:footnote w:id="8">
    <w:p w14:paraId="30E0D532" w14:textId="37DC8AD1" w:rsidR="00060B51" w:rsidRPr="00C5509D" w:rsidRDefault="00060B51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C5509D">
        <w:rPr>
          <w:rStyle w:val="Znakapoznpodarou"/>
          <w:rFonts w:ascii="Calibri" w:hAnsi="Calibri" w:cs="Calibri"/>
        </w:rPr>
        <w:footnoteRef/>
      </w:r>
      <w:r w:rsidRPr="00C5509D"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C5509D">
        <w:rPr>
          <w:rFonts w:ascii="Calibri" w:hAnsi="Calibri" w:cs="Calibri"/>
        </w:rPr>
        <w:t>Zákon č. 219/2000 Sb., o majetku České republiky a jejím vystupování v právních vztazích.</w:t>
      </w:r>
    </w:p>
  </w:footnote>
  <w:footnote w:id="9">
    <w:p w14:paraId="3C5FAA2B" w14:textId="22C63ACF" w:rsidR="00060B51" w:rsidRPr="00547769" w:rsidRDefault="00060B51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47769">
        <w:rPr>
          <w:rStyle w:val="Znakapoznpodarou"/>
          <w:rFonts w:ascii="Calibri" w:hAnsi="Calibri" w:cs="Calibri"/>
        </w:rPr>
        <w:footnoteRef/>
      </w:r>
      <w:r w:rsidRPr="00547769"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547769">
        <w:rPr>
          <w:rFonts w:ascii="Calibri" w:hAnsi="Calibri" w:cs="Calibri"/>
        </w:rPr>
        <w:t>Vyhláška č. 560/2006 Sb., o účasti státního rozpočtu na financování programů reprodukce majetku.</w:t>
      </w:r>
    </w:p>
  </w:footnote>
  <w:footnote w:id="10">
    <w:p w14:paraId="3D1006A4" w14:textId="29CAEA99" w:rsidR="00060B51" w:rsidRPr="00A61A5C" w:rsidRDefault="00060B51" w:rsidP="002A4CB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61A5C">
        <w:rPr>
          <w:rStyle w:val="Znakapoznpodarou"/>
          <w:rFonts w:ascii="Calibri" w:hAnsi="Calibri" w:cs="Calibri"/>
        </w:rPr>
        <w:footnoteRef/>
      </w:r>
      <w:r w:rsidRPr="00A61A5C"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A61A5C">
        <w:rPr>
          <w:rFonts w:ascii="Calibri" w:hAnsi="Calibri" w:cs="Calibri"/>
        </w:rPr>
        <w:t xml:space="preserve">Pokyn </w:t>
      </w:r>
      <w:r>
        <w:rPr>
          <w:rFonts w:ascii="Calibri" w:hAnsi="Calibri" w:cs="Calibri"/>
        </w:rPr>
        <w:t xml:space="preserve">MF </w:t>
      </w:r>
      <w:r w:rsidRPr="00A61A5C">
        <w:rPr>
          <w:rFonts w:ascii="Calibri" w:hAnsi="Calibri" w:cs="Calibri"/>
        </w:rPr>
        <w:t>č. R 1-2010 k upřesnění postupu Ministerstva financí, správců programů a účastníků programu při přípravě, realizaci, financování a vyhodnocování programu nebo akce a k provozování informačního systému programového financování.</w:t>
      </w:r>
    </w:p>
  </w:footnote>
  <w:footnote w:id="11">
    <w:p w14:paraId="303A95AF" w14:textId="6896A96D" w:rsidR="00A0158E" w:rsidRPr="00A77AD8" w:rsidRDefault="00A0158E" w:rsidP="002A4CB5">
      <w:pPr>
        <w:pStyle w:val="Textpoznpodarou"/>
        <w:ind w:left="284" w:hanging="284"/>
        <w:rPr>
          <w:rFonts w:ascii="Calibri" w:hAnsi="Calibri" w:cs="Calibri"/>
        </w:rPr>
      </w:pPr>
      <w:r w:rsidRPr="00A77AD8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2A4CB5">
        <w:rPr>
          <w:rFonts w:ascii="Calibri" w:hAnsi="Calibri" w:cs="Calibri"/>
        </w:rPr>
        <w:tab/>
      </w:r>
      <w:r w:rsidRPr="00A77AD8">
        <w:rPr>
          <w:rFonts w:ascii="Calibri" w:hAnsi="Calibri" w:cs="Calibri"/>
        </w:rPr>
        <w:t>Z programu 149 010 nebylo v kontrolovaném období čerpáno, realizace programu skončila 31. 12. 2018.</w:t>
      </w:r>
    </w:p>
  </w:footnote>
  <w:footnote w:id="12">
    <w:p w14:paraId="06232C75" w14:textId="57BAAF25" w:rsidR="00060B51" w:rsidRPr="007735C7" w:rsidRDefault="00060B51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735C7">
        <w:rPr>
          <w:rStyle w:val="Znakapoznpodarou"/>
          <w:rFonts w:ascii="Calibri" w:hAnsi="Calibri" w:cs="Calibri"/>
        </w:rPr>
        <w:footnoteRef/>
      </w:r>
      <w:r w:rsidRPr="007735C7">
        <w:rPr>
          <w:rFonts w:ascii="Calibri" w:hAnsi="Calibri" w:cs="Calibri"/>
        </w:rPr>
        <w:t xml:space="preserve"> </w:t>
      </w:r>
      <w:r w:rsidR="00373856">
        <w:rPr>
          <w:rFonts w:ascii="Calibri" w:hAnsi="Calibri" w:cs="Calibri"/>
        </w:rPr>
        <w:tab/>
      </w:r>
      <w:r w:rsidRPr="007735C7">
        <w:rPr>
          <w:rFonts w:ascii="Calibri" w:eastAsia="Times New Roman" w:hAnsi="Calibri" w:cs="Calibri"/>
          <w:iCs/>
          <w:kern w:val="0"/>
          <w14:ligatures w14:val="none"/>
        </w:rPr>
        <w:t>Zákon č. 634/1992 Sb., o ochraně spotřebitele</w:t>
      </w:r>
      <w:r>
        <w:rPr>
          <w:rFonts w:ascii="Calibri" w:eastAsia="Times New Roman" w:hAnsi="Calibri" w:cs="Calibri"/>
          <w:iCs/>
          <w:kern w:val="0"/>
          <w14:ligatures w14:val="none"/>
        </w:rPr>
        <w:t>.</w:t>
      </w:r>
    </w:p>
  </w:footnote>
  <w:footnote w:id="13">
    <w:p w14:paraId="0E6D3775" w14:textId="2FDE02FF" w:rsidR="00060B51" w:rsidRPr="007735C7" w:rsidRDefault="00060B51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735C7">
        <w:rPr>
          <w:rStyle w:val="Znakapoznpodarou"/>
          <w:rFonts w:ascii="Calibri" w:hAnsi="Calibri" w:cs="Calibri"/>
        </w:rPr>
        <w:footnoteRef/>
      </w:r>
      <w:r w:rsidRPr="007735C7">
        <w:rPr>
          <w:rFonts w:ascii="Calibri" w:hAnsi="Calibri" w:cs="Calibri"/>
        </w:rPr>
        <w:t xml:space="preserve"> </w:t>
      </w:r>
      <w:r w:rsidR="00373856">
        <w:rPr>
          <w:rFonts w:ascii="Calibri" w:hAnsi="Calibri" w:cs="Calibri"/>
        </w:rPr>
        <w:tab/>
      </w:r>
      <w:r w:rsidRPr="007735C7">
        <w:rPr>
          <w:rFonts w:ascii="Calibri" w:hAnsi="Calibri" w:cs="Calibri"/>
        </w:rPr>
        <w:t>Zákon č. 526/1990 Sb., o cenách</w:t>
      </w:r>
      <w:r>
        <w:rPr>
          <w:rFonts w:ascii="Calibri" w:hAnsi="Calibri" w:cs="Calibri"/>
        </w:rPr>
        <w:t>.</w:t>
      </w:r>
    </w:p>
  </w:footnote>
  <w:footnote w:id="14">
    <w:p w14:paraId="0EF54AC4" w14:textId="7325C155" w:rsidR="00060B51" w:rsidRPr="007735C7" w:rsidRDefault="00060B51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735C7">
        <w:rPr>
          <w:rStyle w:val="Znakapoznpodarou"/>
          <w:rFonts w:ascii="Calibri" w:hAnsi="Calibri" w:cs="Calibri"/>
        </w:rPr>
        <w:footnoteRef/>
      </w:r>
      <w:r w:rsidRPr="007735C7">
        <w:rPr>
          <w:rFonts w:ascii="Calibri" w:hAnsi="Calibri" w:cs="Calibri"/>
        </w:rPr>
        <w:t xml:space="preserve"> </w:t>
      </w:r>
      <w:r w:rsidR="00373856">
        <w:rPr>
          <w:rFonts w:ascii="Calibri" w:hAnsi="Calibri" w:cs="Calibri"/>
        </w:rPr>
        <w:tab/>
      </w:r>
      <w:r w:rsidRPr="007735C7">
        <w:rPr>
          <w:rFonts w:ascii="Calibri" w:hAnsi="Calibri" w:cs="Calibri"/>
          <w:iCs/>
        </w:rPr>
        <w:t xml:space="preserve">Zákon č. 165/2012 Sb., </w:t>
      </w:r>
      <w:r w:rsidRPr="007735C7">
        <w:rPr>
          <w:rFonts w:ascii="Calibri" w:hAnsi="Calibri" w:cs="Calibri"/>
        </w:rPr>
        <w:t>o podporovaných zdrojích energie a o změně některých zákonů</w:t>
      </w:r>
      <w:r>
        <w:rPr>
          <w:rFonts w:ascii="Calibri" w:hAnsi="Calibri" w:cs="Calibri"/>
        </w:rPr>
        <w:t>.</w:t>
      </w:r>
    </w:p>
  </w:footnote>
  <w:footnote w:id="15">
    <w:p w14:paraId="7341EAB6" w14:textId="0A76CBC6" w:rsidR="00060B51" w:rsidRPr="007735C7" w:rsidRDefault="00060B51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735C7">
        <w:rPr>
          <w:rStyle w:val="Znakapoznpodarou"/>
          <w:rFonts w:ascii="Calibri" w:hAnsi="Calibri" w:cs="Calibri"/>
        </w:rPr>
        <w:footnoteRef/>
      </w:r>
      <w:r w:rsidRPr="007735C7">
        <w:rPr>
          <w:rFonts w:ascii="Calibri" w:hAnsi="Calibri" w:cs="Calibri"/>
        </w:rPr>
        <w:t xml:space="preserve"> </w:t>
      </w:r>
      <w:r w:rsidR="00373856">
        <w:rPr>
          <w:rFonts w:ascii="Calibri" w:hAnsi="Calibri" w:cs="Calibri"/>
        </w:rPr>
        <w:tab/>
      </w:r>
      <w:r w:rsidRPr="007735C7">
        <w:rPr>
          <w:rFonts w:ascii="Calibri" w:hAnsi="Calibri" w:cs="Calibri"/>
        </w:rPr>
        <w:t>Zákon č. 500/2004 Sb., správní řád</w:t>
      </w:r>
      <w:r>
        <w:rPr>
          <w:rFonts w:ascii="Calibri" w:hAnsi="Calibri" w:cs="Calibri"/>
        </w:rPr>
        <w:t>.</w:t>
      </w:r>
    </w:p>
  </w:footnote>
  <w:footnote w:id="16">
    <w:p w14:paraId="0704ED8B" w14:textId="19409D55" w:rsidR="00FA612C" w:rsidRPr="003742E3" w:rsidRDefault="00FA612C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742E3">
        <w:rPr>
          <w:rStyle w:val="Znakapoznpodarou"/>
          <w:rFonts w:ascii="Calibri" w:hAnsi="Calibri" w:cs="Calibri"/>
        </w:rPr>
        <w:footnoteRef/>
      </w:r>
      <w:r w:rsidRPr="003742E3">
        <w:rPr>
          <w:rFonts w:ascii="Calibri" w:hAnsi="Calibri" w:cs="Calibri"/>
        </w:rPr>
        <w:t> </w:t>
      </w:r>
      <w:r w:rsidR="00373856">
        <w:rPr>
          <w:rFonts w:ascii="Calibri" w:hAnsi="Calibri" w:cs="Calibri"/>
        </w:rPr>
        <w:tab/>
      </w:r>
      <w:r w:rsidRPr="003742E3">
        <w:rPr>
          <w:rFonts w:ascii="Calibri" w:hAnsi="Calibri" w:cs="Calibri"/>
        </w:rPr>
        <w:t>Vyhláška č. 62/2001 Sb.,</w:t>
      </w:r>
      <w:r w:rsidRPr="00E11548">
        <w:t xml:space="preserve"> </w:t>
      </w:r>
      <w:r w:rsidRPr="00E11548">
        <w:rPr>
          <w:rFonts w:ascii="Calibri" w:hAnsi="Calibri" w:cs="Calibri"/>
        </w:rPr>
        <w:t>o hospodaření organizačních složek státu a státních organizací s majetkem státu</w:t>
      </w:r>
      <w:r>
        <w:rPr>
          <w:rFonts w:ascii="Calibri" w:hAnsi="Calibri" w:cs="Calibri"/>
        </w:rPr>
        <w:t>.</w:t>
      </w:r>
    </w:p>
  </w:footnote>
  <w:footnote w:id="17">
    <w:p w14:paraId="117B829C" w14:textId="5EE08019" w:rsidR="00FA612C" w:rsidRPr="002E472B" w:rsidRDefault="00FA612C" w:rsidP="00B33773">
      <w:pPr>
        <w:pStyle w:val="Textpoznpodarou"/>
        <w:ind w:left="284" w:hanging="284"/>
        <w:rPr>
          <w:rFonts w:ascii="Calibri" w:hAnsi="Calibri" w:cs="Calibri"/>
        </w:rPr>
      </w:pPr>
      <w:r w:rsidRPr="002E472B">
        <w:rPr>
          <w:rStyle w:val="Znakapoznpodarou"/>
          <w:rFonts w:ascii="Calibri" w:hAnsi="Calibri" w:cs="Calibri"/>
        </w:rPr>
        <w:footnoteRef/>
      </w:r>
      <w:r w:rsidRPr="002E472B">
        <w:rPr>
          <w:rFonts w:ascii="Calibri" w:hAnsi="Calibri" w:cs="Calibri"/>
        </w:rPr>
        <w:t> </w:t>
      </w:r>
      <w:r w:rsidR="00373856">
        <w:rPr>
          <w:rFonts w:ascii="Calibri" w:hAnsi="Calibri" w:cs="Calibri"/>
        </w:rPr>
        <w:tab/>
      </w:r>
      <w:r w:rsidRPr="002E472B">
        <w:rPr>
          <w:rFonts w:ascii="Calibri" w:hAnsi="Calibri" w:cs="Calibri"/>
        </w:rPr>
        <w:t>Zákon č. 134/2016 Sb., o zadávání veřejných zakázek.</w:t>
      </w:r>
    </w:p>
  </w:footnote>
  <w:footnote w:id="18">
    <w:p w14:paraId="15A54655" w14:textId="1718A7D6" w:rsidR="00FA612C" w:rsidRPr="00D00579" w:rsidRDefault="00FA612C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0057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373856">
        <w:rPr>
          <w:rFonts w:ascii="Calibri" w:hAnsi="Calibri" w:cs="Calibri"/>
        </w:rPr>
        <w:tab/>
      </w:r>
      <w:r w:rsidRPr="00D00579">
        <w:rPr>
          <w:rFonts w:ascii="Calibri" w:hAnsi="Calibri" w:cs="Calibri"/>
        </w:rPr>
        <w:t>Zákon č. 563/1991 Sb. o účetnictví.</w:t>
      </w:r>
    </w:p>
  </w:footnote>
  <w:footnote w:id="19">
    <w:p w14:paraId="0087F2F7" w14:textId="27EB770A" w:rsidR="00FA612C" w:rsidRPr="00D00579" w:rsidRDefault="00FA612C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0057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373856">
        <w:rPr>
          <w:rFonts w:ascii="Calibri" w:hAnsi="Calibri" w:cs="Calibri"/>
        </w:rPr>
        <w:tab/>
      </w:r>
      <w:r w:rsidRPr="00D00579">
        <w:rPr>
          <w:rFonts w:ascii="Calibri" w:hAnsi="Calibri" w:cs="Calibri"/>
        </w:rPr>
        <w:t>Vyhláška č. 270/2010 Sb.</w:t>
      </w:r>
      <w:r>
        <w:rPr>
          <w:rFonts w:ascii="Calibri" w:hAnsi="Calibri" w:cs="Calibri"/>
        </w:rPr>
        <w:t>, o inventarizaci majetku a závazků.</w:t>
      </w:r>
    </w:p>
  </w:footnote>
  <w:footnote w:id="20">
    <w:p w14:paraId="3B2830EC" w14:textId="503A1D5D" w:rsidR="00AD7A45" w:rsidRPr="00AD7A45" w:rsidRDefault="00AD7A45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D7A45">
        <w:rPr>
          <w:rStyle w:val="Znakapoznpodarou"/>
          <w:rFonts w:ascii="Calibri" w:hAnsi="Calibri" w:cs="Calibri"/>
        </w:rPr>
        <w:footnoteRef/>
      </w:r>
      <w:r w:rsidRPr="00AD7A45">
        <w:rPr>
          <w:rFonts w:ascii="Calibri" w:hAnsi="Calibri" w:cs="Calibri"/>
        </w:rPr>
        <w:t> </w:t>
      </w:r>
      <w:r w:rsidR="00373856">
        <w:rPr>
          <w:rFonts w:ascii="Calibri" w:hAnsi="Calibri" w:cs="Calibri"/>
        </w:rPr>
        <w:tab/>
      </w:r>
      <w:r w:rsidRPr="00AD7A45">
        <w:rPr>
          <w:rFonts w:ascii="Calibri" w:hAnsi="Calibri" w:cs="Calibri"/>
        </w:rPr>
        <w:t>Vyhláška č. 416/2004 Sb</w:t>
      </w:r>
      <w:r>
        <w:rPr>
          <w:rFonts w:ascii="Calibri" w:hAnsi="Calibri" w:cs="Calibri"/>
        </w:rPr>
        <w:t>.</w:t>
      </w:r>
      <w:r w:rsidRPr="00AD7A45">
        <w:rPr>
          <w:rFonts w:ascii="Calibri" w:hAnsi="Calibri" w:cs="Calibri"/>
        </w:rPr>
        <w:t>, kterou se provádí zákon č. 320/2001 Sb., o finanční kontrole ve veřejné správě a</w:t>
      </w:r>
      <w:r>
        <w:rPr>
          <w:rFonts w:ascii="Calibri" w:hAnsi="Calibri" w:cs="Calibri"/>
        </w:rPr>
        <w:t> </w:t>
      </w:r>
      <w:r w:rsidRPr="00AD7A45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AD7A45">
        <w:rPr>
          <w:rFonts w:ascii="Calibri" w:hAnsi="Calibri" w:cs="Calibri"/>
        </w:rPr>
        <w:t>změně některých zákonů (zákon o finanční kontrole), ve znění zákona č. 309/2002 Sb., zákona č.</w:t>
      </w:r>
      <w:r w:rsidR="00373856">
        <w:rPr>
          <w:rFonts w:ascii="Calibri" w:hAnsi="Calibri" w:cs="Calibri"/>
        </w:rPr>
        <w:t> </w:t>
      </w:r>
      <w:r w:rsidRPr="00AD7A45">
        <w:rPr>
          <w:rFonts w:ascii="Calibri" w:hAnsi="Calibri" w:cs="Calibri"/>
        </w:rPr>
        <w:t>320/2002</w:t>
      </w:r>
      <w:r w:rsidR="00373856">
        <w:rPr>
          <w:rFonts w:ascii="Calibri" w:hAnsi="Calibri" w:cs="Calibri"/>
        </w:rPr>
        <w:t> </w:t>
      </w:r>
      <w:r w:rsidRPr="00AD7A45">
        <w:rPr>
          <w:rFonts w:ascii="Calibri" w:hAnsi="Calibri" w:cs="Calibri"/>
        </w:rPr>
        <w:t>Sb. a zákona č. 123/2003 Sb.</w:t>
      </w:r>
    </w:p>
  </w:footnote>
  <w:footnote w:id="21">
    <w:p w14:paraId="0174208D" w14:textId="0458A4E6" w:rsidR="00060B51" w:rsidRPr="00042D63" w:rsidRDefault="00060B51" w:rsidP="00B33773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42D63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373856">
        <w:rPr>
          <w:rFonts w:ascii="Calibri" w:hAnsi="Calibri" w:cs="Calibri"/>
        </w:rPr>
        <w:tab/>
      </w:r>
      <w:r w:rsidRPr="002E472B">
        <w:rPr>
          <w:rFonts w:ascii="Calibri" w:hAnsi="Calibri" w:cs="Calibri"/>
        </w:rPr>
        <w:t>Účelnost</w:t>
      </w:r>
      <w:r w:rsidRPr="00042D63">
        <w:rPr>
          <w:rFonts w:ascii="Calibri" w:hAnsi="Calibri" w:cs="Calibri"/>
        </w:rPr>
        <w:t xml:space="preserve"> je definována v ustanovení § 2 písm. o) zákona č. 320/2001 Sb.</w:t>
      </w:r>
      <w:r>
        <w:rPr>
          <w:rFonts w:ascii="Calibri" w:hAnsi="Calibri" w:cs="Calibri"/>
        </w:rPr>
        <w:t>, h</w:t>
      </w:r>
      <w:r w:rsidRPr="002E472B">
        <w:rPr>
          <w:rFonts w:ascii="Calibri" w:hAnsi="Calibri" w:cs="Calibri"/>
        </w:rPr>
        <w:t>ospodárnost</w:t>
      </w:r>
      <w:r w:rsidRPr="00042D63">
        <w:rPr>
          <w:rFonts w:ascii="Calibri" w:hAnsi="Calibri" w:cs="Calibri"/>
        </w:rPr>
        <w:t xml:space="preserve"> je definována v</w:t>
      </w:r>
      <w:r>
        <w:rPr>
          <w:rFonts w:ascii="Calibri" w:hAnsi="Calibri" w:cs="Calibri"/>
        </w:rPr>
        <w:t> </w:t>
      </w:r>
      <w:r w:rsidRPr="00042D63">
        <w:rPr>
          <w:rFonts w:ascii="Calibri" w:hAnsi="Calibri" w:cs="Calibri"/>
        </w:rPr>
        <w:t>ustanovení § 2 písm. m) zákona č. 320/2001 Sb.</w:t>
      </w:r>
    </w:p>
  </w:footnote>
  <w:footnote w:id="22">
    <w:p w14:paraId="5FF350AD" w14:textId="5282121F" w:rsidR="005A0D0E" w:rsidRPr="0008136A" w:rsidRDefault="005A0D0E" w:rsidP="000E236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8136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0E2368">
        <w:rPr>
          <w:rFonts w:ascii="Calibri" w:hAnsi="Calibri" w:cs="Calibri"/>
        </w:rPr>
        <w:tab/>
      </w:r>
      <w:r w:rsidRPr="0008136A">
        <w:rPr>
          <w:rFonts w:ascii="Calibri" w:hAnsi="Calibri" w:cs="Calibri"/>
        </w:rPr>
        <w:t>S tím, že zdroje státního rozpočtu určené na financování předmětného programu mohou být v jednotlivých letech realizace upřesňovány v návaznosti na hodnoty státního rozpočtu schvalované Poslaneckou sněmovnou Parlamentu ČR na příslušný rozpočtový rok</w:t>
      </w:r>
      <w:r>
        <w:rPr>
          <w:rFonts w:ascii="Calibri" w:hAnsi="Calibri" w:cs="Calibri"/>
        </w:rPr>
        <w:t>.</w:t>
      </w:r>
    </w:p>
  </w:footnote>
  <w:footnote w:id="23">
    <w:p w14:paraId="146AE886" w14:textId="464EA7A4" w:rsidR="005A0D0E" w:rsidRPr="00E931D7" w:rsidRDefault="005A0D0E" w:rsidP="000E236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931D7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0E2368">
        <w:rPr>
          <w:rFonts w:ascii="Calibri" w:hAnsi="Calibri" w:cs="Calibri"/>
        </w:rPr>
        <w:tab/>
      </w:r>
      <w:r w:rsidRPr="00E931D7">
        <w:rPr>
          <w:rFonts w:ascii="Calibri" w:hAnsi="Calibri" w:cs="Calibri"/>
        </w:rPr>
        <w:t>První aktualizaci programu schválilo M</w:t>
      </w:r>
      <w:r>
        <w:rPr>
          <w:rFonts w:ascii="Calibri" w:hAnsi="Calibri" w:cs="Calibri"/>
        </w:rPr>
        <w:t>F</w:t>
      </w:r>
      <w:r w:rsidRPr="00E931D7">
        <w:rPr>
          <w:rFonts w:ascii="Calibri" w:hAnsi="Calibri" w:cs="Calibri"/>
        </w:rPr>
        <w:t xml:space="preserve"> dne 24. 9. 2020, druhou aktualizaci </w:t>
      </w:r>
      <w:r>
        <w:rPr>
          <w:rFonts w:ascii="Calibri" w:hAnsi="Calibri" w:cs="Calibri"/>
        </w:rPr>
        <w:t>schválilo</w:t>
      </w:r>
      <w:r w:rsidRPr="00E931D7">
        <w:rPr>
          <w:rFonts w:ascii="Calibri" w:hAnsi="Calibri" w:cs="Calibri"/>
        </w:rPr>
        <w:t xml:space="preserve"> dne 22. 12. 2022</w:t>
      </w:r>
      <w:r>
        <w:rPr>
          <w:rFonts w:ascii="Calibri" w:hAnsi="Calibri" w:cs="Calibri"/>
        </w:rPr>
        <w:t>.</w:t>
      </w:r>
    </w:p>
  </w:footnote>
  <w:footnote w:id="24">
    <w:p w14:paraId="49359D70" w14:textId="7BE97587" w:rsidR="00196860" w:rsidRPr="00196860" w:rsidRDefault="00196860" w:rsidP="000E236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96860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> </w:t>
      </w:r>
      <w:r w:rsidR="000E2368">
        <w:rPr>
          <w:rFonts w:ascii="Calibri" w:hAnsi="Calibri" w:cs="Calibri"/>
        </w:rPr>
        <w:tab/>
      </w:r>
      <w:r w:rsidRPr="00196860">
        <w:rPr>
          <w:rFonts w:ascii="Calibri" w:hAnsi="Calibri" w:cs="Calibri"/>
        </w:rPr>
        <w:t>Vyhláška č. 416/2004 Sb., kterou se provádí zákon č. 320/2001 Sb., o finanční kontrole ve veřejné správě a</w:t>
      </w:r>
      <w:r>
        <w:rPr>
          <w:rFonts w:ascii="Calibri" w:hAnsi="Calibri" w:cs="Calibri"/>
        </w:rPr>
        <w:t> </w:t>
      </w:r>
      <w:r w:rsidRPr="00196860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196860">
        <w:rPr>
          <w:rFonts w:ascii="Calibri" w:hAnsi="Calibri" w:cs="Calibri"/>
        </w:rPr>
        <w:t>změně některých zákonů (zákon o finanční kontrole), ve znění zákona č. 309/2002 Sb., zákona č.</w:t>
      </w:r>
      <w:r w:rsidR="000E2368">
        <w:rPr>
          <w:rFonts w:ascii="Calibri" w:hAnsi="Calibri" w:cs="Calibri"/>
        </w:rPr>
        <w:t> </w:t>
      </w:r>
      <w:r w:rsidRPr="00196860">
        <w:rPr>
          <w:rFonts w:ascii="Calibri" w:hAnsi="Calibri" w:cs="Calibri"/>
        </w:rPr>
        <w:t>320/2002</w:t>
      </w:r>
      <w:r w:rsidR="000E2368">
        <w:rPr>
          <w:rFonts w:ascii="Calibri" w:hAnsi="Calibri" w:cs="Calibri"/>
        </w:rPr>
        <w:t> </w:t>
      </w:r>
      <w:r w:rsidRPr="00196860">
        <w:rPr>
          <w:rFonts w:ascii="Calibri" w:hAnsi="Calibri" w:cs="Calibri"/>
        </w:rPr>
        <w:t>Sb. a zákona č. 123/2003 Sb.</w:t>
      </w:r>
    </w:p>
  </w:footnote>
  <w:footnote w:id="25">
    <w:p w14:paraId="3DE73ECA" w14:textId="2087C140" w:rsidR="004D31FD" w:rsidRPr="00917904" w:rsidRDefault="004D31FD" w:rsidP="0091790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17904">
        <w:rPr>
          <w:rStyle w:val="Znakapoznpodarou"/>
          <w:rFonts w:ascii="Calibri" w:hAnsi="Calibri" w:cs="Calibri"/>
        </w:rPr>
        <w:footnoteRef/>
      </w:r>
      <w:r w:rsidRPr="00917904">
        <w:rPr>
          <w:rFonts w:ascii="Calibri" w:hAnsi="Calibri" w:cs="Calibri"/>
        </w:rPr>
        <w:t> </w:t>
      </w:r>
      <w:r w:rsidR="00917904">
        <w:rPr>
          <w:rFonts w:ascii="Calibri" w:hAnsi="Calibri" w:cs="Calibri"/>
        </w:rPr>
        <w:tab/>
      </w:r>
      <w:r w:rsidRPr="00917904">
        <w:rPr>
          <w:rFonts w:ascii="Calibri" w:hAnsi="Calibri" w:cs="Calibri"/>
        </w:rPr>
        <w:t>Započítán pouze nově nakoupený majetek vedený na majetkových účtech v rozvaze, tj. nebyl započítán majetek evidovaný na podrozvahových účtech ani technické zhodnocení stávajícího majetku.</w:t>
      </w:r>
    </w:p>
  </w:footnote>
  <w:footnote w:id="26">
    <w:p w14:paraId="3A98E9E2" w14:textId="130D785D" w:rsidR="008C06BA" w:rsidRPr="00917904" w:rsidRDefault="008C06BA" w:rsidP="0091790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17904">
        <w:rPr>
          <w:rStyle w:val="Znakapoznpodarou"/>
          <w:rFonts w:ascii="Calibri" w:hAnsi="Calibri" w:cs="Calibri"/>
        </w:rPr>
        <w:footnoteRef/>
      </w:r>
      <w:r w:rsidRPr="00917904">
        <w:rPr>
          <w:rFonts w:ascii="Calibri" w:hAnsi="Calibri" w:cs="Calibri"/>
        </w:rPr>
        <w:t> </w:t>
      </w:r>
      <w:r w:rsidR="00917904">
        <w:rPr>
          <w:rFonts w:ascii="Calibri" w:hAnsi="Calibri" w:cs="Calibri"/>
        </w:rPr>
        <w:tab/>
      </w:r>
      <w:r w:rsidRPr="00917904">
        <w:rPr>
          <w:rFonts w:ascii="Calibri" w:hAnsi="Calibri" w:cs="Calibri"/>
        </w:rPr>
        <w:t xml:space="preserve">Logotyp je písmová nebo slovní značka, graficky znázorněný název společnosti, firmy, výrobku, značky apod. Vizuální identita je soubor vizuálních a grafických prvků, které definují značku. Zahrnuje logo, barevné schéma, typografii a další designové prvky. </w:t>
      </w:r>
    </w:p>
  </w:footnote>
  <w:footnote w:id="27">
    <w:p w14:paraId="5ACA6946" w14:textId="06CF3F89" w:rsidR="00196A4B" w:rsidRPr="00917904" w:rsidRDefault="00196A4B" w:rsidP="0091790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917904">
        <w:rPr>
          <w:rStyle w:val="Znakapoznpodarou"/>
          <w:rFonts w:ascii="Calibri" w:hAnsi="Calibri" w:cs="Calibri"/>
        </w:rPr>
        <w:footnoteRef/>
      </w:r>
      <w:r w:rsidR="00EB6458" w:rsidRPr="00917904">
        <w:rPr>
          <w:rFonts w:ascii="Calibri" w:hAnsi="Calibri" w:cs="Calibri"/>
        </w:rPr>
        <w:t> </w:t>
      </w:r>
      <w:r w:rsidR="00917904">
        <w:rPr>
          <w:rFonts w:ascii="Calibri" w:hAnsi="Calibri" w:cs="Calibri"/>
        </w:rPr>
        <w:tab/>
      </w:r>
      <w:r w:rsidRPr="00917904">
        <w:rPr>
          <w:rFonts w:ascii="Calibri" w:hAnsi="Calibri" w:cs="Calibri"/>
        </w:rPr>
        <w:t>Konkrétně tři mobilní telefony v celkové ceně 87 940,38 Kč, čtyři tablety v celkové ceně 135 553,88 Kč,</w:t>
      </w:r>
      <w:r w:rsidR="00EB6458" w:rsidRPr="00917904">
        <w:rPr>
          <w:rFonts w:ascii="Calibri" w:hAnsi="Calibri" w:cs="Calibri"/>
        </w:rPr>
        <w:t xml:space="preserve"> dvě</w:t>
      </w:r>
      <w:r w:rsidRPr="00917904">
        <w:rPr>
          <w:rFonts w:ascii="Calibri" w:hAnsi="Calibri" w:cs="Calibri"/>
        </w:rPr>
        <w:t xml:space="preserve"> klávesnic</w:t>
      </w:r>
      <w:r w:rsidR="00EB6458" w:rsidRPr="00917904">
        <w:rPr>
          <w:rFonts w:ascii="Calibri" w:hAnsi="Calibri" w:cs="Calibri"/>
        </w:rPr>
        <w:t>e</w:t>
      </w:r>
      <w:r w:rsidRPr="00917904">
        <w:rPr>
          <w:rFonts w:ascii="Calibri" w:hAnsi="Calibri" w:cs="Calibri"/>
        </w:rPr>
        <w:t xml:space="preserve"> k tabletům v celkové ceně 17 806,36 Kč a </w:t>
      </w:r>
      <w:r w:rsidR="00EB6458" w:rsidRPr="00917904">
        <w:rPr>
          <w:rFonts w:ascii="Calibri" w:hAnsi="Calibri" w:cs="Calibri"/>
        </w:rPr>
        <w:t xml:space="preserve">jedny </w:t>
      </w:r>
      <w:r w:rsidRPr="00917904">
        <w:rPr>
          <w:rFonts w:ascii="Calibri" w:hAnsi="Calibri" w:cs="Calibri"/>
        </w:rPr>
        <w:t>chytr</w:t>
      </w:r>
      <w:r w:rsidR="00EB6458" w:rsidRPr="00917904">
        <w:rPr>
          <w:rFonts w:ascii="Calibri" w:hAnsi="Calibri" w:cs="Calibri"/>
        </w:rPr>
        <w:t>é</w:t>
      </w:r>
      <w:r w:rsidRPr="00917904">
        <w:rPr>
          <w:rFonts w:ascii="Calibri" w:hAnsi="Calibri" w:cs="Calibri"/>
        </w:rPr>
        <w:t xml:space="preserve"> hodin</w:t>
      </w:r>
      <w:r w:rsidR="00EB6458" w:rsidRPr="00917904">
        <w:rPr>
          <w:rFonts w:ascii="Calibri" w:hAnsi="Calibri" w:cs="Calibri"/>
        </w:rPr>
        <w:t>ky</w:t>
      </w:r>
      <w:r w:rsidRPr="00917904">
        <w:rPr>
          <w:rFonts w:ascii="Calibri" w:hAnsi="Calibri" w:cs="Calibri"/>
        </w:rPr>
        <w:t xml:space="preserve"> v ceně 19 430,18 Kč.</w:t>
      </w:r>
    </w:p>
  </w:footnote>
  <w:footnote w:id="28">
    <w:p w14:paraId="6D09F58C" w14:textId="24345019" w:rsidR="00592089" w:rsidRPr="007F6F34" w:rsidRDefault="00592089" w:rsidP="00917904">
      <w:pPr>
        <w:pStyle w:val="Textpoznpodarou"/>
        <w:ind w:left="284" w:hanging="284"/>
        <w:rPr>
          <w:rFonts w:ascii="Calibri" w:hAnsi="Calibri" w:cs="Calibri"/>
        </w:rPr>
      </w:pPr>
      <w:r w:rsidRPr="007F6F34">
        <w:rPr>
          <w:rStyle w:val="Znakapoznpodarou"/>
          <w:rFonts w:ascii="Calibri" w:hAnsi="Calibri" w:cs="Calibri"/>
        </w:rPr>
        <w:footnoteRef/>
      </w:r>
      <w:r w:rsidR="00900E68" w:rsidRPr="007F6F34">
        <w:rPr>
          <w:rFonts w:ascii="Calibri" w:hAnsi="Calibri" w:cs="Calibri"/>
        </w:rPr>
        <w:t> </w:t>
      </w:r>
      <w:r w:rsidR="00917904">
        <w:rPr>
          <w:rFonts w:ascii="Calibri" w:hAnsi="Calibri" w:cs="Calibri"/>
        </w:rPr>
        <w:tab/>
      </w:r>
      <w:r w:rsidRPr="007F6F34">
        <w:rPr>
          <w:rFonts w:ascii="Calibri" w:hAnsi="Calibri" w:cs="Calibri"/>
        </w:rPr>
        <w:t>Zákon č. 181/2014 Sb., o kybernetické bezpečnosti</w:t>
      </w:r>
      <w:r w:rsidR="00900E68" w:rsidRPr="007F6F34">
        <w:rPr>
          <w:rFonts w:ascii="Calibri" w:hAnsi="Calibri" w:cs="Calibri"/>
        </w:rPr>
        <w:t>.</w:t>
      </w:r>
    </w:p>
  </w:footnote>
  <w:footnote w:id="29">
    <w:p w14:paraId="503D2542" w14:textId="5E73481F" w:rsidR="008D557B" w:rsidRPr="008D557B" w:rsidRDefault="008D557B" w:rsidP="0091790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7F6F34">
        <w:rPr>
          <w:rStyle w:val="Znakapoznpodarou"/>
          <w:rFonts w:ascii="Calibri" w:hAnsi="Calibri" w:cs="Calibri"/>
        </w:rPr>
        <w:footnoteRef/>
      </w:r>
      <w:r w:rsidRPr="007F6F34">
        <w:rPr>
          <w:rFonts w:ascii="Calibri" w:hAnsi="Calibri" w:cs="Calibri"/>
        </w:rPr>
        <w:t> </w:t>
      </w:r>
      <w:r w:rsidR="00917904">
        <w:rPr>
          <w:rFonts w:ascii="Calibri" w:hAnsi="Calibri" w:cs="Calibri"/>
        </w:rPr>
        <w:tab/>
      </w:r>
      <w:r w:rsidRPr="007F6F34">
        <w:rPr>
          <w:rFonts w:ascii="Calibri" w:hAnsi="Calibri" w:cs="Calibri"/>
        </w:rPr>
        <w:t>NKÚ zjistil, že ERÚ v letech 2019</w:t>
      </w:r>
      <w:r w:rsidR="00B27591">
        <w:rPr>
          <w:rFonts w:ascii="Calibri" w:hAnsi="Calibri" w:cs="Calibri"/>
        </w:rPr>
        <w:t>–</w:t>
      </w:r>
      <w:r w:rsidRPr="007F6F34">
        <w:rPr>
          <w:rFonts w:ascii="Calibri" w:hAnsi="Calibri" w:cs="Calibri"/>
        </w:rPr>
        <w:t>2022 kromě výše uvedených čtyř tabletů vybrané značky kontrolovaných v rámci vzorku nákupů majetku pořídil pouze jeden další tablet od jiného výrobce. Chytré hodinky nakoupil ERÚ v kontrolovaném období pouze jedny (výše uvedené).</w:t>
      </w:r>
    </w:p>
  </w:footnote>
  <w:footnote w:id="30">
    <w:p w14:paraId="63B3E92F" w14:textId="5EEE11D1" w:rsidR="00554DB9" w:rsidRPr="0035544F" w:rsidRDefault="00554DB9" w:rsidP="0035544F">
      <w:pPr>
        <w:pStyle w:val="Textpoznpodarou"/>
        <w:ind w:left="284" w:hanging="284"/>
        <w:jc w:val="both"/>
        <w:rPr>
          <w:rFonts w:ascii="Calibri" w:hAnsi="Calibri" w:cs="Calibri"/>
        </w:rPr>
      </w:pPr>
      <w:r>
        <w:rPr>
          <w:rStyle w:val="Znakapoznpodarou"/>
        </w:rPr>
        <w:footnoteRef/>
      </w:r>
      <w:r>
        <w:t xml:space="preserve"> </w:t>
      </w:r>
      <w:r w:rsidR="00885530">
        <w:tab/>
      </w:r>
      <w:r w:rsidRPr="0035544F">
        <w:rPr>
          <w:rFonts w:ascii="Calibri" w:hAnsi="Calibri" w:cs="Calibri"/>
        </w:rPr>
        <w:t>Regulovaný subjekt</w:t>
      </w:r>
      <w:r w:rsidR="007C31DD" w:rsidRPr="0035544F">
        <w:rPr>
          <w:rFonts w:ascii="Calibri" w:hAnsi="Calibri" w:cs="Calibri"/>
        </w:rPr>
        <w:t>, tj. subjekt, který podléhá regulaci a kontrole ERÚ ve smyslu zákona č.</w:t>
      </w:r>
      <w:r w:rsidR="00885530" w:rsidRPr="0035544F">
        <w:rPr>
          <w:rFonts w:ascii="Calibri" w:hAnsi="Calibri" w:cs="Calibri"/>
        </w:rPr>
        <w:t> </w:t>
      </w:r>
      <w:r w:rsidR="007C31DD" w:rsidRPr="0035544F">
        <w:rPr>
          <w:rFonts w:ascii="Calibri" w:hAnsi="Calibri" w:cs="Calibri"/>
        </w:rPr>
        <w:t>458/2000</w:t>
      </w:r>
      <w:r w:rsidR="00885530" w:rsidRPr="0035544F">
        <w:rPr>
          <w:rFonts w:ascii="Calibri" w:hAnsi="Calibri" w:cs="Calibri"/>
        </w:rPr>
        <w:t> </w:t>
      </w:r>
      <w:r w:rsidR="007C31DD" w:rsidRPr="0035544F">
        <w:rPr>
          <w:rFonts w:ascii="Calibri" w:hAnsi="Calibri" w:cs="Calibri"/>
        </w:rPr>
        <w:t>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9960" w14:textId="77777777" w:rsidR="00B20B1A" w:rsidRDefault="00B20B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1DC69" w14:textId="56EE093B" w:rsidR="00BC7F18" w:rsidRPr="00BC7F18" w:rsidRDefault="00BC7F18" w:rsidP="00BC7F18">
    <w:pPr>
      <w:pStyle w:val="Zhlav"/>
      <w:jc w:val="right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33FF2"/>
    <w:multiLevelType w:val="multilevel"/>
    <w:tmpl w:val="CCDC8E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5755B"/>
    <w:multiLevelType w:val="multilevel"/>
    <w:tmpl w:val="2278CF9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271CC0"/>
    <w:multiLevelType w:val="hybridMultilevel"/>
    <w:tmpl w:val="E57C41F2"/>
    <w:lvl w:ilvl="0" w:tplc="FFFFFFFF">
      <w:start w:val="1"/>
      <w:numFmt w:val="upperLetter"/>
      <w:lvlText w:val="%1."/>
      <w:lvlJc w:val="left"/>
      <w:pPr>
        <w:ind w:left="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5" w:hanging="360"/>
      </w:pPr>
    </w:lvl>
    <w:lvl w:ilvl="2" w:tplc="FFFFFFFF" w:tentative="1">
      <w:start w:val="1"/>
      <w:numFmt w:val="lowerRoman"/>
      <w:lvlText w:val="%3."/>
      <w:lvlJc w:val="right"/>
      <w:pPr>
        <w:ind w:left="2255" w:hanging="180"/>
      </w:pPr>
    </w:lvl>
    <w:lvl w:ilvl="3" w:tplc="FFFFFFFF" w:tentative="1">
      <w:start w:val="1"/>
      <w:numFmt w:val="decimal"/>
      <w:lvlText w:val="%4."/>
      <w:lvlJc w:val="left"/>
      <w:pPr>
        <w:ind w:left="2975" w:hanging="360"/>
      </w:pPr>
    </w:lvl>
    <w:lvl w:ilvl="4" w:tplc="FFFFFFFF" w:tentative="1">
      <w:start w:val="1"/>
      <w:numFmt w:val="lowerLetter"/>
      <w:lvlText w:val="%5."/>
      <w:lvlJc w:val="left"/>
      <w:pPr>
        <w:ind w:left="3695" w:hanging="360"/>
      </w:pPr>
    </w:lvl>
    <w:lvl w:ilvl="5" w:tplc="FFFFFFFF" w:tentative="1">
      <w:start w:val="1"/>
      <w:numFmt w:val="lowerRoman"/>
      <w:lvlText w:val="%6."/>
      <w:lvlJc w:val="right"/>
      <w:pPr>
        <w:ind w:left="4415" w:hanging="180"/>
      </w:pPr>
    </w:lvl>
    <w:lvl w:ilvl="6" w:tplc="FFFFFFFF" w:tentative="1">
      <w:start w:val="1"/>
      <w:numFmt w:val="decimal"/>
      <w:lvlText w:val="%7."/>
      <w:lvlJc w:val="left"/>
      <w:pPr>
        <w:ind w:left="5135" w:hanging="360"/>
      </w:pPr>
    </w:lvl>
    <w:lvl w:ilvl="7" w:tplc="FFFFFFFF" w:tentative="1">
      <w:start w:val="1"/>
      <w:numFmt w:val="lowerLetter"/>
      <w:lvlText w:val="%8."/>
      <w:lvlJc w:val="left"/>
      <w:pPr>
        <w:ind w:left="5855" w:hanging="360"/>
      </w:pPr>
    </w:lvl>
    <w:lvl w:ilvl="8" w:tplc="FFFFFFFF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1AA136B0"/>
    <w:multiLevelType w:val="hybridMultilevel"/>
    <w:tmpl w:val="70CCB516"/>
    <w:lvl w:ilvl="0" w:tplc="04050017">
      <w:start w:val="1"/>
      <w:numFmt w:val="lowerLetter"/>
      <w:lvlText w:val="%1)"/>
      <w:lvlJc w:val="left"/>
      <w:pPr>
        <w:ind w:left="5747" w:hanging="360"/>
      </w:p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285A51D3"/>
    <w:multiLevelType w:val="hybridMultilevel"/>
    <w:tmpl w:val="6D5E479A"/>
    <w:lvl w:ilvl="0" w:tplc="4E1C0C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AA344E" w:tentative="1">
      <w:start w:val="1"/>
      <w:numFmt w:val="lowerLetter"/>
      <w:lvlText w:val="%2."/>
      <w:lvlJc w:val="left"/>
      <w:pPr>
        <w:ind w:left="1440" w:hanging="360"/>
      </w:pPr>
    </w:lvl>
    <w:lvl w:ilvl="2" w:tplc="F45AA100" w:tentative="1">
      <w:start w:val="1"/>
      <w:numFmt w:val="lowerRoman"/>
      <w:lvlText w:val="%3."/>
      <w:lvlJc w:val="right"/>
      <w:pPr>
        <w:ind w:left="2160" w:hanging="180"/>
      </w:pPr>
    </w:lvl>
    <w:lvl w:ilvl="3" w:tplc="2E200B82" w:tentative="1">
      <w:start w:val="1"/>
      <w:numFmt w:val="decimal"/>
      <w:lvlText w:val="%4."/>
      <w:lvlJc w:val="left"/>
      <w:pPr>
        <w:ind w:left="2880" w:hanging="360"/>
      </w:pPr>
    </w:lvl>
    <w:lvl w:ilvl="4" w:tplc="E850FA18" w:tentative="1">
      <w:start w:val="1"/>
      <w:numFmt w:val="lowerLetter"/>
      <w:lvlText w:val="%5."/>
      <w:lvlJc w:val="left"/>
      <w:pPr>
        <w:ind w:left="3600" w:hanging="360"/>
      </w:pPr>
    </w:lvl>
    <w:lvl w:ilvl="5" w:tplc="02A273B8" w:tentative="1">
      <w:start w:val="1"/>
      <w:numFmt w:val="lowerRoman"/>
      <w:lvlText w:val="%6."/>
      <w:lvlJc w:val="right"/>
      <w:pPr>
        <w:ind w:left="4320" w:hanging="180"/>
      </w:pPr>
    </w:lvl>
    <w:lvl w:ilvl="6" w:tplc="F280C9AA" w:tentative="1">
      <w:start w:val="1"/>
      <w:numFmt w:val="decimal"/>
      <w:lvlText w:val="%7."/>
      <w:lvlJc w:val="left"/>
      <w:pPr>
        <w:ind w:left="5040" w:hanging="360"/>
      </w:pPr>
    </w:lvl>
    <w:lvl w:ilvl="7" w:tplc="07F810D6" w:tentative="1">
      <w:start w:val="1"/>
      <w:numFmt w:val="lowerLetter"/>
      <w:lvlText w:val="%8."/>
      <w:lvlJc w:val="left"/>
      <w:pPr>
        <w:ind w:left="5760" w:hanging="360"/>
      </w:pPr>
    </w:lvl>
    <w:lvl w:ilvl="8" w:tplc="21A89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102"/>
    <w:multiLevelType w:val="multilevel"/>
    <w:tmpl w:val="4F84D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724268"/>
    <w:multiLevelType w:val="multilevel"/>
    <w:tmpl w:val="62223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E972FD"/>
    <w:multiLevelType w:val="hybridMultilevel"/>
    <w:tmpl w:val="AC2E0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E1C4D"/>
    <w:multiLevelType w:val="hybridMultilevel"/>
    <w:tmpl w:val="F736725C"/>
    <w:lvl w:ilvl="0" w:tplc="DC0A26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F200C"/>
    <w:multiLevelType w:val="multilevel"/>
    <w:tmpl w:val="F864C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517186"/>
    <w:multiLevelType w:val="multilevel"/>
    <w:tmpl w:val="CCDC8E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86726D"/>
    <w:multiLevelType w:val="hybridMultilevel"/>
    <w:tmpl w:val="210893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62A06CA"/>
    <w:multiLevelType w:val="multilevel"/>
    <w:tmpl w:val="9EC0D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9B76FD"/>
    <w:multiLevelType w:val="multilevel"/>
    <w:tmpl w:val="8BE672FC"/>
    <w:lvl w:ilvl="0">
      <w:start w:val="4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12BF7"/>
    <w:multiLevelType w:val="multilevel"/>
    <w:tmpl w:val="9842A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DE05B50"/>
    <w:multiLevelType w:val="hybridMultilevel"/>
    <w:tmpl w:val="E57C41F2"/>
    <w:lvl w:ilvl="0" w:tplc="FFFFFFFF">
      <w:start w:val="1"/>
      <w:numFmt w:val="upperLetter"/>
      <w:lvlText w:val="%1."/>
      <w:lvlJc w:val="left"/>
      <w:pPr>
        <w:ind w:left="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5" w:hanging="360"/>
      </w:pPr>
    </w:lvl>
    <w:lvl w:ilvl="2" w:tplc="FFFFFFFF" w:tentative="1">
      <w:start w:val="1"/>
      <w:numFmt w:val="lowerRoman"/>
      <w:lvlText w:val="%3."/>
      <w:lvlJc w:val="right"/>
      <w:pPr>
        <w:ind w:left="2255" w:hanging="180"/>
      </w:pPr>
    </w:lvl>
    <w:lvl w:ilvl="3" w:tplc="FFFFFFFF" w:tentative="1">
      <w:start w:val="1"/>
      <w:numFmt w:val="decimal"/>
      <w:lvlText w:val="%4."/>
      <w:lvlJc w:val="left"/>
      <w:pPr>
        <w:ind w:left="2975" w:hanging="360"/>
      </w:pPr>
    </w:lvl>
    <w:lvl w:ilvl="4" w:tplc="FFFFFFFF" w:tentative="1">
      <w:start w:val="1"/>
      <w:numFmt w:val="lowerLetter"/>
      <w:lvlText w:val="%5."/>
      <w:lvlJc w:val="left"/>
      <w:pPr>
        <w:ind w:left="3695" w:hanging="360"/>
      </w:pPr>
    </w:lvl>
    <w:lvl w:ilvl="5" w:tplc="FFFFFFFF" w:tentative="1">
      <w:start w:val="1"/>
      <w:numFmt w:val="lowerRoman"/>
      <w:lvlText w:val="%6."/>
      <w:lvlJc w:val="right"/>
      <w:pPr>
        <w:ind w:left="4415" w:hanging="180"/>
      </w:pPr>
    </w:lvl>
    <w:lvl w:ilvl="6" w:tplc="FFFFFFFF" w:tentative="1">
      <w:start w:val="1"/>
      <w:numFmt w:val="decimal"/>
      <w:lvlText w:val="%7."/>
      <w:lvlJc w:val="left"/>
      <w:pPr>
        <w:ind w:left="5135" w:hanging="360"/>
      </w:pPr>
    </w:lvl>
    <w:lvl w:ilvl="7" w:tplc="FFFFFFFF" w:tentative="1">
      <w:start w:val="1"/>
      <w:numFmt w:val="lowerLetter"/>
      <w:lvlText w:val="%8."/>
      <w:lvlJc w:val="left"/>
      <w:pPr>
        <w:ind w:left="5855" w:hanging="360"/>
      </w:pPr>
    </w:lvl>
    <w:lvl w:ilvl="8" w:tplc="FFFFFFFF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 w15:restartNumberingAfterBreak="0">
    <w:nsid w:val="50B74CBD"/>
    <w:multiLevelType w:val="hybridMultilevel"/>
    <w:tmpl w:val="E57C41F2"/>
    <w:lvl w:ilvl="0" w:tplc="FFFFFFFF">
      <w:start w:val="1"/>
      <w:numFmt w:val="upperLetter"/>
      <w:lvlText w:val="%1."/>
      <w:lvlJc w:val="left"/>
      <w:pPr>
        <w:ind w:left="8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5" w:hanging="360"/>
      </w:pPr>
    </w:lvl>
    <w:lvl w:ilvl="2" w:tplc="FFFFFFFF" w:tentative="1">
      <w:start w:val="1"/>
      <w:numFmt w:val="lowerRoman"/>
      <w:lvlText w:val="%3."/>
      <w:lvlJc w:val="right"/>
      <w:pPr>
        <w:ind w:left="2255" w:hanging="180"/>
      </w:pPr>
    </w:lvl>
    <w:lvl w:ilvl="3" w:tplc="FFFFFFFF" w:tentative="1">
      <w:start w:val="1"/>
      <w:numFmt w:val="decimal"/>
      <w:lvlText w:val="%4."/>
      <w:lvlJc w:val="left"/>
      <w:pPr>
        <w:ind w:left="2975" w:hanging="360"/>
      </w:pPr>
    </w:lvl>
    <w:lvl w:ilvl="4" w:tplc="FFFFFFFF" w:tentative="1">
      <w:start w:val="1"/>
      <w:numFmt w:val="lowerLetter"/>
      <w:lvlText w:val="%5."/>
      <w:lvlJc w:val="left"/>
      <w:pPr>
        <w:ind w:left="3695" w:hanging="360"/>
      </w:pPr>
    </w:lvl>
    <w:lvl w:ilvl="5" w:tplc="FFFFFFFF" w:tentative="1">
      <w:start w:val="1"/>
      <w:numFmt w:val="lowerRoman"/>
      <w:lvlText w:val="%6."/>
      <w:lvlJc w:val="right"/>
      <w:pPr>
        <w:ind w:left="4415" w:hanging="180"/>
      </w:pPr>
    </w:lvl>
    <w:lvl w:ilvl="6" w:tplc="FFFFFFFF" w:tentative="1">
      <w:start w:val="1"/>
      <w:numFmt w:val="decimal"/>
      <w:lvlText w:val="%7."/>
      <w:lvlJc w:val="left"/>
      <w:pPr>
        <w:ind w:left="5135" w:hanging="360"/>
      </w:pPr>
    </w:lvl>
    <w:lvl w:ilvl="7" w:tplc="FFFFFFFF" w:tentative="1">
      <w:start w:val="1"/>
      <w:numFmt w:val="lowerLetter"/>
      <w:lvlText w:val="%8."/>
      <w:lvlJc w:val="left"/>
      <w:pPr>
        <w:ind w:left="5855" w:hanging="360"/>
      </w:pPr>
    </w:lvl>
    <w:lvl w:ilvl="8" w:tplc="FFFFFFFF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7" w15:restartNumberingAfterBreak="0">
    <w:nsid w:val="543A69E9"/>
    <w:multiLevelType w:val="multilevel"/>
    <w:tmpl w:val="44EEBA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CD610A"/>
    <w:multiLevelType w:val="multilevel"/>
    <w:tmpl w:val="F50A1B28"/>
    <w:lvl w:ilvl="0">
      <w:start w:val="4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FC642C"/>
    <w:multiLevelType w:val="hybridMultilevel"/>
    <w:tmpl w:val="1A523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479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6C3A93"/>
    <w:multiLevelType w:val="hybridMultilevel"/>
    <w:tmpl w:val="9BB0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4DEB"/>
    <w:multiLevelType w:val="hybridMultilevel"/>
    <w:tmpl w:val="4024105E"/>
    <w:lvl w:ilvl="0" w:tplc="3BBE6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270EB"/>
    <w:multiLevelType w:val="multilevel"/>
    <w:tmpl w:val="9842A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A702C5"/>
    <w:multiLevelType w:val="multilevel"/>
    <w:tmpl w:val="CCDC8E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956B79"/>
    <w:multiLevelType w:val="hybridMultilevel"/>
    <w:tmpl w:val="ACA48C6E"/>
    <w:lvl w:ilvl="0" w:tplc="DC0A26E2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ED5E64"/>
    <w:multiLevelType w:val="hybridMultilevel"/>
    <w:tmpl w:val="945880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741C2"/>
    <w:multiLevelType w:val="hybridMultilevel"/>
    <w:tmpl w:val="5F8E4222"/>
    <w:lvl w:ilvl="0" w:tplc="7DAE0F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AF56375"/>
    <w:multiLevelType w:val="multilevel"/>
    <w:tmpl w:val="8952A3C4"/>
    <w:lvl w:ilvl="0">
      <w:start w:val="4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A9280D"/>
    <w:multiLevelType w:val="hybridMultilevel"/>
    <w:tmpl w:val="6F882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56A00"/>
    <w:multiLevelType w:val="multilevel"/>
    <w:tmpl w:val="880465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i w:val="0"/>
      </w:rPr>
    </w:lvl>
  </w:abstractNum>
  <w:abstractNum w:abstractNumId="31" w15:restartNumberingAfterBreak="0">
    <w:nsid w:val="7F275E9B"/>
    <w:multiLevelType w:val="hybridMultilevel"/>
    <w:tmpl w:val="E57C41F2"/>
    <w:lvl w:ilvl="0" w:tplc="778CB4AE">
      <w:start w:val="1"/>
      <w:numFmt w:val="upperLetter"/>
      <w:lvlText w:val="%1."/>
      <w:lvlJc w:val="left"/>
      <w:pPr>
        <w:ind w:left="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5" w:hanging="360"/>
      </w:pPr>
    </w:lvl>
    <w:lvl w:ilvl="2" w:tplc="0405001B" w:tentative="1">
      <w:start w:val="1"/>
      <w:numFmt w:val="lowerRoman"/>
      <w:lvlText w:val="%3."/>
      <w:lvlJc w:val="right"/>
      <w:pPr>
        <w:ind w:left="2255" w:hanging="180"/>
      </w:pPr>
    </w:lvl>
    <w:lvl w:ilvl="3" w:tplc="0405000F" w:tentative="1">
      <w:start w:val="1"/>
      <w:numFmt w:val="decimal"/>
      <w:lvlText w:val="%4."/>
      <w:lvlJc w:val="left"/>
      <w:pPr>
        <w:ind w:left="2975" w:hanging="360"/>
      </w:pPr>
    </w:lvl>
    <w:lvl w:ilvl="4" w:tplc="04050019" w:tentative="1">
      <w:start w:val="1"/>
      <w:numFmt w:val="lowerLetter"/>
      <w:lvlText w:val="%5."/>
      <w:lvlJc w:val="left"/>
      <w:pPr>
        <w:ind w:left="3695" w:hanging="360"/>
      </w:pPr>
    </w:lvl>
    <w:lvl w:ilvl="5" w:tplc="0405001B" w:tentative="1">
      <w:start w:val="1"/>
      <w:numFmt w:val="lowerRoman"/>
      <w:lvlText w:val="%6."/>
      <w:lvlJc w:val="right"/>
      <w:pPr>
        <w:ind w:left="4415" w:hanging="180"/>
      </w:pPr>
    </w:lvl>
    <w:lvl w:ilvl="6" w:tplc="0405000F" w:tentative="1">
      <w:start w:val="1"/>
      <w:numFmt w:val="decimal"/>
      <w:lvlText w:val="%7."/>
      <w:lvlJc w:val="left"/>
      <w:pPr>
        <w:ind w:left="5135" w:hanging="360"/>
      </w:pPr>
    </w:lvl>
    <w:lvl w:ilvl="7" w:tplc="04050019" w:tentative="1">
      <w:start w:val="1"/>
      <w:numFmt w:val="lowerLetter"/>
      <w:lvlText w:val="%8."/>
      <w:lvlJc w:val="left"/>
      <w:pPr>
        <w:ind w:left="5855" w:hanging="360"/>
      </w:pPr>
    </w:lvl>
    <w:lvl w:ilvl="8" w:tplc="0405001B" w:tentative="1">
      <w:start w:val="1"/>
      <w:numFmt w:val="lowerRoman"/>
      <w:lvlText w:val="%9."/>
      <w:lvlJc w:val="right"/>
      <w:pPr>
        <w:ind w:left="6575" w:hanging="180"/>
      </w:pPr>
    </w:lvl>
  </w:abstractNum>
  <w:num w:numId="1" w16cid:durableId="1741515084">
    <w:abstractNumId w:val="7"/>
  </w:num>
  <w:num w:numId="2" w16cid:durableId="1650590376">
    <w:abstractNumId w:val="29"/>
  </w:num>
  <w:num w:numId="3" w16cid:durableId="227305452">
    <w:abstractNumId w:val="20"/>
  </w:num>
  <w:num w:numId="4" w16cid:durableId="1396274478">
    <w:abstractNumId w:val="17"/>
  </w:num>
  <w:num w:numId="5" w16cid:durableId="881480841">
    <w:abstractNumId w:val="14"/>
  </w:num>
  <w:num w:numId="6" w16cid:durableId="55713296">
    <w:abstractNumId w:val="23"/>
  </w:num>
  <w:num w:numId="7" w16cid:durableId="222179280">
    <w:abstractNumId w:val="19"/>
  </w:num>
  <w:num w:numId="8" w16cid:durableId="1531141747">
    <w:abstractNumId w:val="21"/>
  </w:num>
  <w:num w:numId="9" w16cid:durableId="538397732">
    <w:abstractNumId w:val="26"/>
  </w:num>
  <w:num w:numId="10" w16cid:durableId="1502625163">
    <w:abstractNumId w:val="8"/>
  </w:num>
  <w:num w:numId="11" w16cid:durableId="789057369">
    <w:abstractNumId w:val="25"/>
  </w:num>
  <w:num w:numId="12" w16cid:durableId="1211964782">
    <w:abstractNumId w:val="13"/>
  </w:num>
  <w:num w:numId="13" w16cid:durableId="2112436498">
    <w:abstractNumId w:val="28"/>
  </w:num>
  <w:num w:numId="14" w16cid:durableId="1860391959">
    <w:abstractNumId w:val="24"/>
  </w:num>
  <w:num w:numId="15" w16cid:durableId="2133092274">
    <w:abstractNumId w:val="0"/>
  </w:num>
  <w:num w:numId="16" w16cid:durableId="1484005231">
    <w:abstractNumId w:val="18"/>
  </w:num>
  <w:num w:numId="17" w16cid:durableId="560023440">
    <w:abstractNumId w:val="9"/>
  </w:num>
  <w:num w:numId="18" w16cid:durableId="34618617">
    <w:abstractNumId w:val="4"/>
  </w:num>
  <w:num w:numId="19" w16cid:durableId="2143688100">
    <w:abstractNumId w:val="10"/>
  </w:num>
  <w:num w:numId="20" w16cid:durableId="1279028707">
    <w:abstractNumId w:val="31"/>
  </w:num>
  <w:num w:numId="21" w16cid:durableId="726299717">
    <w:abstractNumId w:val="15"/>
  </w:num>
  <w:num w:numId="22" w16cid:durableId="357506157">
    <w:abstractNumId w:val="2"/>
  </w:num>
  <w:num w:numId="23" w16cid:durableId="272709353">
    <w:abstractNumId w:val="1"/>
  </w:num>
  <w:num w:numId="24" w16cid:durableId="1249269038">
    <w:abstractNumId w:val="16"/>
  </w:num>
  <w:num w:numId="25" w16cid:durableId="1898006448">
    <w:abstractNumId w:val="11"/>
  </w:num>
  <w:num w:numId="26" w16cid:durableId="326057462">
    <w:abstractNumId w:val="3"/>
  </w:num>
  <w:num w:numId="27" w16cid:durableId="1607158597">
    <w:abstractNumId w:val="12"/>
  </w:num>
  <w:num w:numId="28" w16cid:durableId="1888030498">
    <w:abstractNumId w:val="22"/>
  </w:num>
  <w:num w:numId="29" w16cid:durableId="499085188">
    <w:abstractNumId w:val="30"/>
  </w:num>
  <w:num w:numId="30" w16cid:durableId="1101991530">
    <w:abstractNumId w:val="6"/>
  </w:num>
  <w:num w:numId="31" w16cid:durableId="1807577887">
    <w:abstractNumId w:val="5"/>
  </w:num>
  <w:num w:numId="32" w16cid:durableId="20727326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8E"/>
    <w:rsid w:val="0000590D"/>
    <w:rsid w:val="00010FF6"/>
    <w:rsid w:val="000126C0"/>
    <w:rsid w:val="0001748D"/>
    <w:rsid w:val="00020427"/>
    <w:rsid w:val="0002056D"/>
    <w:rsid w:val="00024AD7"/>
    <w:rsid w:val="00033864"/>
    <w:rsid w:val="00034AE7"/>
    <w:rsid w:val="000351B8"/>
    <w:rsid w:val="00040C62"/>
    <w:rsid w:val="0004206B"/>
    <w:rsid w:val="0004259D"/>
    <w:rsid w:val="00043861"/>
    <w:rsid w:val="00045FF7"/>
    <w:rsid w:val="00047ECB"/>
    <w:rsid w:val="00056F45"/>
    <w:rsid w:val="00060ABA"/>
    <w:rsid w:val="00060B51"/>
    <w:rsid w:val="00067141"/>
    <w:rsid w:val="00067479"/>
    <w:rsid w:val="000677CE"/>
    <w:rsid w:val="00070E5A"/>
    <w:rsid w:val="00073D8E"/>
    <w:rsid w:val="00074433"/>
    <w:rsid w:val="00074B9B"/>
    <w:rsid w:val="00076ACD"/>
    <w:rsid w:val="0008136A"/>
    <w:rsid w:val="00083B96"/>
    <w:rsid w:val="00086197"/>
    <w:rsid w:val="00086B15"/>
    <w:rsid w:val="0008718F"/>
    <w:rsid w:val="0009277C"/>
    <w:rsid w:val="00093B65"/>
    <w:rsid w:val="00095825"/>
    <w:rsid w:val="00095F75"/>
    <w:rsid w:val="000A10E2"/>
    <w:rsid w:val="000A1264"/>
    <w:rsid w:val="000A1A36"/>
    <w:rsid w:val="000A4D4D"/>
    <w:rsid w:val="000A6231"/>
    <w:rsid w:val="000B0A2D"/>
    <w:rsid w:val="000B2391"/>
    <w:rsid w:val="000B74A0"/>
    <w:rsid w:val="000C35D0"/>
    <w:rsid w:val="000C7A92"/>
    <w:rsid w:val="000D02E9"/>
    <w:rsid w:val="000D1512"/>
    <w:rsid w:val="000D29C6"/>
    <w:rsid w:val="000D4CC9"/>
    <w:rsid w:val="000D70BC"/>
    <w:rsid w:val="000D796B"/>
    <w:rsid w:val="000E2368"/>
    <w:rsid w:val="000E3105"/>
    <w:rsid w:val="000F151E"/>
    <w:rsid w:val="000F1A0C"/>
    <w:rsid w:val="000F2B96"/>
    <w:rsid w:val="000F674C"/>
    <w:rsid w:val="00100248"/>
    <w:rsid w:val="0010117D"/>
    <w:rsid w:val="00111321"/>
    <w:rsid w:val="001119BD"/>
    <w:rsid w:val="00111CD0"/>
    <w:rsid w:val="00120564"/>
    <w:rsid w:val="001259E0"/>
    <w:rsid w:val="001319A5"/>
    <w:rsid w:val="00134431"/>
    <w:rsid w:val="00134FF2"/>
    <w:rsid w:val="00140149"/>
    <w:rsid w:val="00144361"/>
    <w:rsid w:val="00145F5C"/>
    <w:rsid w:val="00147ACD"/>
    <w:rsid w:val="00151CB7"/>
    <w:rsid w:val="0015633C"/>
    <w:rsid w:val="001621AD"/>
    <w:rsid w:val="001651CA"/>
    <w:rsid w:val="00172BC5"/>
    <w:rsid w:val="00174324"/>
    <w:rsid w:val="00176FE6"/>
    <w:rsid w:val="001803D7"/>
    <w:rsid w:val="00183121"/>
    <w:rsid w:val="00183E4B"/>
    <w:rsid w:val="00192895"/>
    <w:rsid w:val="00195770"/>
    <w:rsid w:val="0019677B"/>
    <w:rsid w:val="00196860"/>
    <w:rsid w:val="00196A4B"/>
    <w:rsid w:val="001A26A9"/>
    <w:rsid w:val="001A313A"/>
    <w:rsid w:val="001A346D"/>
    <w:rsid w:val="001A7DB6"/>
    <w:rsid w:val="001B1AFB"/>
    <w:rsid w:val="001B23B7"/>
    <w:rsid w:val="001B3C84"/>
    <w:rsid w:val="001B6997"/>
    <w:rsid w:val="001C160E"/>
    <w:rsid w:val="001C63D6"/>
    <w:rsid w:val="001C7C1C"/>
    <w:rsid w:val="001D1616"/>
    <w:rsid w:val="001D2E14"/>
    <w:rsid w:val="001E277E"/>
    <w:rsid w:val="001E4B4B"/>
    <w:rsid w:val="001E6773"/>
    <w:rsid w:val="001F0651"/>
    <w:rsid w:val="0020592D"/>
    <w:rsid w:val="00214316"/>
    <w:rsid w:val="00223698"/>
    <w:rsid w:val="00226EA1"/>
    <w:rsid w:val="00227143"/>
    <w:rsid w:val="002334B2"/>
    <w:rsid w:val="00240EF6"/>
    <w:rsid w:val="0025057A"/>
    <w:rsid w:val="002520E0"/>
    <w:rsid w:val="00273768"/>
    <w:rsid w:val="00273920"/>
    <w:rsid w:val="00280111"/>
    <w:rsid w:val="0028264B"/>
    <w:rsid w:val="00285D8E"/>
    <w:rsid w:val="00294FF0"/>
    <w:rsid w:val="00295A90"/>
    <w:rsid w:val="0029762E"/>
    <w:rsid w:val="002A14DC"/>
    <w:rsid w:val="002A47F9"/>
    <w:rsid w:val="002A4CB5"/>
    <w:rsid w:val="002A79B6"/>
    <w:rsid w:val="002B31C6"/>
    <w:rsid w:val="002B4035"/>
    <w:rsid w:val="002C0D97"/>
    <w:rsid w:val="002C4353"/>
    <w:rsid w:val="002C47C1"/>
    <w:rsid w:val="002C620E"/>
    <w:rsid w:val="002D242C"/>
    <w:rsid w:val="002E2768"/>
    <w:rsid w:val="002E315B"/>
    <w:rsid w:val="002E45F6"/>
    <w:rsid w:val="002E665F"/>
    <w:rsid w:val="002E70E9"/>
    <w:rsid w:val="00301DCA"/>
    <w:rsid w:val="0030393D"/>
    <w:rsid w:val="00321F44"/>
    <w:rsid w:val="00331B8E"/>
    <w:rsid w:val="0033249F"/>
    <w:rsid w:val="003335A7"/>
    <w:rsid w:val="00333682"/>
    <w:rsid w:val="003344C4"/>
    <w:rsid w:val="0033477B"/>
    <w:rsid w:val="00337500"/>
    <w:rsid w:val="00340A40"/>
    <w:rsid w:val="003425E4"/>
    <w:rsid w:val="00343CBB"/>
    <w:rsid w:val="00350E8E"/>
    <w:rsid w:val="00351E8F"/>
    <w:rsid w:val="00352B22"/>
    <w:rsid w:val="003530D6"/>
    <w:rsid w:val="0035544F"/>
    <w:rsid w:val="00355F4F"/>
    <w:rsid w:val="00360018"/>
    <w:rsid w:val="003647EA"/>
    <w:rsid w:val="003708D4"/>
    <w:rsid w:val="00373856"/>
    <w:rsid w:val="00376841"/>
    <w:rsid w:val="003813F1"/>
    <w:rsid w:val="003932AD"/>
    <w:rsid w:val="00395F29"/>
    <w:rsid w:val="003A5C64"/>
    <w:rsid w:val="003B298B"/>
    <w:rsid w:val="003B56A4"/>
    <w:rsid w:val="003C7BD7"/>
    <w:rsid w:val="003D5C4D"/>
    <w:rsid w:val="003E580D"/>
    <w:rsid w:val="003F04D1"/>
    <w:rsid w:val="003F0CF7"/>
    <w:rsid w:val="003F3499"/>
    <w:rsid w:val="003F3D32"/>
    <w:rsid w:val="003F4B35"/>
    <w:rsid w:val="003F5E89"/>
    <w:rsid w:val="004332D3"/>
    <w:rsid w:val="00442302"/>
    <w:rsid w:val="00443B0F"/>
    <w:rsid w:val="004464A9"/>
    <w:rsid w:val="00450DD2"/>
    <w:rsid w:val="004511F4"/>
    <w:rsid w:val="004539CC"/>
    <w:rsid w:val="00461DFB"/>
    <w:rsid w:val="0046448A"/>
    <w:rsid w:val="00466021"/>
    <w:rsid w:val="004670BE"/>
    <w:rsid w:val="00470A30"/>
    <w:rsid w:val="00471C80"/>
    <w:rsid w:val="00472A08"/>
    <w:rsid w:val="00475CDB"/>
    <w:rsid w:val="00476D8D"/>
    <w:rsid w:val="0048334F"/>
    <w:rsid w:val="00492FB4"/>
    <w:rsid w:val="004941EC"/>
    <w:rsid w:val="004A104C"/>
    <w:rsid w:val="004A2E84"/>
    <w:rsid w:val="004A47A3"/>
    <w:rsid w:val="004A5891"/>
    <w:rsid w:val="004B0867"/>
    <w:rsid w:val="004B2853"/>
    <w:rsid w:val="004C1018"/>
    <w:rsid w:val="004C2C09"/>
    <w:rsid w:val="004C423F"/>
    <w:rsid w:val="004C4DC3"/>
    <w:rsid w:val="004C5C48"/>
    <w:rsid w:val="004D2055"/>
    <w:rsid w:val="004D31FD"/>
    <w:rsid w:val="004D63EB"/>
    <w:rsid w:val="004D7EE3"/>
    <w:rsid w:val="004E11AB"/>
    <w:rsid w:val="004E372C"/>
    <w:rsid w:val="004E7F84"/>
    <w:rsid w:val="004F3841"/>
    <w:rsid w:val="004F6F18"/>
    <w:rsid w:val="0050209A"/>
    <w:rsid w:val="00513DDE"/>
    <w:rsid w:val="00516D16"/>
    <w:rsid w:val="00521441"/>
    <w:rsid w:val="00524FCF"/>
    <w:rsid w:val="0052654F"/>
    <w:rsid w:val="00530930"/>
    <w:rsid w:val="00531287"/>
    <w:rsid w:val="00554DB9"/>
    <w:rsid w:val="0055699E"/>
    <w:rsid w:val="00557AC0"/>
    <w:rsid w:val="00561258"/>
    <w:rsid w:val="005622A4"/>
    <w:rsid w:val="0056630B"/>
    <w:rsid w:val="005676E0"/>
    <w:rsid w:val="005717AB"/>
    <w:rsid w:val="0057260A"/>
    <w:rsid w:val="00574760"/>
    <w:rsid w:val="00586A26"/>
    <w:rsid w:val="00592089"/>
    <w:rsid w:val="0059318E"/>
    <w:rsid w:val="005A0D0E"/>
    <w:rsid w:val="005A1A0E"/>
    <w:rsid w:val="005A3B43"/>
    <w:rsid w:val="005A3D7A"/>
    <w:rsid w:val="005A7AD0"/>
    <w:rsid w:val="005B6B40"/>
    <w:rsid w:val="005B70F1"/>
    <w:rsid w:val="005C3FD4"/>
    <w:rsid w:val="005D2DA3"/>
    <w:rsid w:val="005D3A62"/>
    <w:rsid w:val="005E70CE"/>
    <w:rsid w:val="005F260B"/>
    <w:rsid w:val="005F4ABC"/>
    <w:rsid w:val="005F56BE"/>
    <w:rsid w:val="005F6CC8"/>
    <w:rsid w:val="006001D0"/>
    <w:rsid w:val="0060156A"/>
    <w:rsid w:val="00601C8B"/>
    <w:rsid w:val="00603CFB"/>
    <w:rsid w:val="00604CF9"/>
    <w:rsid w:val="006131C9"/>
    <w:rsid w:val="00613BCB"/>
    <w:rsid w:val="00613F4B"/>
    <w:rsid w:val="0061756B"/>
    <w:rsid w:val="006243BA"/>
    <w:rsid w:val="00624ACF"/>
    <w:rsid w:val="00625E95"/>
    <w:rsid w:val="00626520"/>
    <w:rsid w:val="0064273A"/>
    <w:rsid w:val="006453F3"/>
    <w:rsid w:val="006529FF"/>
    <w:rsid w:val="006533BD"/>
    <w:rsid w:val="006538B6"/>
    <w:rsid w:val="00654733"/>
    <w:rsid w:val="0065674D"/>
    <w:rsid w:val="00656D6B"/>
    <w:rsid w:val="00664DE4"/>
    <w:rsid w:val="00667133"/>
    <w:rsid w:val="00672EC9"/>
    <w:rsid w:val="0068147E"/>
    <w:rsid w:val="00683E9E"/>
    <w:rsid w:val="006862DE"/>
    <w:rsid w:val="0069154F"/>
    <w:rsid w:val="00691CE5"/>
    <w:rsid w:val="006946E2"/>
    <w:rsid w:val="00694DC5"/>
    <w:rsid w:val="00697684"/>
    <w:rsid w:val="006A0646"/>
    <w:rsid w:val="006A15E2"/>
    <w:rsid w:val="006A1820"/>
    <w:rsid w:val="006A2B7E"/>
    <w:rsid w:val="006A3E84"/>
    <w:rsid w:val="006A447C"/>
    <w:rsid w:val="006B4D28"/>
    <w:rsid w:val="006C2FB5"/>
    <w:rsid w:val="006C470B"/>
    <w:rsid w:val="006C788D"/>
    <w:rsid w:val="006D0270"/>
    <w:rsid w:val="006E1030"/>
    <w:rsid w:val="006E479D"/>
    <w:rsid w:val="006F3B4D"/>
    <w:rsid w:val="006F43E0"/>
    <w:rsid w:val="00710669"/>
    <w:rsid w:val="00724100"/>
    <w:rsid w:val="00727C97"/>
    <w:rsid w:val="00731B23"/>
    <w:rsid w:val="00733F9A"/>
    <w:rsid w:val="0073429B"/>
    <w:rsid w:val="00734620"/>
    <w:rsid w:val="00735C5F"/>
    <w:rsid w:val="007438FC"/>
    <w:rsid w:val="00745150"/>
    <w:rsid w:val="00745B77"/>
    <w:rsid w:val="0076020A"/>
    <w:rsid w:val="0076335E"/>
    <w:rsid w:val="00771364"/>
    <w:rsid w:val="00772089"/>
    <w:rsid w:val="00774439"/>
    <w:rsid w:val="007778A8"/>
    <w:rsid w:val="00784D53"/>
    <w:rsid w:val="00791D2A"/>
    <w:rsid w:val="00793A3A"/>
    <w:rsid w:val="00795E8A"/>
    <w:rsid w:val="0079716F"/>
    <w:rsid w:val="007A019A"/>
    <w:rsid w:val="007A1EF0"/>
    <w:rsid w:val="007A50B3"/>
    <w:rsid w:val="007B0D61"/>
    <w:rsid w:val="007B1545"/>
    <w:rsid w:val="007B5001"/>
    <w:rsid w:val="007C31DD"/>
    <w:rsid w:val="007C6A30"/>
    <w:rsid w:val="007D004C"/>
    <w:rsid w:val="007D14C2"/>
    <w:rsid w:val="007D4096"/>
    <w:rsid w:val="007D77B1"/>
    <w:rsid w:val="007E12FA"/>
    <w:rsid w:val="007E4AAF"/>
    <w:rsid w:val="007E5E1D"/>
    <w:rsid w:val="007E76A5"/>
    <w:rsid w:val="007E7E20"/>
    <w:rsid w:val="007F544C"/>
    <w:rsid w:val="007F6F34"/>
    <w:rsid w:val="008027A9"/>
    <w:rsid w:val="008219BF"/>
    <w:rsid w:val="00831A17"/>
    <w:rsid w:val="00835665"/>
    <w:rsid w:val="008360D8"/>
    <w:rsid w:val="00836F8D"/>
    <w:rsid w:val="0083720F"/>
    <w:rsid w:val="00841642"/>
    <w:rsid w:val="00844F96"/>
    <w:rsid w:val="00851CC1"/>
    <w:rsid w:val="00854334"/>
    <w:rsid w:val="00854806"/>
    <w:rsid w:val="0086275A"/>
    <w:rsid w:val="00863F65"/>
    <w:rsid w:val="00867C4B"/>
    <w:rsid w:val="00872F8A"/>
    <w:rsid w:val="008745E9"/>
    <w:rsid w:val="008758E3"/>
    <w:rsid w:val="00881F62"/>
    <w:rsid w:val="008827F5"/>
    <w:rsid w:val="008853B3"/>
    <w:rsid w:val="00885530"/>
    <w:rsid w:val="00885E17"/>
    <w:rsid w:val="008949D1"/>
    <w:rsid w:val="008B1038"/>
    <w:rsid w:val="008B731C"/>
    <w:rsid w:val="008C06BA"/>
    <w:rsid w:val="008C19B0"/>
    <w:rsid w:val="008C4633"/>
    <w:rsid w:val="008C4A0F"/>
    <w:rsid w:val="008C5BB4"/>
    <w:rsid w:val="008C5CA5"/>
    <w:rsid w:val="008C63A7"/>
    <w:rsid w:val="008D2673"/>
    <w:rsid w:val="008D557B"/>
    <w:rsid w:val="008D6182"/>
    <w:rsid w:val="008E38DF"/>
    <w:rsid w:val="008F169B"/>
    <w:rsid w:val="008F1C5D"/>
    <w:rsid w:val="008F424B"/>
    <w:rsid w:val="008F5B92"/>
    <w:rsid w:val="008F64B4"/>
    <w:rsid w:val="008F71EF"/>
    <w:rsid w:val="00900E36"/>
    <w:rsid w:val="00900E68"/>
    <w:rsid w:val="009035DC"/>
    <w:rsid w:val="009065DC"/>
    <w:rsid w:val="00917452"/>
    <w:rsid w:val="00917904"/>
    <w:rsid w:val="009179DE"/>
    <w:rsid w:val="00917DF6"/>
    <w:rsid w:val="00920B80"/>
    <w:rsid w:val="00924A30"/>
    <w:rsid w:val="00927429"/>
    <w:rsid w:val="009329D5"/>
    <w:rsid w:val="009378CA"/>
    <w:rsid w:val="009404C2"/>
    <w:rsid w:val="00944A45"/>
    <w:rsid w:val="00945024"/>
    <w:rsid w:val="00954A82"/>
    <w:rsid w:val="009551B5"/>
    <w:rsid w:val="009571D9"/>
    <w:rsid w:val="00960F48"/>
    <w:rsid w:val="00963A95"/>
    <w:rsid w:val="009644D7"/>
    <w:rsid w:val="0097040B"/>
    <w:rsid w:val="00971960"/>
    <w:rsid w:val="00972FB9"/>
    <w:rsid w:val="00974FA2"/>
    <w:rsid w:val="00976277"/>
    <w:rsid w:val="00976C0F"/>
    <w:rsid w:val="00981402"/>
    <w:rsid w:val="009837BB"/>
    <w:rsid w:val="00985F00"/>
    <w:rsid w:val="00990708"/>
    <w:rsid w:val="00993430"/>
    <w:rsid w:val="00994313"/>
    <w:rsid w:val="009A02F7"/>
    <w:rsid w:val="009A1303"/>
    <w:rsid w:val="009A5814"/>
    <w:rsid w:val="009A71A0"/>
    <w:rsid w:val="009A779B"/>
    <w:rsid w:val="009B72AD"/>
    <w:rsid w:val="009C0301"/>
    <w:rsid w:val="009C62EB"/>
    <w:rsid w:val="009D0648"/>
    <w:rsid w:val="009D4527"/>
    <w:rsid w:val="009E3919"/>
    <w:rsid w:val="009E5E3D"/>
    <w:rsid w:val="009E76CD"/>
    <w:rsid w:val="009F0081"/>
    <w:rsid w:val="009F2BD5"/>
    <w:rsid w:val="009F6CA0"/>
    <w:rsid w:val="009F6D42"/>
    <w:rsid w:val="00A0158E"/>
    <w:rsid w:val="00A14E26"/>
    <w:rsid w:val="00A167F6"/>
    <w:rsid w:val="00A20630"/>
    <w:rsid w:val="00A21D01"/>
    <w:rsid w:val="00A257FA"/>
    <w:rsid w:val="00A32ADA"/>
    <w:rsid w:val="00A40747"/>
    <w:rsid w:val="00A40F4D"/>
    <w:rsid w:val="00A4379A"/>
    <w:rsid w:val="00A43C18"/>
    <w:rsid w:val="00A44E69"/>
    <w:rsid w:val="00A566BD"/>
    <w:rsid w:val="00A61112"/>
    <w:rsid w:val="00A70985"/>
    <w:rsid w:val="00A75C3C"/>
    <w:rsid w:val="00A775D1"/>
    <w:rsid w:val="00A7786D"/>
    <w:rsid w:val="00A825E6"/>
    <w:rsid w:val="00A84997"/>
    <w:rsid w:val="00A853BA"/>
    <w:rsid w:val="00A85D69"/>
    <w:rsid w:val="00A86E3A"/>
    <w:rsid w:val="00A9772A"/>
    <w:rsid w:val="00AA08C6"/>
    <w:rsid w:val="00AA14F6"/>
    <w:rsid w:val="00AA1E36"/>
    <w:rsid w:val="00AA285B"/>
    <w:rsid w:val="00AA42BE"/>
    <w:rsid w:val="00AA5960"/>
    <w:rsid w:val="00AA7293"/>
    <w:rsid w:val="00AB2813"/>
    <w:rsid w:val="00AB7438"/>
    <w:rsid w:val="00AC11A1"/>
    <w:rsid w:val="00AC22D0"/>
    <w:rsid w:val="00AC5E38"/>
    <w:rsid w:val="00AD05F0"/>
    <w:rsid w:val="00AD0788"/>
    <w:rsid w:val="00AD24FE"/>
    <w:rsid w:val="00AD434C"/>
    <w:rsid w:val="00AD5CAC"/>
    <w:rsid w:val="00AD64DD"/>
    <w:rsid w:val="00AD775F"/>
    <w:rsid w:val="00AD7A45"/>
    <w:rsid w:val="00AF1DF4"/>
    <w:rsid w:val="00AF282D"/>
    <w:rsid w:val="00AF3A9F"/>
    <w:rsid w:val="00AF439D"/>
    <w:rsid w:val="00AF4EBA"/>
    <w:rsid w:val="00AF629F"/>
    <w:rsid w:val="00AF6F5B"/>
    <w:rsid w:val="00AF7C48"/>
    <w:rsid w:val="00B20B1A"/>
    <w:rsid w:val="00B21566"/>
    <w:rsid w:val="00B2241A"/>
    <w:rsid w:val="00B227E0"/>
    <w:rsid w:val="00B26978"/>
    <w:rsid w:val="00B27591"/>
    <w:rsid w:val="00B27F75"/>
    <w:rsid w:val="00B30158"/>
    <w:rsid w:val="00B31F09"/>
    <w:rsid w:val="00B33773"/>
    <w:rsid w:val="00B35B3D"/>
    <w:rsid w:val="00B47368"/>
    <w:rsid w:val="00B50C5B"/>
    <w:rsid w:val="00B50D0C"/>
    <w:rsid w:val="00B53D95"/>
    <w:rsid w:val="00B543EA"/>
    <w:rsid w:val="00B61C6F"/>
    <w:rsid w:val="00B62AE8"/>
    <w:rsid w:val="00B62B3E"/>
    <w:rsid w:val="00B66F13"/>
    <w:rsid w:val="00B67C0D"/>
    <w:rsid w:val="00B868A3"/>
    <w:rsid w:val="00B903E3"/>
    <w:rsid w:val="00B97A3E"/>
    <w:rsid w:val="00BA6A4E"/>
    <w:rsid w:val="00BB274E"/>
    <w:rsid w:val="00BB48C1"/>
    <w:rsid w:val="00BB6C27"/>
    <w:rsid w:val="00BB6D9E"/>
    <w:rsid w:val="00BB75C0"/>
    <w:rsid w:val="00BB782F"/>
    <w:rsid w:val="00BC66BE"/>
    <w:rsid w:val="00BC7F18"/>
    <w:rsid w:val="00BE1616"/>
    <w:rsid w:val="00BE4939"/>
    <w:rsid w:val="00BE593C"/>
    <w:rsid w:val="00BF20C5"/>
    <w:rsid w:val="00C01010"/>
    <w:rsid w:val="00C0120F"/>
    <w:rsid w:val="00C01339"/>
    <w:rsid w:val="00C0453A"/>
    <w:rsid w:val="00C24BC5"/>
    <w:rsid w:val="00C30D16"/>
    <w:rsid w:val="00C32301"/>
    <w:rsid w:val="00C3254E"/>
    <w:rsid w:val="00C34A7E"/>
    <w:rsid w:val="00C3636E"/>
    <w:rsid w:val="00C3703F"/>
    <w:rsid w:val="00C42218"/>
    <w:rsid w:val="00C4390C"/>
    <w:rsid w:val="00C4629D"/>
    <w:rsid w:val="00C50C12"/>
    <w:rsid w:val="00C56AEC"/>
    <w:rsid w:val="00C56B68"/>
    <w:rsid w:val="00C73A95"/>
    <w:rsid w:val="00C81D4D"/>
    <w:rsid w:val="00C84665"/>
    <w:rsid w:val="00C8695F"/>
    <w:rsid w:val="00C869CC"/>
    <w:rsid w:val="00C94925"/>
    <w:rsid w:val="00CA06D2"/>
    <w:rsid w:val="00CA0F65"/>
    <w:rsid w:val="00CA176E"/>
    <w:rsid w:val="00CA3E27"/>
    <w:rsid w:val="00CB108C"/>
    <w:rsid w:val="00CB3D09"/>
    <w:rsid w:val="00CB7BFA"/>
    <w:rsid w:val="00CC3370"/>
    <w:rsid w:val="00CC4330"/>
    <w:rsid w:val="00CC6855"/>
    <w:rsid w:val="00CC6BB0"/>
    <w:rsid w:val="00CD1AD6"/>
    <w:rsid w:val="00CE0389"/>
    <w:rsid w:val="00CE4F88"/>
    <w:rsid w:val="00CE6E18"/>
    <w:rsid w:val="00CF1CA7"/>
    <w:rsid w:val="00D0277F"/>
    <w:rsid w:val="00D03FB1"/>
    <w:rsid w:val="00D05BF8"/>
    <w:rsid w:val="00D05CC7"/>
    <w:rsid w:val="00D066CA"/>
    <w:rsid w:val="00D2422C"/>
    <w:rsid w:val="00D26C40"/>
    <w:rsid w:val="00D409AA"/>
    <w:rsid w:val="00D41014"/>
    <w:rsid w:val="00D43AC9"/>
    <w:rsid w:val="00D5704E"/>
    <w:rsid w:val="00D7525E"/>
    <w:rsid w:val="00D76418"/>
    <w:rsid w:val="00D80128"/>
    <w:rsid w:val="00D81613"/>
    <w:rsid w:val="00D83533"/>
    <w:rsid w:val="00DA1B4D"/>
    <w:rsid w:val="00DA1FEE"/>
    <w:rsid w:val="00DA5B33"/>
    <w:rsid w:val="00DA74B7"/>
    <w:rsid w:val="00DA7D95"/>
    <w:rsid w:val="00DB09B2"/>
    <w:rsid w:val="00DB1780"/>
    <w:rsid w:val="00DB2936"/>
    <w:rsid w:val="00DC3042"/>
    <w:rsid w:val="00DD160E"/>
    <w:rsid w:val="00DD2DFC"/>
    <w:rsid w:val="00DD542C"/>
    <w:rsid w:val="00DE2415"/>
    <w:rsid w:val="00DE427D"/>
    <w:rsid w:val="00DE49D9"/>
    <w:rsid w:val="00DE4F4A"/>
    <w:rsid w:val="00DF5ADA"/>
    <w:rsid w:val="00E0208F"/>
    <w:rsid w:val="00E0246F"/>
    <w:rsid w:val="00E15A3D"/>
    <w:rsid w:val="00E1670E"/>
    <w:rsid w:val="00E17AC8"/>
    <w:rsid w:val="00E17CE5"/>
    <w:rsid w:val="00E21EDE"/>
    <w:rsid w:val="00E231AA"/>
    <w:rsid w:val="00E24E7D"/>
    <w:rsid w:val="00E25F1E"/>
    <w:rsid w:val="00E3286F"/>
    <w:rsid w:val="00E329AF"/>
    <w:rsid w:val="00E34606"/>
    <w:rsid w:val="00E351B5"/>
    <w:rsid w:val="00E35325"/>
    <w:rsid w:val="00E35799"/>
    <w:rsid w:val="00E35968"/>
    <w:rsid w:val="00E36DA6"/>
    <w:rsid w:val="00E41448"/>
    <w:rsid w:val="00E418E5"/>
    <w:rsid w:val="00E51687"/>
    <w:rsid w:val="00E54065"/>
    <w:rsid w:val="00E600C2"/>
    <w:rsid w:val="00E639C8"/>
    <w:rsid w:val="00E66E42"/>
    <w:rsid w:val="00E7199B"/>
    <w:rsid w:val="00E71E76"/>
    <w:rsid w:val="00E72BF3"/>
    <w:rsid w:val="00E73D45"/>
    <w:rsid w:val="00E81280"/>
    <w:rsid w:val="00E93025"/>
    <w:rsid w:val="00EA06A5"/>
    <w:rsid w:val="00EA4F8F"/>
    <w:rsid w:val="00EA7B49"/>
    <w:rsid w:val="00EB6458"/>
    <w:rsid w:val="00EC444E"/>
    <w:rsid w:val="00EC44FA"/>
    <w:rsid w:val="00EC5FBF"/>
    <w:rsid w:val="00EC6975"/>
    <w:rsid w:val="00ED26D0"/>
    <w:rsid w:val="00ED4702"/>
    <w:rsid w:val="00ED61D6"/>
    <w:rsid w:val="00ED6464"/>
    <w:rsid w:val="00ED67A7"/>
    <w:rsid w:val="00ED6D67"/>
    <w:rsid w:val="00EE3C8D"/>
    <w:rsid w:val="00EE5C9D"/>
    <w:rsid w:val="00EF04C8"/>
    <w:rsid w:val="00EF6740"/>
    <w:rsid w:val="00F0026C"/>
    <w:rsid w:val="00F00332"/>
    <w:rsid w:val="00F014AE"/>
    <w:rsid w:val="00F03652"/>
    <w:rsid w:val="00F10A85"/>
    <w:rsid w:val="00F10AA7"/>
    <w:rsid w:val="00F11F9C"/>
    <w:rsid w:val="00F14702"/>
    <w:rsid w:val="00F15B6D"/>
    <w:rsid w:val="00F15B7F"/>
    <w:rsid w:val="00F2014A"/>
    <w:rsid w:val="00F258E8"/>
    <w:rsid w:val="00F26E56"/>
    <w:rsid w:val="00F30AE0"/>
    <w:rsid w:val="00F31B1E"/>
    <w:rsid w:val="00F37321"/>
    <w:rsid w:val="00F37C3B"/>
    <w:rsid w:val="00F46977"/>
    <w:rsid w:val="00F52099"/>
    <w:rsid w:val="00F57EA5"/>
    <w:rsid w:val="00F8096A"/>
    <w:rsid w:val="00F87268"/>
    <w:rsid w:val="00F87E5B"/>
    <w:rsid w:val="00F904A7"/>
    <w:rsid w:val="00F91240"/>
    <w:rsid w:val="00F95D7D"/>
    <w:rsid w:val="00F9658E"/>
    <w:rsid w:val="00F970AC"/>
    <w:rsid w:val="00FA3891"/>
    <w:rsid w:val="00FA40B1"/>
    <w:rsid w:val="00FA40BC"/>
    <w:rsid w:val="00FA4DF0"/>
    <w:rsid w:val="00FA612C"/>
    <w:rsid w:val="00FB3C5F"/>
    <w:rsid w:val="00FB6F44"/>
    <w:rsid w:val="00FC1C9C"/>
    <w:rsid w:val="00FC33F6"/>
    <w:rsid w:val="00FC3CB0"/>
    <w:rsid w:val="00FC427A"/>
    <w:rsid w:val="00FC531A"/>
    <w:rsid w:val="00FD283B"/>
    <w:rsid w:val="00FD6A72"/>
    <w:rsid w:val="00FD7E05"/>
    <w:rsid w:val="00FE047E"/>
    <w:rsid w:val="00FE145E"/>
    <w:rsid w:val="00FE3110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D3C6"/>
  <w15:chartTrackingRefBased/>
  <w15:docId w15:val="{C63578D1-F889-46E4-8240-084882AD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3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3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3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3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3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3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3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3D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3D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3D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D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D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D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73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7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3D8E"/>
    <w:rPr>
      <w:i/>
      <w:iCs/>
      <w:color w:val="404040" w:themeColor="text1" w:themeTint="BF"/>
    </w:rPr>
  </w:style>
  <w:style w:type="paragraph" w:styleId="Odstavecseseznamem">
    <w:name w:val="List Paragraph"/>
    <w:aliases w:val="List Paragraph1,List Paragraph2,List Paragraph_0,Nad,Nad1,Nad2,Nadpis pro KZ,Odstavec_muj,Odstavec_muj1,Odstavec_muj10,Odstavec_muj2,Odstavec_muj3,Odstavec_muj4,Odstavec_muj5,Odstavec_muj6,Odstavec_muj7,Odstavec_muj8,odrážky,tab obr"/>
    <w:basedOn w:val="Normln"/>
    <w:link w:val="OdstavecseseznamemChar"/>
    <w:uiPriority w:val="34"/>
    <w:qFormat/>
    <w:rsid w:val="00073D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3D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D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73D8E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F87E5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7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FA2"/>
  </w:style>
  <w:style w:type="paragraph" w:styleId="Zpat">
    <w:name w:val="footer"/>
    <w:basedOn w:val="Normln"/>
    <w:link w:val="ZpatChar"/>
    <w:uiPriority w:val="99"/>
    <w:unhideWhenUsed/>
    <w:rsid w:val="0097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FA2"/>
  </w:style>
  <w:style w:type="paragraph" w:styleId="Textpoznpodarou">
    <w:name w:val="footnote text"/>
    <w:basedOn w:val="Normln"/>
    <w:link w:val="TextpoznpodarouChar"/>
    <w:uiPriority w:val="99"/>
    <w:unhideWhenUsed/>
    <w:rsid w:val="000813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8136A"/>
    <w:rPr>
      <w:sz w:val="20"/>
      <w:szCs w:val="20"/>
    </w:rPr>
  </w:style>
  <w:style w:type="character" w:styleId="Znakapoznpodarou">
    <w:name w:val="footnote reference"/>
    <w:aliases w:val="12 b.,Appel note de bas de p,Appel note de bas de page,BVI fnr,Char Car Car Car Car,FR,Footnote Reference Superscript,Footnote symbol,Légende,PGI Fußnote Ziffer,PGI Fußnote Ziffer + Times New Roman,Voetnootverwijzing,Zúžené o ..."/>
    <w:basedOn w:val="Standardnpsmoodstavce"/>
    <w:link w:val="BVIfnrCharChar"/>
    <w:uiPriority w:val="99"/>
    <w:unhideWhenUsed/>
    <w:qFormat/>
    <w:rsid w:val="0008136A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8136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08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E73D45"/>
    <w:pPr>
      <w:spacing w:line="240" w:lineRule="exact"/>
    </w:pPr>
    <w:rPr>
      <w:vertAlign w:val="superscript"/>
    </w:rPr>
  </w:style>
  <w:style w:type="character" w:customStyle="1" w:styleId="OdstavecseseznamemChar">
    <w:name w:val="Odstavec se seznamem Char"/>
    <w:aliases w:val="List Paragraph1 Char,List Paragraph2 Char,List Paragraph_0 Char,Nad Char,Nad1 Char,Nad2 Char,Nadpis pro KZ Char,Odstavec_muj Char,Odstavec_muj1 Char,Odstavec_muj10 Char,Odstavec_muj2 Char,Odstavec_muj3 Char,Odstavec_muj4 Char"/>
    <w:basedOn w:val="Standardnpsmoodstavce"/>
    <w:link w:val="Odstavecseseznamem"/>
    <w:uiPriority w:val="34"/>
    <w:qFormat/>
    <w:locked/>
    <w:rsid w:val="00E73D45"/>
  </w:style>
  <w:style w:type="character" w:styleId="Odkaznakoment">
    <w:name w:val="annotation reference"/>
    <w:basedOn w:val="Standardnpsmoodstavce"/>
    <w:uiPriority w:val="99"/>
    <w:semiHidden/>
    <w:unhideWhenUsed/>
    <w:rsid w:val="005B6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6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6B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6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6B40"/>
    <w:rPr>
      <w:b/>
      <w:bCs/>
      <w:sz w:val="20"/>
      <w:szCs w:val="20"/>
    </w:rPr>
  </w:style>
  <w:style w:type="paragraph" w:customStyle="1" w:styleId="NormlnKZ">
    <w:name w:val="Normální KZ"/>
    <w:basedOn w:val="Normln"/>
    <w:rsid w:val="00350E8E"/>
    <w:pPr>
      <w:spacing w:after="120" w:line="240" w:lineRule="auto"/>
      <w:ind w:firstLine="425"/>
      <w:jc w:val="both"/>
    </w:pPr>
    <w:rPr>
      <w:rFonts w:ascii="Calibri Light" w:eastAsia="Times New Roman" w:hAnsi="Calibri Light" w:cs="Times New Roman"/>
      <w:color w:val="000000" w:themeColor="text1"/>
      <w:kern w:val="0"/>
      <w:sz w:val="24"/>
      <w:szCs w:val="24"/>
      <w:lang w:eastAsia="cs-CZ"/>
      <w14:ligatures w14:val="none"/>
    </w:rPr>
  </w:style>
  <w:style w:type="paragraph" w:customStyle="1" w:styleId="Pa18">
    <w:name w:val="Pa18"/>
    <w:basedOn w:val="Normln"/>
    <w:next w:val="Normln"/>
    <w:uiPriority w:val="99"/>
    <w:rsid w:val="00350E8E"/>
    <w:pPr>
      <w:autoSpaceDE w:val="0"/>
      <w:autoSpaceDN w:val="0"/>
      <w:adjustRightInd w:val="0"/>
      <w:spacing w:after="0" w:line="211" w:lineRule="atLeast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customStyle="1" w:styleId="Pa19">
    <w:name w:val="Pa19"/>
    <w:basedOn w:val="Normln"/>
    <w:next w:val="Normln"/>
    <w:uiPriority w:val="99"/>
    <w:rsid w:val="00350E8E"/>
    <w:pPr>
      <w:autoSpaceDE w:val="0"/>
      <w:autoSpaceDN w:val="0"/>
      <w:adjustRightInd w:val="0"/>
      <w:spacing w:after="0" w:line="211" w:lineRule="atLeast"/>
    </w:pPr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character" w:customStyle="1" w:styleId="A14">
    <w:name w:val="A14"/>
    <w:uiPriority w:val="99"/>
    <w:rsid w:val="00350E8E"/>
    <w:rPr>
      <w:b/>
      <w:bCs w:val="0"/>
      <w:color w:val="000000"/>
      <w:sz w:val="54"/>
    </w:rPr>
  </w:style>
  <w:style w:type="paragraph" w:styleId="Bezmezer">
    <w:name w:val="No Spacing"/>
    <w:uiPriority w:val="1"/>
    <w:qFormat/>
    <w:rsid w:val="002C4353"/>
    <w:pPr>
      <w:spacing w:after="0" w:line="240" w:lineRule="auto"/>
    </w:pPr>
  </w:style>
  <w:style w:type="paragraph" w:styleId="Revize">
    <w:name w:val="Revision"/>
    <w:hidden/>
    <w:uiPriority w:val="99"/>
    <w:semiHidden/>
    <w:rsid w:val="005C3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Pr&#225;ce\Kontroly\KA%2024%2015\KZ\Porovn&#225;n&#237;%20n&#225;klad&#367;%20na%20deta&#353;ovan&#225;%20pracovi&#353;t&#283;%20do%20KP%20a%20KZ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r>
              <a:rPr lang="cs-CZ" sz="1200" b="1">
                <a:solidFill>
                  <a:schemeClr val="tx1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Provozní</a:t>
            </a:r>
            <a:r>
              <a:rPr lang="cs-CZ" sz="1200" b="1" baseline="0">
                <a:solidFill>
                  <a:schemeClr val="tx1"/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 výdaje na jedno systemizované místo (v tis. Kč/rok)</a:t>
            </a:r>
          </a:p>
          <a:p>
            <a:pPr algn="ctr">
              <a:defRPr sz="1200"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r>
              <a:rPr lang="cs-CZ" sz="1200" b="1" i="0" u="none" strike="noStrike" baseline="0">
                <a:solidFill>
                  <a:schemeClr val="tx1"/>
                </a:solidFill>
                <a:effectLst/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rPr>
              <a:t>spojené s užíváním prostor dislokovaných pracovišť ERÚ</a:t>
            </a:r>
            <a:endParaRPr lang="cs-CZ" sz="1200" b="1">
              <a:solidFill>
                <a:schemeClr val="tx1"/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defRPr>
          </a:pPr>
          <a:endParaRPr lang="cs-CZ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'Tabulka do KZ nájmy'!$O$45</c:f>
              <c:strCache>
                <c:ptCount val="1"/>
                <c:pt idx="0">
                  <c:v>Nájemné</c:v>
                </c:pt>
              </c:strCache>
            </c:strRef>
          </c:tx>
          <c:spPr>
            <a:solidFill>
              <a:srgbClr val="AF1953"/>
            </a:solidFill>
            <a:ln>
              <a:noFill/>
            </a:ln>
            <a:effectLst/>
          </c:spPr>
          <c:invertIfNegative val="0"/>
          <c:cat>
            <c:multiLvlStrRef>
              <c:f>'Tabulka do KZ nájmy'!$M$46:$N$53</c:f>
              <c:multiLvlStrCache>
                <c:ptCount val="8"/>
                <c:lvl>
                  <c:pt idx="0">
                    <c:v>Praha</c:v>
                  </c:pt>
                  <c:pt idx="1">
                    <c:v>Ostrava</c:v>
                  </c:pt>
                  <c:pt idx="2">
                    <c:v>Praha</c:v>
                  </c:pt>
                  <c:pt idx="3">
                    <c:v>Ostrava</c:v>
                  </c:pt>
                  <c:pt idx="4">
                    <c:v>Praha</c:v>
                  </c:pt>
                  <c:pt idx="5">
                    <c:v>Ostrava</c:v>
                  </c:pt>
                  <c:pt idx="6">
                    <c:v>Praha</c:v>
                  </c:pt>
                  <c:pt idx="7">
                    <c:v>Ostrava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'Tabulka do KZ nájmy'!$O$46:$O$53</c:f>
              <c:numCache>
                <c:formatCode>General</c:formatCode>
                <c:ptCount val="8"/>
                <c:pt idx="0" formatCode="#,##0.00">
                  <c:v>50.256470588235295</c:v>
                </c:pt>
                <c:pt idx="2" formatCode="#,##0.00">
                  <c:v>58.604711538461544</c:v>
                </c:pt>
                <c:pt idx="4" formatCode="#,##0.00">
                  <c:v>101.40214285714285</c:v>
                </c:pt>
                <c:pt idx="6" formatCode="#,##0.00">
                  <c:v>104.69271428571429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6F-4D0E-A2BB-E3254885A10C}"/>
            </c:ext>
          </c:extLst>
        </c:ser>
        <c:ser>
          <c:idx val="1"/>
          <c:order val="1"/>
          <c:tx>
            <c:strRef>
              <c:f>'Tabulka do KZ nájmy'!$P$45</c:f>
              <c:strCache>
                <c:ptCount val="1"/>
                <c:pt idx="0">
                  <c:v>Provozní výdaje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cat>
            <c:multiLvlStrRef>
              <c:f>'Tabulka do KZ nájmy'!$M$46:$N$53</c:f>
              <c:multiLvlStrCache>
                <c:ptCount val="8"/>
                <c:lvl>
                  <c:pt idx="0">
                    <c:v>Praha</c:v>
                  </c:pt>
                  <c:pt idx="1">
                    <c:v>Ostrava</c:v>
                  </c:pt>
                  <c:pt idx="2">
                    <c:v>Praha</c:v>
                  </c:pt>
                  <c:pt idx="3">
                    <c:v>Ostrava</c:v>
                  </c:pt>
                  <c:pt idx="4">
                    <c:v>Praha</c:v>
                  </c:pt>
                  <c:pt idx="5">
                    <c:v>Ostrava</c:v>
                  </c:pt>
                  <c:pt idx="6">
                    <c:v>Praha</c:v>
                  </c:pt>
                  <c:pt idx="7">
                    <c:v>Ostrava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'Tabulka do KZ nájmy'!$P$46:$P$53</c:f>
              <c:numCache>
                <c:formatCode>General</c:formatCode>
                <c:ptCount val="8"/>
                <c:pt idx="0" formatCode="#,##0.00">
                  <c:v>28.0477911764706</c:v>
                </c:pt>
                <c:pt idx="2" formatCode="#,##0.00">
                  <c:v>35.622009807692294</c:v>
                </c:pt>
                <c:pt idx="4" formatCode="#,##0.00">
                  <c:v>45.404497857142893</c:v>
                </c:pt>
                <c:pt idx="6" formatCode="#,##0.00">
                  <c:v>53.558576000000016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6F-4D0E-A2BB-E3254885A10C}"/>
            </c:ext>
          </c:extLst>
        </c:ser>
        <c:ser>
          <c:idx val="2"/>
          <c:order val="2"/>
          <c:tx>
            <c:strRef>
              <c:f>'Tabulka do KZ nájmy'!$Q$45</c:f>
              <c:strCache>
                <c:ptCount val="1"/>
                <c:pt idx="0">
                  <c:v>Nájemné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'Tabulka do KZ nájmy'!$M$46:$N$53</c:f>
              <c:multiLvlStrCache>
                <c:ptCount val="8"/>
                <c:lvl>
                  <c:pt idx="0">
                    <c:v>Praha</c:v>
                  </c:pt>
                  <c:pt idx="1">
                    <c:v>Ostrava</c:v>
                  </c:pt>
                  <c:pt idx="2">
                    <c:v>Praha</c:v>
                  </c:pt>
                  <c:pt idx="3">
                    <c:v>Ostrava</c:v>
                  </c:pt>
                  <c:pt idx="4">
                    <c:v>Praha</c:v>
                  </c:pt>
                  <c:pt idx="5">
                    <c:v>Ostrava</c:v>
                  </c:pt>
                  <c:pt idx="6">
                    <c:v>Praha</c:v>
                  </c:pt>
                  <c:pt idx="7">
                    <c:v>Ostrava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'Tabulka do KZ nájmy'!$Q$46:$Q$53</c:f>
              <c:numCache>
                <c:formatCode>#,##0.00</c:formatCode>
                <c:ptCount val="8"/>
                <c:pt idx="1">
                  <c:v>0</c:v>
                </c:pt>
                <c:pt idx="3">
                  <c:v>0</c:v>
                </c:pt>
                <c:pt idx="5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6F-4D0E-A2BB-E3254885A10C}"/>
            </c:ext>
          </c:extLst>
        </c:ser>
        <c:ser>
          <c:idx val="3"/>
          <c:order val="3"/>
          <c:tx>
            <c:strRef>
              <c:f>'Tabulka do KZ nájmy'!$R$45</c:f>
              <c:strCache>
                <c:ptCount val="1"/>
                <c:pt idx="0">
                  <c:v>Provozní výdaje</c:v>
                </c:pt>
              </c:strCache>
            </c:strRef>
          </c:tx>
          <c:spPr>
            <a:solidFill>
              <a:srgbClr val="2EB3A1"/>
            </a:solidFill>
            <a:ln>
              <a:noFill/>
            </a:ln>
            <a:effectLst/>
          </c:spPr>
          <c:invertIfNegative val="0"/>
          <c:cat>
            <c:multiLvlStrRef>
              <c:f>'Tabulka do KZ nájmy'!$M$46:$N$53</c:f>
              <c:multiLvlStrCache>
                <c:ptCount val="8"/>
                <c:lvl>
                  <c:pt idx="0">
                    <c:v>Praha</c:v>
                  </c:pt>
                  <c:pt idx="1">
                    <c:v>Ostrava</c:v>
                  </c:pt>
                  <c:pt idx="2">
                    <c:v>Praha</c:v>
                  </c:pt>
                  <c:pt idx="3">
                    <c:v>Ostrava</c:v>
                  </c:pt>
                  <c:pt idx="4">
                    <c:v>Praha</c:v>
                  </c:pt>
                  <c:pt idx="5">
                    <c:v>Ostrava</c:v>
                  </c:pt>
                  <c:pt idx="6">
                    <c:v>Praha</c:v>
                  </c:pt>
                  <c:pt idx="7">
                    <c:v>Ostrava</c:v>
                  </c:pt>
                </c:lvl>
                <c:lvl>
                  <c:pt idx="0">
                    <c:v>2019</c:v>
                  </c:pt>
                  <c:pt idx="2">
                    <c:v>2020</c:v>
                  </c:pt>
                  <c:pt idx="4">
                    <c:v>2021</c:v>
                  </c:pt>
                  <c:pt idx="6">
                    <c:v>2022</c:v>
                  </c:pt>
                </c:lvl>
              </c:multiLvlStrCache>
            </c:multiLvlStrRef>
          </c:cat>
          <c:val>
            <c:numRef>
              <c:f>'Tabulka do KZ nájmy'!$R$46:$R$53</c:f>
              <c:numCache>
                <c:formatCode>#,##0.00</c:formatCode>
                <c:ptCount val="8"/>
                <c:pt idx="1">
                  <c:v>14.807579074074075</c:v>
                </c:pt>
                <c:pt idx="3">
                  <c:v>21.986788333333333</c:v>
                </c:pt>
                <c:pt idx="5">
                  <c:v>18.474438333333332</c:v>
                </c:pt>
                <c:pt idx="7">
                  <c:v>18.806494000000001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6F-4D0E-A2BB-E3254885A1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4031295"/>
        <c:axId val="1954023615"/>
      </c:barChart>
      <c:catAx>
        <c:axId val="1954031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endParaRPr lang="cs-CZ"/>
          </a:p>
        </c:txPr>
        <c:crossAx val="1954023615"/>
        <c:crosses val="autoZero"/>
        <c:auto val="1"/>
        <c:lblAlgn val="ctr"/>
        <c:lblOffset val="100"/>
        <c:noMultiLvlLbl val="0"/>
      </c:catAx>
      <c:valAx>
        <c:axId val="1954023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Calibri" panose="020F0502020204030204" pitchFamily="34" charset="0"/>
                <a:cs typeface="Calibri" panose="020F0502020204030204" pitchFamily="34" charset="0"/>
              </a:defRPr>
            </a:pPr>
            <a:endParaRPr lang="cs-CZ"/>
          </a:p>
        </c:txPr>
        <c:crossAx val="1954031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Calibri" panose="020F0502020204030204" pitchFamily="34" charset="0"/>
              <a:cs typeface="Calibri" panose="020F0502020204030204" pitchFamily="34" charset="0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E903-B794-4971-BC56-CDCC0102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5408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24/15 - Majetek a peněžní prostředky, se kterými je příslušný hospodařit Energetický regulační úřad</dc:title>
  <dc:subject>Kontrolní závěr z kontrolní akce NKÚ č. 24/15 - Majetek a peněžní prostředky, se kterými je příslušný hospodařit Energetický regulační úřad</dc:subject>
  <dc:creator>Nejvyšší kontrolní úřad</dc:creator>
  <cp:keywords>kontrolní závěr; ERÚ; Energetický regulační úřad</cp:keywords>
  <dc:description/>
  <cp:lastModifiedBy>KOKRDA Daniel</cp:lastModifiedBy>
  <cp:revision>3</cp:revision>
  <cp:lastPrinted>2025-05-28T07:07:00Z</cp:lastPrinted>
  <dcterms:created xsi:type="dcterms:W3CDTF">2025-06-11T11:49:00Z</dcterms:created>
  <dcterms:modified xsi:type="dcterms:W3CDTF">2025-07-02T05:59:00Z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54a6faa2,676ae94,285c0312</vt:lpwstr>
  </property>
  <property fmtid="{D5CDD505-2E9C-101B-9397-08002B2CF9AE}" pid="3" name="ClassificationContentMarkingFooterFontProps">
    <vt:lpwstr>#828282,12,Calibri</vt:lpwstr>
  </property>
  <property fmtid="{D5CDD505-2E9C-101B-9397-08002B2CF9AE}" pid="4" name="ClassificationContentMarkingFooterText">
    <vt:lpwstr>TLP:CLEAR</vt:lpwstr>
  </property>
  <property fmtid="{D5CDD505-2E9C-101B-9397-08002B2CF9AE}" pid="5" name="MSIP_Label_2a5ca00b-f9dd-452b-9d75-e1b2c69cf7c5_Enabled">
    <vt:lpwstr>true</vt:lpwstr>
  </property>
  <property fmtid="{D5CDD505-2E9C-101B-9397-08002B2CF9AE}" pid="6" name="MSIP_Label_2a5ca00b-f9dd-452b-9d75-e1b2c69cf7c5_SetDate">
    <vt:lpwstr>2025-07-02T05:59:45Z</vt:lpwstr>
  </property>
  <property fmtid="{D5CDD505-2E9C-101B-9397-08002B2CF9AE}" pid="7" name="MSIP_Label_2a5ca00b-f9dd-452b-9d75-e1b2c69cf7c5_Method">
    <vt:lpwstr>Privileged</vt:lpwstr>
  </property>
  <property fmtid="{D5CDD505-2E9C-101B-9397-08002B2CF9AE}" pid="8" name="MSIP_Label_2a5ca00b-f9dd-452b-9d75-e1b2c69cf7c5_Name">
    <vt:lpwstr>Nízká</vt:lpwstr>
  </property>
  <property fmtid="{D5CDD505-2E9C-101B-9397-08002B2CF9AE}" pid="9" name="MSIP_Label_2a5ca00b-f9dd-452b-9d75-e1b2c69cf7c5_SiteId">
    <vt:lpwstr>e6d36204-fa0a-4bdb-9b60-80f84bb090cf</vt:lpwstr>
  </property>
  <property fmtid="{D5CDD505-2E9C-101B-9397-08002B2CF9AE}" pid="10" name="MSIP_Label_2a5ca00b-f9dd-452b-9d75-e1b2c69cf7c5_ActionId">
    <vt:lpwstr>2bff34ce-94aa-449b-85a2-198f405954ac</vt:lpwstr>
  </property>
  <property fmtid="{D5CDD505-2E9C-101B-9397-08002B2CF9AE}" pid="11" name="MSIP_Label_2a5ca00b-f9dd-452b-9d75-e1b2c69cf7c5_ContentBits">
    <vt:lpwstr>2</vt:lpwstr>
  </property>
  <property fmtid="{D5CDD505-2E9C-101B-9397-08002B2CF9AE}" pid="12" name="MSIP_Label_2a5ca00b-f9dd-452b-9d75-e1b2c69cf7c5_Tag">
    <vt:lpwstr>10, 0, 1, 1</vt:lpwstr>
  </property>
</Properties>
</file>