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CE97E" w14:textId="4EE932A8" w:rsidR="0054155E" w:rsidRDefault="5D7EA41B" w:rsidP="00397707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E139E81" wp14:editId="707FE4D1">
            <wp:extent cx="720000" cy="620760"/>
            <wp:effectExtent l="0" t="0" r="4445" b="8255"/>
            <wp:docPr id="1843899009" name="Picture 1843899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99009" name="Picture 1843899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7526A" w14:textId="579E7EE3" w:rsidR="0054155E" w:rsidRPr="00516FD5" w:rsidRDefault="0054155E" w:rsidP="008D4EE7">
      <w:pPr>
        <w:pStyle w:val="Nzev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4C16AED" w14:textId="77777777" w:rsidR="008D4EE7" w:rsidRPr="00516FD5" w:rsidRDefault="008D4EE7" w:rsidP="008D4EE7">
      <w:pPr>
        <w:spacing w:after="0" w:line="240" w:lineRule="auto"/>
        <w:jc w:val="center"/>
        <w:rPr>
          <w:sz w:val="28"/>
          <w:szCs w:val="28"/>
        </w:rPr>
      </w:pPr>
    </w:p>
    <w:p w14:paraId="4C240285" w14:textId="49CB8316" w:rsidR="0054155E" w:rsidRPr="00516FD5" w:rsidRDefault="5D7EA41B" w:rsidP="008D4EE7">
      <w:pPr>
        <w:pStyle w:val="Nzev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516FD5">
        <w:rPr>
          <w:rFonts w:ascii="Calibri" w:eastAsia="Calibri" w:hAnsi="Calibri" w:cs="Calibri"/>
          <w:b/>
          <w:bCs/>
          <w:sz w:val="28"/>
          <w:szCs w:val="28"/>
        </w:rPr>
        <w:t>Kontrolní závěr z kontrolní akce</w:t>
      </w:r>
    </w:p>
    <w:p w14:paraId="2BD42A41" w14:textId="7676AEF1" w:rsidR="0054155E" w:rsidRPr="00516FD5" w:rsidRDefault="0054155E" w:rsidP="008D4EE7">
      <w:pPr>
        <w:pStyle w:val="Nzev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A086283" w14:textId="54AE7E7B" w:rsidR="0054155E" w:rsidRPr="00516FD5" w:rsidRDefault="5D7EA41B" w:rsidP="008D4EE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516FD5">
        <w:rPr>
          <w:rFonts w:ascii="Calibri" w:eastAsia="Calibri" w:hAnsi="Calibri" w:cs="Calibri"/>
          <w:b/>
          <w:bCs/>
          <w:sz w:val="28"/>
          <w:szCs w:val="28"/>
        </w:rPr>
        <w:t>24/24</w:t>
      </w:r>
    </w:p>
    <w:p w14:paraId="486641F9" w14:textId="422243A5" w:rsidR="0054155E" w:rsidRPr="00516FD5" w:rsidRDefault="0054155E" w:rsidP="008D4EE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10F550C" w14:textId="57286251" w:rsidR="0054155E" w:rsidRPr="00516FD5" w:rsidRDefault="71DAE046" w:rsidP="008D4EE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516FD5">
        <w:rPr>
          <w:rFonts w:ascii="Calibri" w:eastAsia="Calibri" w:hAnsi="Calibri" w:cs="Calibri"/>
          <w:b/>
          <w:bCs/>
          <w:sz w:val="28"/>
          <w:szCs w:val="28"/>
        </w:rPr>
        <w:t>Peněžní prostředky vynakládané Ministerstvem průmyslu a obchodu na podporu zvyšování energetické účinnosti a obnovitelných zdrojů energie</w:t>
      </w:r>
    </w:p>
    <w:p w14:paraId="60878750" w14:textId="44627553" w:rsidR="0054155E" w:rsidRPr="00516FD5" w:rsidRDefault="0054155E" w:rsidP="008D4EE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71ADF777" w14:textId="103BC021" w:rsidR="0054155E" w:rsidRPr="00516FD5" w:rsidRDefault="0054155E" w:rsidP="008D4EE7">
      <w:pPr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2C2532E5" w14:textId="38A9E416" w:rsidR="0054155E" w:rsidRDefault="5D7EA41B" w:rsidP="00397707">
      <w:pPr>
        <w:spacing w:after="0" w:line="240" w:lineRule="auto"/>
        <w:jc w:val="both"/>
        <w:rPr>
          <w:rFonts w:ascii="Calibri" w:eastAsia="Calibri" w:hAnsi="Calibri" w:cs="Calibri"/>
        </w:rPr>
      </w:pPr>
      <w:r w:rsidRPr="11B524A4">
        <w:rPr>
          <w:rFonts w:ascii="Calibri" w:eastAsia="Calibri" w:hAnsi="Calibri" w:cs="Calibri"/>
        </w:rPr>
        <w:t>Kontrolní akce byla zařazena do plánu kontrolní činnosti Nejvyššího kontrolního úřadu (dále také „NKÚ“) na rok 202</w:t>
      </w:r>
      <w:r w:rsidR="6EECF60F" w:rsidRPr="11B524A4">
        <w:rPr>
          <w:rFonts w:ascii="Calibri" w:eastAsia="Calibri" w:hAnsi="Calibri" w:cs="Calibri"/>
        </w:rPr>
        <w:t>4</w:t>
      </w:r>
      <w:r w:rsidRPr="11B524A4">
        <w:rPr>
          <w:rFonts w:ascii="Calibri" w:eastAsia="Calibri" w:hAnsi="Calibri" w:cs="Calibri"/>
        </w:rPr>
        <w:t xml:space="preserve"> pod číslem 2</w:t>
      </w:r>
      <w:r w:rsidR="192B1997" w:rsidRPr="11B524A4">
        <w:rPr>
          <w:rFonts w:ascii="Calibri" w:eastAsia="Calibri" w:hAnsi="Calibri" w:cs="Calibri"/>
        </w:rPr>
        <w:t>4</w:t>
      </w:r>
      <w:r w:rsidRPr="11B524A4">
        <w:rPr>
          <w:rFonts w:ascii="Calibri" w:eastAsia="Calibri" w:hAnsi="Calibri" w:cs="Calibri"/>
        </w:rPr>
        <w:t>/</w:t>
      </w:r>
      <w:r w:rsidR="4F207DCB" w:rsidRPr="11B524A4">
        <w:rPr>
          <w:rFonts w:ascii="Calibri" w:eastAsia="Calibri" w:hAnsi="Calibri" w:cs="Calibri"/>
        </w:rPr>
        <w:t>24</w:t>
      </w:r>
      <w:r w:rsidRPr="11B524A4">
        <w:rPr>
          <w:rFonts w:ascii="Calibri" w:eastAsia="Calibri" w:hAnsi="Calibri" w:cs="Calibri"/>
        </w:rPr>
        <w:t xml:space="preserve">. Kontrolní akci řídil a kontrolní závěr vypracoval člen NKÚ </w:t>
      </w:r>
      <w:r w:rsidR="2D65D703" w:rsidRPr="11B524A4">
        <w:rPr>
          <w:rFonts w:ascii="Calibri" w:eastAsia="Calibri" w:hAnsi="Calibri" w:cs="Calibri"/>
        </w:rPr>
        <w:t>RND</w:t>
      </w:r>
      <w:r w:rsidRPr="11B524A4">
        <w:rPr>
          <w:rFonts w:ascii="Calibri" w:eastAsia="Calibri" w:hAnsi="Calibri" w:cs="Calibri"/>
        </w:rPr>
        <w:t>r</w:t>
      </w:r>
      <w:r w:rsidR="3AAAD4ED" w:rsidRPr="11B524A4">
        <w:rPr>
          <w:rFonts w:ascii="Calibri" w:eastAsia="Calibri" w:hAnsi="Calibri" w:cs="Calibri"/>
        </w:rPr>
        <w:t>.</w:t>
      </w:r>
      <w:r w:rsidR="7F040B09" w:rsidRPr="11B524A4">
        <w:rPr>
          <w:rFonts w:ascii="Calibri" w:eastAsia="Calibri" w:hAnsi="Calibri" w:cs="Calibri"/>
        </w:rPr>
        <w:t xml:space="preserve"> Petr </w:t>
      </w:r>
      <w:proofErr w:type="spellStart"/>
      <w:r w:rsidR="7F040B09" w:rsidRPr="11B524A4">
        <w:rPr>
          <w:rFonts w:ascii="Calibri" w:eastAsia="Calibri" w:hAnsi="Calibri" w:cs="Calibri"/>
        </w:rPr>
        <w:t>Neuvirt</w:t>
      </w:r>
      <w:proofErr w:type="spellEnd"/>
      <w:r w:rsidRPr="11B524A4">
        <w:rPr>
          <w:rFonts w:ascii="Calibri" w:eastAsia="Calibri" w:hAnsi="Calibri" w:cs="Calibri"/>
        </w:rPr>
        <w:t>.</w:t>
      </w:r>
    </w:p>
    <w:p w14:paraId="1664E9D5" w14:textId="5F4676B2" w:rsidR="0054155E" w:rsidRDefault="0054155E" w:rsidP="003977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A8A5BB9" w14:textId="6303B40C" w:rsidR="0054155E" w:rsidRDefault="5D7EA41B" w:rsidP="00397707">
      <w:pPr>
        <w:spacing w:after="0" w:line="24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</w:rPr>
        <w:t xml:space="preserve">Cílem kontroly bylo prověřit, zda </w:t>
      </w:r>
      <w:r w:rsidR="67B46237" w:rsidRPr="4DDA3A72">
        <w:rPr>
          <w:rFonts w:ascii="Calibri" w:eastAsia="Calibri" w:hAnsi="Calibri" w:cs="Calibri"/>
        </w:rPr>
        <w:t>peněžní prostředky poskytované Ministerstvem průmyslu a</w:t>
      </w:r>
      <w:r w:rsidR="00397707">
        <w:rPr>
          <w:rFonts w:ascii="Calibri" w:eastAsia="Calibri" w:hAnsi="Calibri" w:cs="Calibri"/>
        </w:rPr>
        <w:t> </w:t>
      </w:r>
      <w:r w:rsidR="67B46237" w:rsidRPr="4DDA3A72">
        <w:rPr>
          <w:rFonts w:ascii="Calibri" w:eastAsia="Calibri" w:hAnsi="Calibri" w:cs="Calibri"/>
        </w:rPr>
        <w:t>obchodu na zvyšování energetické účinnosti a obnovitelné zdroje energie byly vynakládány účelně a v souladu s právními předpisy.</w:t>
      </w:r>
    </w:p>
    <w:p w14:paraId="37A93843" w14:textId="2D447A29" w:rsidR="0054155E" w:rsidRDefault="0054155E" w:rsidP="00397707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7372D6A0" w14:textId="51407796" w:rsidR="0054155E" w:rsidRDefault="5D7EA41B" w:rsidP="00397707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4DDA3A72">
        <w:rPr>
          <w:rFonts w:ascii="Calibri" w:eastAsia="Calibri" w:hAnsi="Calibri" w:cs="Calibri"/>
          <w:b/>
          <w:bCs/>
        </w:rPr>
        <w:t>Kontrolované osoby:</w:t>
      </w:r>
    </w:p>
    <w:p w14:paraId="5489FF4C" w14:textId="0709ED89" w:rsidR="0054155E" w:rsidRDefault="47E04AA7" w:rsidP="00397707">
      <w:pPr>
        <w:tabs>
          <w:tab w:val="right" w:pos="8931"/>
        </w:tabs>
        <w:spacing w:after="0" w:line="24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</w:rPr>
        <w:t>Ministerstvo průmyslu a obchodu</w:t>
      </w:r>
      <w:r w:rsidR="1C222DAE" w:rsidRPr="4DDA3A72">
        <w:rPr>
          <w:rFonts w:ascii="Calibri" w:eastAsia="Calibri" w:hAnsi="Calibri" w:cs="Calibri"/>
        </w:rPr>
        <w:t xml:space="preserve"> (dále také </w:t>
      </w:r>
      <w:r w:rsidR="5B547C75" w:rsidRPr="4DDA3A72">
        <w:rPr>
          <w:rFonts w:ascii="Calibri" w:eastAsia="Calibri" w:hAnsi="Calibri" w:cs="Calibri"/>
        </w:rPr>
        <w:t>„</w:t>
      </w:r>
      <w:r w:rsidR="1C222DAE" w:rsidRPr="4DDA3A72">
        <w:rPr>
          <w:rFonts w:ascii="Calibri" w:eastAsia="Calibri" w:hAnsi="Calibri" w:cs="Calibri"/>
        </w:rPr>
        <w:t>MPO”</w:t>
      </w:r>
      <w:r w:rsidR="7BA02EA6" w:rsidRPr="4DDA3A72">
        <w:rPr>
          <w:rFonts w:ascii="Calibri" w:eastAsia="Calibri" w:hAnsi="Calibri" w:cs="Calibri"/>
        </w:rPr>
        <w:t>)</w:t>
      </w:r>
      <w:r w:rsidR="0001509B">
        <w:rPr>
          <w:rFonts w:ascii="Calibri" w:eastAsia="Calibri" w:hAnsi="Calibri" w:cs="Calibri"/>
        </w:rPr>
        <w:t>;</w:t>
      </w:r>
    </w:p>
    <w:p w14:paraId="22043471" w14:textId="30ECC71B" w:rsidR="0054155E" w:rsidRDefault="47E04AA7" w:rsidP="00397707">
      <w:pPr>
        <w:tabs>
          <w:tab w:val="right" w:pos="8931"/>
        </w:tabs>
        <w:spacing w:after="0" w:line="24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</w:rPr>
        <w:t>Agentura pro podnikání a inovace</w:t>
      </w:r>
      <w:r w:rsidR="006820E7">
        <w:rPr>
          <w:rFonts w:ascii="Calibri" w:eastAsia="Calibri" w:hAnsi="Calibri" w:cs="Calibri"/>
        </w:rPr>
        <w:t>, Praha</w:t>
      </w:r>
      <w:r w:rsidR="2595AC36" w:rsidRPr="4DDA3A72">
        <w:rPr>
          <w:rFonts w:ascii="Calibri" w:eastAsia="Calibri" w:hAnsi="Calibri" w:cs="Calibri"/>
        </w:rPr>
        <w:t xml:space="preserve"> (dále také </w:t>
      </w:r>
      <w:r w:rsidR="54B37874" w:rsidRPr="4DDA3A72">
        <w:rPr>
          <w:rFonts w:ascii="Calibri" w:eastAsia="Calibri" w:hAnsi="Calibri" w:cs="Calibri"/>
        </w:rPr>
        <w:t>„</w:t>
      </w:r>
      <w:r w:rsidR="2595AC36" w:rsidRPr="4DDA3A72">
        <w:rPr>
          <w:rFonts w:ascii="Calibri" w:eastAsia="Calibri" w:hAnsi="Calibri" w:cs="Calibri"/>
        </w:rPr>
        <w:t>API”)</w:t>
      </w:r>
      <w:r w:rsidR="0001509B">
        <w:rPr>
          <w:rFonts w:ascii="Calibri" w:eastAsia="Calibri" w:hAnsi="Calibri" w:cs="Calibri"/>
        </w:rPr>
        <w:t>;</w:t>
      </w:r>
    </w:p>
    <w:p w14:paraId="17276282" w14:textId="4532FBB1" w:rsidR="0054155E" w:rsidRDefault="0001509B" w:rsidP="00397707">
      <w:pPr>
        <w:tabs>
          <w:tab w:val="right" w:pos="8931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</w:t>
      </w:r>
      <w:r w:rsidR="47E04AA7" w:rsidRPr="00397707">
        <w:rPr>
          <w:rFonts w:ascii="Calibri" w:eastAsia="Calibri" w:hAnsi="Calibri" w:cs="Calibri"/>
        </w:rPr>
        <w:t>ybraní příjemci podpory:</w:t>
      </w:r>
      <w:r w:rsidR="18F9C0E0" w:rsidRPr="00397707">
        <w:rPr>
          <w:rFonts w:ascii="Calibri" w:eastAsia="Calibri" w:hAnsi="Calibri" w:cs="Calibri"/>
        </w:rPr>
        <w:t xml:space="preserve"> </w:t>
      </w:r>
      <w:r w:rsidR="47E04AA7" w:rsidRPr="4DDA3A72">
        <w:rPr>
          <w:rFonts w:ascii="Calibri" w:eastAsia="Calibri" w:hAnsi="Calibri" w:cs="Calibri"/>
        </w:rPr>
        <w:t xml:space="preserve">BBG </w:t>
      </w:r>
      <w:proofErr w:type="spellStart"/>
      <w:r w:rsidR="47E04AA7" w:rsidRPr="4DDA3A72">
        <w:rPr>
          <w:rFonts w:ascii="Calibri" w:eastAsia="Calibri" w:hAnsi="Calibri" w:cs="Calibri"/>
        </w:rPr>
        <w:t>group</w:t>
      </w:r>
      <w:proofErr w:type="spellEnd"/>
      <w:r w:rsidR="47E04AA7" w:rsidRPr="4DDA3A72">
        <w:rPr>
          <w:rFonts w:ascii="Calibri" w:eastAsia="Calibri" w:hAnsi="Calibri" w:cs="Calibri"/>
        </w:rPr>
        <w:t xml:space="preserve">, s.r.o., </w:t>
      </w:r>
      <w:r w:rsidR="00F838B2">
        <w:rPr>
          <w:rFonts w:ascii="Calibri" w:eastAsia="Calibri" w:hAnsi="Calibri" w:cs="Calibri"/>
        </w:rPr>
        <w:t xml:space="preserve">Praha, </w:t>
      </w:r>
      <w:r w:rsidR="47E04AA7" w:rsidRPr="4DDA3A72">
        <w:rPr>
          <w:rFonts w:ascii="Calibri" w:eastAsia="Calibri" w:hAnsi="Calibri" w:cs="Calibri"/>
        </w:rPr>
        <w:t>Dopravní podnik města Brna,</w:t>
      </w:r>
      <w:r w:rsidR="00F838B2">
        <w:rPr>
          <w:rFonts w:ascii="Calibri" w:eastAsia="Calibri" w:hAnsi="Calibri" w:cs="Calibri"/>
        </w:rPr>
        <w:t xml:space="preserve"> a.s.,</w:t>
      </w:r>
      <w:r w:rsidR="47E04AA7" w:rsidRPr="4DDA3A72">
        <w:rPr>
          <w:rFonts w:ascii="Calibri" w:eastAsia="Calibri" w:hAnsi="Calibri" w:cs="Calibri"/>
        </w:rPr>
        <w:t xml:space="preserve"> Dopravní podnik Ostrava a.s., DTS Vrbenský, a.s., </w:t>
      </w:r>
      <w:r w:rsidR="00F838B2">
        <w:rPr>
          <w:rFonts w:ascii="Calibri" w:eastAsia="Calibri" w:hAnsi="Calibri" w:cs="Calibri"/>
        </w:rPr>
        <w:t xml:space="preserve">Most, </w:t>
      </w:r>
      <w:r w:rsidR="47E04AA7" w:rsidRPr="4DDA3A72">
        <w:rPr>
          <w:rFonts w:ascii="Calibri" w:eastAsia="Calibri" w:hAnsi="Calibri" w:cs="Calibri"/>
        </w:rPr>
        <w:t xml:space="preserve">ELE SERVIS CZ s.r.o., </w:t>
      </w:r>
      <w:r w:rsidR="00F838B2">
        <w:rPr>
          <w:rFonts w:ascii="Calibri" w:eastAsia="Calibri" w:hAnsi="Calibri" w:cs="Calibri"/>
        </w:rPr>
        <w:t xml:space="preserve">Praha, </w:t>
      </w:r>
      <w:r w:rsidR="47E04AA7" w:rsidRPr="4DDA3A72">
        <w:rPr>
          <w:rFonts w:ascii="Calibri" w:eastAsia="Calibri" w:hAnsi="Calibri" w:cs="Calibri"/>
        </w:rPr>
        <w:t xml:space="preserve">CHRIŠTOF, spol. s r.o., </w:t>
      </w:r>
      <w:r w:rsidR="00F838B2">
        <w:rPr>
          <w:rFonts w:ascii="Calibri" w:eastAsia="Calibri" w:hAnsi="Calibri" w:cs="Calibri"/>
        </w:rPr>
        <w:t xml:space="preserve">Brno, </w:t>
      </w:r>
      <w:r w:rsidR="47E04AA7" w:rsidRPr="4DDA3A72">
        <w:rPr>
          <w:rFonts w:ascii="Calibri" w:eastAsia="Calibri" w:hAnsi="Calibri" w:cs="Calibri"/>
        </w:rPr>
        <w:t>IZOPOL DVOŘÁK, s.r.o.</w:t>
      </w:r>
      <w:r w:rsidR="14F5594C" w:rsidRPr="4DDA3A72">
        <w:rPr>
          <w:rFonts w:ascii="Calibri" w:eastAsia="Calibri" w:hAnsi="Calibri" w:cs="Calibri"/>
        </w:rPr>
        <w:t>,</w:t>
      </w:r>
      <w:r w:rsidR="47E04AA7" w:rsidRPr="4DDA3A72">
        <w:rPr>
          <w:rFonts w:ascii="Calibri" w:eastAsia="Calibri" w:hAnsi="Calibri" w:cs="Calibri"/>
        </w:rPr>
        <w:t xml:space="preserve"> </w:t>
      </w:r>
      <w:r w:rsidR="00F838B2">
        <w:rPr>
          <w:rFonts w:ascii="Calibri" w:eastAsia="Calibri" w:hAnsi="Calibri" w:cs="Calibri"/>
        </w:rPr>
        <w:t xml:space="preserve">Plzeň, </w:t>
      </w:r>
      <w:r w:rsidR="47E04AA7" w:rsidRPr="4DDA3A72">
        <w:rPr>
          <w:rFonts w:ascii="Calibri" w:eastAsia="Calibri" w:hAnsi="Calibri" w:cs="Calibri"/>
        </w:rPr>
        <w:t xml:space="preserve">MEDIA EFEKT, s.r.o., </w:t>
      </w:r>
      <w:r w:rsidR="00F838B2">
        <w:rPr>
          <w:rFonts w:ascii="Calibri" w:eastAsia="Calibri" w:hAnsi="Calibri" w:cs="Calibri"/>
        </w:rPr>
        <w:t xml:space="preserve">Brno, </w:t>
      </w:r>
      <w:r w:rsidR="47E04AA7" w:rsidRPr="4DDA3A72">
        <w:rPr>
          <w:rFonts w:ascii="Calibri" w:eastAsia="Calibri" w:hAnsi="Calibri" w:cs="Calibri"/>
        </w:rPr>
        <w:t xml:space="preserve">MJ Play a.s., </w:t>
      </w:r>
      <w:r w:rsidR="00F838B2">
        <w:rPr>
          <w:rFonts w:ascii="Calibri" w:eastAsia="Calibri" w:hAnsi="Calibri" w:cs="Calibri"/>
        </w:rPr>
        <w:t xml:space="preserve">Praha, </w:t>
      </w:r>
      <w:r w:rsidR="47E04AA7" w:rsidRPr="4DDA3A72">
        <w:rPr>
          <w:rFonts w:ascii="Calibri" w:eastAsia="Calibri" w:hAnsi="Calibri" w:cs="Calibri"/>
        </w:rPr>
        <w:t xml:space="preserve">NEXTA s.r.o., </w:t>
      </w:r>
      <w:r w:rsidR="00F838B2">
        <w:rPr>
          <w:rFonts w:ascii="Calibri" w:eastAsia="Calibri" w:hAnsi="Calibri" w:cs="Calibri"/>
        </w:rPr>
        <w:t xml:space="preserve">Teplice, </w:t>
      </w:r>
      <w:r w:rsidR="47E04AA7" w:rsidRPr="4DDA3A72">
        <w:rPr>
          <w:rFonts w:ascii="Calibri" w:eastAsia="Calibri" w:hAnsi="Calibri" w:cs="Calibri"/>
        </w:rPr>
        <w:t>Střední odborné učiliště a Střední odborná škola SČMSD, Znojmo, s.r.o.</w:t>
      </w:r>
      <w:r w:rsidR="16D5E88D" w:rsidRPr="4DDA3A72">
        <w:rPr>
          <w:rFonts w:ascii="Calibri" w:eastAsia="Calibri" w:hAnsi="Calibri" w:cs="Calibri"/>
        </w:rPr>
        <w:t xml:space="preserve">, </w:t>
      </w:r>
      <w:r w:rsidR="47E04AA7" w:rsidRPr="4DDA3A72">
        <w:rPr>
          <w:rFonts w:ascii="Calibri" w:eastAsia="Calibri" w:hAnsi="Calibri" w:cs="Calibri"/>
        </w:rPr>
        <w:t>TENDON Reality s.r.o.,</w:t>
      </w:r>
      <w:r w:rsidR="00F838B2">
        <w:rPr>
          <w:rFonts w:ascii="Calibri" w:eastAsia="Calibri" w:hAnsi="Calibri" w:cs="Calibri"/>
        </w:rPr>
        <w:t xml:space="preserve"> Frýdek-Místek, </w:t>
      </w:r>
      <w:r w:rsidR="47E04AA7" w:rsidRPr="4DDA3A72">
        <w:rPr>
          <w:rFonts w:ascii="Calibri" w:eastAsia="Calibri" w:hAnsi="Calibri" w:cs="Calibri"/>
        </w:rPr>
        <w:t xml:space="preserve">ZERAS a.s., </w:t>
      </w:r>
      <w:r w:rsidR="00F838B2">
        <w:rPr>
          <w:rFonts w:ascii="Calibri" w:eastAsia="Calibri" w:hAnsi="Calibri" w:cs="Calibri"/>
        </w:rPr>
        <w:t xml:space="preserve">Radostín nad Oslavou, </w:t>
      </w:r>
      <w:r w:rsidR="47E04AA7" w:rsidRPr="4DDA3A72">
        <w:rPr>
          <w:rFonts w:ascii="Calibri" w:eastAsia="Calibri" w:hAnsi="Calibri" w:cs="Calibri"/>
        </w:rPr>
        <w:t xml:space="preserve">ZKL Brno, a.s., ZUUM Group s.r.o., </w:t>
      </w:r>
      <w:r w:rsidR="00F838B2">
        <w:rPr>
          <w:rFonts w:ascii="Calibri" w:eastAsia="Calibri" w:hAnsi="Calibri" w:cs="Calibri"/>
        </w:rPr>
        <w:t xml:space="preserve">Nový Jičín, </w:t>
      </w:r>
      <w:r w:rsidR="47E04AA7" w:rsidRPr="4DDA3A72">
        <w:rPr>
          <w:rFonts w:ascii="Calibri" w:eastAsia="Calibri" w:hAnsi="Calibri" w:cs="Calibri"/>
        </w:rPr>
        <w:t>TŘINECKÉ ŽELEZÁRNY, a. s.</w:t>
      </w:r>
    </w:p>
    <w:p w14:paraId="340F78D8" w14:textId="370F3529" w:rsidR="0054155E" w:rsidRDefault="0054155E" w:rsidP="003977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316ECD" w14:textId="7690E9DF" w:rsidR="0054155E" w:rsidRDefault="5D7EA41B" w:rsidP="00397707">
      <w:pPr>
        <w:spacing w:after="0" w:line="24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</w:rPr>
        <w:t>Kontrolováno bylo období od roku 201</w:t>
      </w:r>
      <w:r w:rsidR="6B9D2D5D" w:rsidRPr="4DDA3A72">
        <w:rPr>
          <w:rFonts w:ascii="Calibri" w:eastAsia="Calibri" w:hAnsi="Calibri" w:cs="Calibri"/>
        </w:rPr>
        <w:t>8</w:t>
      </w:r>
      <w:r w:rsidRPr="4DDA3A72">
        <w:rPr>
          <w:rFonts w:ascii="Calibri" w:eastAsia="Calibri" w:hAnsi="Calibri" w:cs="Calibri"/>
        </w:rPr>
        <w:t xml:space="preserve"> do </w:t>
      </w:r>
      <w:r w:rsidR="5522E487" w:rsidRPr="4DDA3A72">
        <w:rPr>
          <w:rFonts w:ascii="Calibri" w:eastAsia="Calibri" w:hAnsi="Calibri" w:cs="Calibri"/>
        </w:rPr>
        <w:t>doby ukončení kontroly</w:t>
      </w:r>
      <w:r w:rsidRPr="4DDA3A72">
        <w:rPr>
          <w:rFonts w:ascii="Calibri" w:eastAsia="Calibri" w:hAnsi="Calibri" w:cs="Calibri"/>
        </w:rPr>
        <w:t>, v případě věcných souvislostí i období předcházející.</w:t>
      </w:r>
    </w:p>
    <w:p w14:paraId="47A95F94" w14:textId="5D773D8F" w:rsidR="0054155E" w:rsidRDefault="0054155E" w:rsidP="003977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875C6CE" w14:textId="13E58C0F" w:rsidR="0054155E" w:rsidRDefault="5D7EA41B" w:rsidP="00397707">
      <w:pPr>
        <w:spacing w:after="0" w:line="24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</w:rPr>
        <w:t xml:space="preserve">Kontrola byla u kontrolovaných osob prováděna v době od </w:t>
      </w:r>
      <w:r w:rsidR="5051E85A" w:rsidRPr="4DDA3A72">
        <w:rPr>
          <w:rFonts w:ascii="Calibri" w:eastAsia="Calibri" w:hAnsi="Calibri" w:cs="Calibri"/>
        </w:rPr>
        <w:t>září</w:t>
      </w:r>
      <w:r w:rsidRPr="4DDA3A72">
        <w:rPr>
          <w:rFonts w:ascii="Calibri" w:eastAsia="Calibri" w:hAnsi="Calibri" w:cs="Calibri"/>
        </w:rPr>
        <w:t xml:space="preserve"> 202</w:t>
      </w:r>
      <w:r w:rsidR="3D9C9122" w:rsidRPr="4DDA3A72">
        <w:rPr>
          <w:rFonts w:ascii="Calibri" w:eastAsia="Calibri" w:hAnsi="Calibri" w:cs="Calibri"/>
        </w:rPr>
        <w:t>4</w:t>
      </w:r>
      <w:r w:rsidRPr="4DDA3A72">
        <w:rPr>
          <w:rFonts w:ascii="Calibri" w:eastAsia="Calibri" w:hAnsi="Calibri" w:cs="Calibri"/>
        </w:rPr>
        <w:t xml:space="preserve"> do </w:t>
      </w:r>
      <w:r w:rsidR="57593BEE" w:rsidRPr="4DDA3A72">
        <w:rPr>
          <w:rFonts w:ascii="Calibri" w:eastAsia="Calibri" w:hAnsi="Calibri" w:cs="Calibri"/>
        </w:rPr>
        <w:t>května</w:t>
      </w:r>
      <w:r w:rsidRPr="4DDA3A72">
        <w:rPr>
          <w:rFonts w:ascii="Calibri" w:eastAsia="Calibri" w:hAnsi="Calibri" w:cs="Calibri"/>
        </w:rPr>
        <w:t xml:space="preserve"> 202</w:t>
      </w:r>
      <w:r w:rsidR="56A2E412" w:rsidRPr="4DDA3A72">
        <w:rPr>
          <w:rFonts w:ascii="Calibri" w:eastAsia="Calibri" w:hAnsi="Calibri" w:cs="Calibri"/>
        </w:rPr>
        <w:t>5</w:t>
      </w:r>
      <w:r w:rsidRPr="4DDA3A72">
        <w:rPr>
          <w:rFonts w:ascii="Calibri" w:eastAsia="Calibri" w:hAnsi="Calibri" w:cs="Calibri"/>
        </w:rPr>
        <w:t>.</w:t>
      </w:r>
    </w:p>
    <w:p w14:paraId="614D793D" w14:textId="428184B8" w:rsidR="0054155E" w:rsidRDefault="0054155E" w:rsidP="003977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B9B4464" w14:textId="77777777" w:rsidR="00B6385A" w:rsidRDefault="00B6385A" w:rsidP="00397707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F49EC03" w14:textId="1E9B958F" w:rsidR="0054155E" w:rsidRDefault="5D7EA41B" w:rsidP="00397707">
      <w:pPr>
        <w:spacing w:after="0" w:line="36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  <w:b/>
          <w:bCs/>
          <w:i/>
          <w:iCs/>
        </w:rPr>
        <w:t xml:space="preserve">K o l e g i u m   N K Ú  </w:t>
      </w:r>
      <w:r w:rsidRPr="4DDA3A72">
        <w:rPr>
          <w:rFonts w:ascii="Calibri" w:eastAsia="Calibri" w:hAnsi="Calibri" w:cs="Calibri"/>
        </w:rPr>
        <w:t xml:space="preserve"> na svém X</w:t>
      </w:r>
      <w:r w:rsidR="00740E83">
        <w:rPr>
          <w:rFonts w:ascii="Calibri" w:eastAsia="Calibri" w:hAnsi="Calibri" w:cs="Calibri"/>
        </w:rPr>
        <w:t>IV.</w:t>
      </w:r>
      <w:r w:rsidRPr="4DDA3A72">
        <w:rPr>
          <w:rFonts w:ascii="Calibri" w:eastAsia="Calibri" w:hAnsi="Calibri" w:cs="Calibri"/>
        </w:rPr>
        <w:t xml:space="preserve"> jednání, které se konalo dne </w:t>
      </w:r>
      <w:r w:rsidR="00740E83">
        <w:rPr>
          <w:rFonts w:ascii="Calibri" w:eastAsia="Calibri" w:hAnsi="Calibri" w:cs="Calibri"/>
        </w:rPr>
        <w:t>22. září</w:t>
      </w:r>
      <w:r w:rsidRPr="4DDA3A72">
        <w:rPr>
          <w:rFonts w:ascii="Calibri" w:eastAsia="Calibri" w:hAnsi="Calibri" w:cs="Calibri"/>
        </w:rPr>
        <w:t xml:space="preserve"> 202</w:t>
      </w:r>
      <w:r w:rsidR="43CDF850" w:rsidRPr="4DDA3A72">
        <w:rPr>
          <w:rFonts w:ascii="Calibri" w:eastAsia="Calibri" w:hAnsi="Calibri" w:cs="Calibri"/>
        </w:rPr>
        <w:t>5</w:t>
      </w:r>
      <w:r w:rsidRPr="4DDA3A72">
        <w:rPr>
          <w:rFonts w:ascii="Calibri" w:eastAsia="Calibri" w:hAnsi="Calibri" w:cs="Calibri"/>
        </w:rPr>
        <w:t>,</w:t>
      </w:r>
    </w:p>
    <w:p w14:paraId="310C1C2E" w14:textId="47AD3D7F" w:rsidR="0054155E" w:rsidRDefault="5D7EA41B" w:rsidP="00397707">
      <w:pPr>
        <w:spacing w:after="0" w:line="360" w:lineRule="auto"/>
        <w:jc w:val="both"/>
        <w:rPr>
          <w:rFonts w:ascii="Calibri" w:eastAsia="Calibri" w:hAnsi="Calibri" w:cs="Calibri"/>
        </w:rPr>
      </w:pPr>
      <w:r w:rsidRPr="4DDA3A72">
        <w:rPr>
          <w:rFonts w:ascii="Calibri" w:eastAsia="Calibri" w:hAnsi="Calibri" w:cs="Calibri"/>
          <w:b/>
          <w:bCs/>
          <w:i/>
          <w:iCs/>
        </w:rPr>
        <w:t xml:space="preserve">s c h v á l i l o  </w:t>
      </w:r>
      <w:r w:rsidRPr="4DDA3A72">
        <w:rPr>
          <w:rFonts w:ascii="Calibri" w:eastAsia="Calibri" w:hAnsi="Calibri" w:cs="Calibri"/>
        </w:rPr>
        <w:t xml:space="preserve"> usnesením č. </w:t>
      </w:r>
      <w:r w:rsidR="002E1EA8">
        <w:rPr>
          <w:rFonts w:ascii="Calibri" w:eastAsia="Calibri" w:hAnsi="Calibri" w:cs="Calibri"/>
        </w:rPr>
        <w:t>6</w:t>
      </w:r>
      <w:r w:rsidR="00740E83">
        <w:rPr>
          <w:rFonts w:ascii="Calibri" w:eastAsia="Calibri" w:hAnsi="Calibri" w:cs="Calibri"/>
        </w:rPr>
        <w:t>/XIV/2025</w:t>
      </w:r>
    </w:p>
    <w:p w14:paraId="30A4B72A" w14:textId="77777777" w:rsidR="00397707" w:rsidRDefault="5D7EA41B" w:rsidP="0039770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4DDA3A72">
        <w:rPr>
          <w:rFonts w:ascii="Calibri" w:eastAsia="Calibri" w:hAnsi="Calibri" w:cs="Calibri"/>
          <w:b/>
          <w:bCs/>
          <w:i/>
          <w:iCs/>
        </w:rPr>
        <w:t>k o n t r o l n í   z á v ě r</w:t>
      </w:r>
      <w:r w:rsidRPr="4DDA3A72">
        <w:rPr>
          <w:rFonts w:ascii="Calibri" w:eastAsia="Calibri" w:hAnsi="Calibri" w:cs="Calibri"/>
        </w:rPr>
        <w:t xml:space="preserve">   </w:t>
      </w:r>
      <w:r w:rsidRPr="4DDA3A72">
        <w:rPr>
          <w:rFonts w:ascii="Calibri" w:eastAsia="Calibri" w:hAnsi="Calibri" w:cs="Calibri"/>
          <w:color w:val="000000" w:themeColor="text1"/>
        </w:rPr>
        <w:t>v tomto znění:</w:t>
      </w:r>
    </w:p>
    <w:p w14:paraId="044748E5" w14:textId="61A27664" w:rsidR="00B6385A" w:rsidRDefault="00B6385A" w:rsidP="00397707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63E668D7" w14:textId="34706D5E" w:rsidR="0054155E" w:rsidRDefault="00CD44A5" w:rsidP="00153853">
      <w:pPr>
        <w:spacing w:after="0" w:line="257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Zvyšování energetické účinnosti a obnovitelné zdroje energie</w:t>
      </w:r>
    </w:p>
    <w:p w14:paraId="71ACAED9" w14:textId="6B28A24B" w:rsidR="0054155E" w:rsidRPr="00F35EAB" w:rsidRDefault="0054155E" w:rsidP="4DDA3A72">
      <w:pPr>
        <w:spacing w:after="0" w:line="257" w:lineRule="auto"/>
        <w:jc w:val="both"/>
        <w:rPr>
          <w:rFonts w:ascii="Calibri" w:eastAsia="Calibri" w:hAnsi="Calibri" w:cs="Calibri"/>
        </w:rPr>
      </w:pPr>
    </w:p>
    <w:p w14:paraId="2D0046EA" w14:textId="77777777" w:rsidR="00F35EAB" w:rsidRPr="00F35EAB" w:rsidRDefault="00F35EAB" w:rsidP="4DDA3A72">
      <w:pPr>
        <w:spacing w:after="0" w:line="257" w:lineRule="auto"/>
        <w:jc w:val="both"/>
        <w:rPr>
          <w:rFonts w:ascii="Calibri" w:eastAsia="Calibri" w:hAnsi="Calibri" w:cs="Calibri"/>
        </w:rPr>
      </w:pPr>
    </w:p>
    <w:tbl>
      <w:tblPr>
        <w:tblStyle w:val="Mkatabulky"/>
        <w:tblW w:w="9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2835"/>
        <w:gridCol w:w="3118"/>
      </w:tblGrid>
      <w:tr w:rsidR="006E497D" w:rsidRPr="00B6385A" w14:paraId="2FB3C9EA" w14:textId="77777777" w:rsidTr="00F35EAB">
        <w:tc>
          <w:tcPr>
            <w:tcW w:w="3175" w:type="dxa"/>
            <w:tcBorders>
              <w:bottom w:val="single" w:sz="4" w:space="0" w:color="auto"/>
            </w:tcBorders>
          </w:tcPr>
          <w:p w14:paraId="674B4691" w14:textId="38921CE4" w:rsidR="006E497D" w:rsidRPr="00397707" w:rsidRDefault="00A96DF1" w:rsidP="0039770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  <w:r w:rsidR="00EC65A8"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3</w:t>
            </w: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="00666D37"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9</w:t>
            </w: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mld. Kč</w:t>
            </w:r>
          </w:p>
          <w:p w14:paraId="03376B4D" w14:textId="119F55D5" w:rsidR="00A96DF1" w:rsidRPr="00B6385A" w:rsidRDefault="00EC65A8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 xml:space="preserve">Podpora </w:t>
            </w:r>
            <w:r w:rsidR="00A90BC8" w:rsidRPr="00B6385A">
              <w:rPr>
                <w:rFonts w:ascii="Calibri" w:eastAsia="Calibri" w:hAnsi="Calibri" w:cs="Calibri"/>
              </w:rPr>
              <w:t>poskytnutá</w:t>
            </w:r>
            <w:r w:rsidR="00433BBE" w:rsidRPr="00B6385A">
              <w:rPr>
                <w:rFonts w:ascii="Calibri" w:eastAsia="Calibri" w:hAnsi="Calibri" w:cs="Calibri"/>
              </w:rPr>
              <w:t xml:space="preserve"> formou dotací</w:t>
            </w:r>
            <w:r w:rsidR="00A90BC8" w:rsidRPr="00B6385A">
              <w:rPr>
                <w:rFonts w:ascii="Calibri" w:eastAsia="Calibri" w:hAnsi="Calibri" w:cs="Calibri"/>
              </w:rPr>
              <w:t xml:space="preserve"> v programu podpory Ú</w:t>
            </w:r>
            <w:r w:rsidRPr="00B6385A">
              <w:rPr>
                <w:rFonts w:ascii="Calibri" w:eastAsia="Calibri" w:hAnsi="Calibri" w:cs="Calibri"/>
              </w:rPr>
              <w:t>spor</w:t>
            </w:r>
            <w:r w:rsidR="00A90BC8" w:rsidRPr="00B6385A">
              <w:rPr>
                <w:rFonts w:ascii="Calibri" w:eastAsia="Calibri" w:hAnsi="Calibri" w:cs="Calibri"/>
              </w:rPr>
              <w:t>y</w:t>
            </w:r>
            <w:r w:rsidRPr="00B6385A">
              <w:rPr>
                <w:rFonts w:ascii="Calibri" w:eastAsia="Calibri" w:hAnsi="Calibri" w:cs="Calibri"/>
              </w:rPr>
              <w:t xml:space="preserve"> energie </w:t>
            </w:r>
            <w:r w:rsidR="00153853" w:rsidRPr="00B6385A">
              <w:rPr>
                <w:rFonts w:ascii="Calibri" w:eastAsia="Calibri" w:hAnsi="Calibri" w:cs="Calibri"/>
              </w:rPr>
              <w:t>OP PIK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EBDDDC" w14:textId="057F0FF9" w:rsidR="006E497D" w:rsidRPr="00397707" w:rsidRDefault="00253954" w:rsidP="00397707">
            <w:pPr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  <w:t>1</w:t>
            </w:r>
            <w:r w:rsidR="006E497D" w:rsidRPr="00397707"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  <w:t xml:space="preserve"> %</w:t>
            </w:r>
          </w:p>
          <w:p w14:paraId="001C1675" w14:textId="28AC97AF" w:rsidR="006E497D" w:rsidRPr="00F35EAB" w:rsidRDefault="00253954" w:rsidP="0039770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6385A">
              <w:rPr>
                <w:rFonts w:ascii="Calibri" w:eastAsia="Calibri" w:hAnsi="Calibri" w:cs="Calibri"/>
              </w:rPr>
              <w:t xml:space="preserve">Vliv podpory </w:t>
            </w:r>
            <w:r w:rsidR="00153853" w:rsidRPr="00B6385A">
              <w:rPr>
                <w:rFonts w:ascii="Calibri" w:eastAsia="Calibri" w:hAnsi="Calibri" w:cs="Calibri"/>
              </w:rPr>
              <w:t>OP PIK</w:t>
            </w:r>
            <w:r w:rsidRPr="00B6385A">
              <w:rPr>
                <w:rFonts w:ascii="Calibri" w:eastAsia="Calibri" w:hAnsi="Calibri" w:cs="Calibri"/>
              </w:rPr>
              <w:t xml:space="preserve"> na </w:t>
            </w:r>
            <w:r w:rsidR="00712314" w:rsidRPr="00B6385A">
              <w:rPr>
                <w:rFonts w:ascii="Calibri" w:eastAsia="Calibri" w:hAnsi="Calibri" w:cs="Calibri"/>
              </w:rPr>
              <w:t>celkovou čistou konečnou spotřebu energie v průmyslu a službách v ČR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D7B0D01" w14:textId="77777777" w:rsidR="00A96DF1" w:rsidRPr="00397707" w:rsidRDefault="00A96DF1" w:rsidP="00397707">
            <w:pPr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  <w:t>4</w:t>
            </w:r>
          </w:p>
          <w:p w14:paraId="1776A442" w14:textId="77777777" w:rsidR="00F35EAB" w:rsidRDefault="00A96DF1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 xml:space="preserve">Příjemci podpory </w:t>
            </w:r>
            <w:r w:rsidR="00153853" w:rsidRPr="00B6385A">
              <w:rPr>
                <w:rFonts w:ascii="Calibri" w:eastAsia="Calibri" w:hAnsi="Calibri" w:cs="Calibri"/>
              </w:rPr>
              <w:t>OP PIK</w:t>
            </w:r>
            <w:r w:rsidRPr="00B6385A">
              <w:rPr>
                <w:rFonts w:ascii="Calibri" w:eastAsia="Calibri" w:hAnsi="Calibri" w:cs="Calibri"/>
              </w:rPr>
              <w:t xml:space="preserve"> z</w:t>
            </w:r>
            <w:r w:rsidR="00F35EAB">
              <w:rPr>
                <w:rFonts w:ascii="Calibri" w:eastAsia="Calibri" w:hAnsi="Calibri" w:cs="Calibri"/>
              </w:rPr>
              <w:t> </w:t>
            </w:r>
            <w:r w:rsidRPr="00B6385A">
              <w:rPr>
                <w:rFonts w:ascii="Calibri" w:eastAsia="Calibri" w:hAnsi="Calibri" w:cs="Calibri"/>
              </w:rPr>
              <w:t>16</w:t>
            </w:r>
            <w:r w:rsidR="00F35EAB">
              <w:rPr>
                <w:rFonts w:ascii="Calibri" w:eastAsia="Calibri" w:hAnsi="Calibri" w:cs="Calibri"/>
              </w:rPr>
              <w:t> </w:t>
            </w:r>
            <w:r w:rsidRPr="00B6385A">
              <w:rPr>
                <w:rFonts w:ascii="Calibri" w:eastAsia="Calibri" w:hAnsi="Calibri" w:cs="Calibri"/>
              </w:rPr>
              <w:t xml:space="preserve">kontrolovaných </w:t>
            </w:r>
            <w:r w:rsidR="00EC65A8" w:rsidRPr="00B6385A">
              <w:rPr>
                <w:rFonts w:ascii="Calibri" w:eastAsia="Calibri" w:hAnsi="Calibri" w:cs="Calibri"/>
              </w:rPr>
              <w:t>příjemců</w:t>
            </w:r>
            <w:r w:rsidR="00A90BC8" w:rsidRPr="00B6385A">
              <w:rPr>
                <w:rFonts w:ascii="Calibri" w:eastAsia="Calibri" w:hAnsi="Calibri" w:cs="Calibri"/>
              </w:rPr>
              <w:t>, u</w:t>
            </w:r>
            <w:r w:rsidR="00F35EAB">
              <w:rPr>
                <w:rFonts w:ascii="Calibri" w:eastAsia="Calibri" w:hAnsi="Calibri" w:cs="Calibri"/>
              </w:rPr>
              <w:t> </w:t>
            </w:r>
            <w:r w:rsidR="00A90BC8" w:rsidRPr="00B6385A">
              <w:rPr>
                <w:rFonts w:ascii="Calibri" w:eastAsia="Calibri" w:hAnsi="Calibri" w:cs="Calibri"/>
              </w:rPr>
              <w:t>kterých byly zjištěny skutečnosti nasvědčující</w:t>
            </w:r>
            <w:r w:rsidR="00EC65A8" w:rsidRPr="00B6385A">
              <w:rPr>
                <w:rFonts w:ascii="Calibri" w:eastAsia="Calibri" w:hAnsi="Calibri" w:cs="Calibri"/>
              </w:rPr>
              <w:t xml:space="preserve"> </w:t>
            </w:r>
            <w:r w:rsidRPr="00B6385A">
              <w:rPr>
                <w:rFonts w:ascii="Calibri" w:eastAsia="Calibri" w:hAnsi="Calibri" w:cs="Calibri"/>
              </w:rPr>
              <w:t>poruš</w:t>
            </w:r>
            <w:r w:rsidR="00A90BC8" w:rsidRPr="00B6385A">
              <w:rPr>
                <w:rFonts w:ascii="Calibri" w:eastAsia="Calibri" w:hAnsi="Calibri" w:cs="Calibri"/>
              </w:rPr>
              <w:t>ení</w:t>
            </w:r>
            <w:r w:rsidRPr="00B6385A">
              <w:rPr>
                <w:rFonts w:ascii="Calibri" w:eastAsia="Calibri" w:hAnsi="Calibri" w:cs="Calibri"/>
              </w:rPr>
              <w:t xml:space="preserve"> rozpočtov</w:t>
            </w:r>
            <w:r w:rsidR="00A90BC8" w:rsidRPr="00B6385A">
              <w:rPr>
                <w:rFonts w:ascii="Calibri" w:eastAsia="Calibri" w:hAnsi="Calibri" w:cs="Calibri"/>
              </w:rPr>
              <w:t>é</w:t>
            </w:r>
            <w:r w:rsidRPr="00B6385A">
              <w:rPr>
                <w:rFonts w:ascii="Calibri" w:eastAsia="Calibri" w:hAnsi="Calibri" w:cs="Calibri"/>
              </w:rPr>
              <w:t xml:space="preserve"> káz</w:t>
            </w:r>
            <w:r w:rsidR="00A90BC8" w:rsidRPr="00B6385A">
              <w:rPr>
                <w:rFonts w:ascii="Calibri" w:eastAsia="Calibri" w:hAnsi="Calibri" w:cs="Calibri"/>
              </w:rPr>
              <w:t>ně</w:t>
            </w:r>
          </w:p>
          <w:p w14:paraId="509643CC" w14:textId="114ADB02" w:rsidR="00F35EAB" w:rsidRPr="00F35EAB" w:rsidRDefault="00F35EAB" w:rsidP="0039770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96DF1" w:rsidRPr="00B6385A" w14:paraId="3A15D3EE" w14:textId="77777777" w:rsidTr="00F35EAB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2E77FDAA" w14:textId="77777777" w:rsidR="002A7C69" w:rsidRPr="00B6385A" w:rsidRDefault="002A7C69" w:rsidP="0039770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6EE62FC3" w14:textId="205315CC" w:rsidR="00A96DF1" w:rsidRPr="00397707" w:rsidRDefault="00462FE7" w:rsidP="0039770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5,</w:t>
            </w:r>
            <w:r w:rsidR="002F42B8"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</w:t>
            </w:r>
            <w:r w:rsidR="00A96DF1"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mld. Kč</w:t>
            </w:r>
          </w:p>
          <w:p w14:paraId="76C10651" w14:textId="77777777" w:rsidR="00A96DF1" w:rsidRDefault="000D1537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>A</w:t>
            </w:r>
            <w:r w:rsidR="00A96DF1" w:rsidRPr="00B6385A">
              <w:rPr>
                <w:rFonts w:ascii="Calibri" w:eastAsia="Calibri" w:hAnsi="Calibri" w:cs="Calibri"/>
              </w:rPr>
              <w:t>lok</w:t>
            </w:r>
            <w:r w:rsidRPr="00B6385A">
              <w:rPr>
                <w:rFonts w:ascii="Calibri" w:eastAsia="Calibri" w:hAnsi="Calibri" w:cs="Calibri"/>
              </w:rPr>
              <w:t>ované peněžní prostředky na dotace</w:t>
            </w:r>
            <w:r w:rsidR="00A96DF1" w:rsidRPr="00B6385A">
              <w:rPr>
                <w:rFonts w:ascii="Calibri" w:eastAsia="Calibri" w:hAnsi="Calibri" w:cs="Calibri"/>
              </w:rPr>
              <w:t xml:space="preserve"> </w:t>
            </w:r>
            <w:r w:rsidR="00462FE7" w:rsidRPr="00B6385A">
              <w:rPr>
                <w:rFonts w:ascii="Calibri" w:eastAsia="Calibri" w:hAnsi="Calibri" w:cs="Calibri"/>
              </w:rPr>
              <w:t xml:space="preserve">do </w:t>
            </w:r>
            <w:r w:rsidR="00A96DF1" w:rsidRPr="00B6385A">
              <w:rPr>
                <w:rFonts w:ascii="Calibri" w:eastAsia="Calibri" w:hAnsi="Calibri" w:cs="Calibri"/>
              </w:rPr>
              <w:t>obnovitelných zdrojů</w:t>
            </w:r>
            <w:r w:rsidR="00462FE7" w:rsidRPr="00B6385A">
              <w:rPr>
                <w:rFonts w:ascii="Calibri" w:eastAsia="Calibri" w:hAnsi="Calibri" w:cs="Calibri"/>
              </w:rPr>
              <w:t xml:space="preserve"> energie</w:t>
            </w:r>
            <w:r w:rsidR="00A96DF1" w:rsidRPr="00B6385A">
              <w:rPr>
                <w:rFonts w:ascii="Calibri" w:eastAsia="Calibri" w:hAnsi="Calibri" w:cs="Calibri"/>
              </w:rPr>
              <w:t xml:space="preserve"> </w:t>
            </w:r>
            <w:r w:rsidRPr="00B6385A">
              <w:rPr>
                <w:rFonts w:ascii="Calibri" w:eastAsia="Calibri" w:hAnsi="Calibri" w:cs="Calibri"/>
              </w:rPr>
              <w:t>v</w:t>
            </w:r>
            <w:r w:rsidR="009335DE" w:rsidRPr="00B6385A">
              <w:rPr>
                <w:rFonts w:ascii="Calibri" w:eastAsia="Calibri" w:hAnsi="Calibri" w:cs="Calibri"/>
              </w:rPr>
              <w:t> </w:t>
            </w:r>
            <w:r w:rsidR="00153853" w:rsidRPr="00B6385A">
              <w:rPr>
                <w:rFonts w:ascii="Calibri" w:eastAsia="Calibri" w:hAnsi="Calibri" w:cs="Calibri"/>
              </w:rPr>
              <w:t>OP TAK</w:t>
            </w:r>
          </w:p>
          <w:p w14:paraId="4880B847" w14:textId="4686280E" w:rsidR="00F35EAB" w:rsidRPr="00B6385A" w:rsidRDefault="00F35EAB" w:rsidP="003977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BD6BCF8" w14:textId="77777777" w:rsidR="002A7C69" w:rsidRPr="00B6385A" w:rsidRDefault="002A7C69" w:rsidP="0039770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80CA41A" w14:textId="4C4B3255" w:rsidR="00A96DF1" w:rsidRPr="00397707" w:rsidRDefault="00A96DF1" w:rsidP="0039770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23 MW</w:t>
            </w:r>
          </w:p>
          <w:p w14:paraId="72A5B9BC" w14:textId="77777777" w:rsidR="00A96DF1" w:rsidRDefault="00A96DF1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>Cílový instalovaný výkon obnovitelných zdrojů energie do 2024 podp</w:t>
            </w:r>
            <w:r w:rsidR="00A90BC8" w:rsidRPr="00B6385A">
              <w:rPr>
                <w:rFonts w:ascii="Calibri" w:eastAsia="Calibri" w:hAnsi="Calibri" w:cs="Calibri"/>
              </w:rPr>
              <w:t>ořených</w:t>
            </w:r>
            <w:r w:rsidR="00433BBE" w:rsidRPr="00B6385A">
              <w:rPr>
                <w:rFonts w:ascii="Calibri" w:eastAsia="Calibri" w:hAnsi="Calibri" w:cs="Calibri"/>
              </w:rPr>
              <w:t xml:space="preserve"> z</w:t>
            </w:r>
            <w:r w:rsidRPr="00B6385A">
              <w:rPr>
                <w:rFonts w:ascii="Calibri" w:eastAsia="Calibri" w:hAnsi="Calibri" w:cs="Calibri"/>
              </w:rPr>
              <w:t xml:space="preserve"> </w:t>
            </w:r>
            <w:r w:rsidR="00153853" w:rsidRPr="00B6385A">
              <w:rPr>
                <w:rFonts w:ascii="Calibri" w:eastAsia="Calibri" w:hAnsi="Calibri" w:cs="Calibri"/>
              </w:rPr>
              <w:t>OP TAK</w:t>
            </w:r>
          </w:p>
          <w:p w14:paraId="0D2A5928" w14:textId="23BB735C" w:rsidR="00F35EAB" w:rsidRPr="00B6385A" w:rsidRDefault="00F35EAB" w:rsidP="0039770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54106CE" w14:textId="77777777" w:rsidR="002A7C69" w:rsidRPr="00F35EAB" w:rsidRDefault="002A7C69" w:rsidP="003977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994DC15" w14:textId="7BA8375C" w:rsidR="00A96DF1" w:rsidRPr="00397707" w:rsidRDefault="00A96DF1" w:rsidP="00397707">
            <w:pPr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  <w:t>0</w:t>
            </w:r>
            <w:r w:rsidR="009335DE" w:rsidRPr="00397707"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  <w:t xml:space="preserve"> MW</w:t>
            </w:r>
          </w:p>
          <w:p w14:paraId="6407A6C1" w14:textId="77777777" w:rsidR="00A96DF1" w:rsidRDefault="00A96DF1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 xml:space="preserve">Dosažený instalovaný výkon obnovitelných zdrojů energie k 31. prosinci 2024 s podporou </w:t>
            </w:r>
            <w:r w:rsidR="00153853" w:rsidRPr="00B6385A">
              <w:rPr>
                <w:rFonts w:ascii="Calibri" w:eastAsia="Calibri" w:hAnsi="Calibri" w:cs="Calibri"/>
              </w:rPr>
              <w:t>OP TAK</w:t>
            </w:r>
          </w:p>
          <w:p w14:paraId="2CAB1372" w14:textId="69456337" w:rsidR="00F35EAB" w:rsidRPr="00F35EAB" w:rsidRDefault="00F35EAB" w:rsidP="0039770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96DF1" w:rsidRPr="00B6385A" w14:paraId="63198A1E" w14:textId="77777777" w:rsidTr="00F35EAB">
        <w:tc>
          <w:tcPr>
            <w:tcW w:w="3175" w:type="dxa"/>
            <w:tcBorders>
              <w:top w:val="single" w:sz="4" w:space="0" w:color="auto"/>
            </w:tcBorders>
          </w:tcPr>
          <w:p w14:paraId="09CA7C6B" w14:textId="77777777" w:rsidR="002A7C69" w:rsidRPr="00B6385A" w:rsidRDefault="002A7C69" w:rsidP="0039770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183F7E69" w14:textId="4FB146BD" w:rsidR="00A96DF1" w:rsidRPr="00397707" w:rsidRDefault="00462FE7" w:rsidP="0039770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2,9</w:t>
            </w:r>
            <w:r w:rsidR="00A96DF1"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mld. Kč</w:t>
            </w:r>
          </w:p>
          <w:p w14:paraId="2A15718B" w14:textId="2769176F" w:rsidR="009D53D1" w:rsidRPr="00B6385A" w:rsidRDefault="006013DD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>Alokované peněžní prostředky na dotace</w:t>
            </w:r>
            <w:r w:rsidR="00A96DF1" w:rsidRPr="00B6385A">
              <w:rPr>
                <w:rFonts w:ascii="Calibri" w:eastAsia="Calibri" w:hAnsi="Calibri" w:cs="Calibri"/>
              </w:rPr>
              <w:t xml:space="preserve"> </w:t>
            </w:r>
            <w:r w:rsidR="002F42B8" w:rsidRPr="00B6385A">
              <w:rPr>
                <w:rFonts w:ascii="Calibri" w:eastAsia="Calibri" w:hAnsi="Calibri" w:cs="Calibri"/>
              </w:rPr>
              <w:t xml:space="preserve">na </w:t>
            </w:r>
            <w:r w:rsidR="00A96DF1" w:rsidRPr="00B6385A">
              <w:rPr>
                <w:rFonts w:ascii="Calibri" w:eastAsia="Calibri" w:hAnsi="Calibri" w:cs="Calibri"/>
              </w:rPr>
              <w:t>snížení energetické náročnosti</w:t>
            </w:r>
            <w:r w:rsidR="002F42B8" w:rsidRPr="00B6385A">
              <w:rPr>
                <w:rFonts w:ascii="Calibri" w:eastAsia="Calibri" w:hAnsi="Calibri" w:cs="Calibri"/>
              </w:rPr>
              <w:t xml:space="preserve"> budov </w:t>
            </w:r>
            <w:r w:rsidR="009335DE" w:rsidRPr="00B6385A">
              <w:rPr>
                <w:rFonts w:ascii="Calibri" w:eastAsia="Calibri" w:hAnsi="Calibri" w:cs="Calibri"/>
              </w:rPr>
              <w:t xml:space="preserve">organizačních složek státu </w:t>
            </w:r>
            <w:r w:rsidR="00A96DF1" w:rsidRPr="00B6385A">
              <w:rPr>
                <w:rFonts w:ascii="Calibri" w:eastAsia="Calibri" w:hAnsi="Calibri" w:cs="Calibri"/>
              </w:rPr>
              <w:t>z</w:t>
            </w:r>
            <w:r w:rsidR="007B01C6" w:rsidRPr="00B6385A">
              <w:rPr>
                <w:rFonts w:ascii="Calibri" w:eastAsia="Calibri" w:hAnsi="Calibri" w:cs="Calibri"/>
              </w:rPr>
              <w:t> </w:t>
            </w:r>
            <w:r w:rsidR="00A96DF1" w:rsidRPr="00B6385A">
              <w:rPr>
                <w:rFonts w:ascii="Calibri" w:eastAsia="Calibri" w:hAnsi="Calibri" w:cs="Calibri"/>
              </w:rPr>
              <w:t>NPO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77E8C95" w14:textId="77777777" w:rsidR="002A7C69" w:rsidRPr="00B6385A" w:rsidRDefault="002A7C69" w:rsidP="0039770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8C0963A" w14:textId="3813B7CA" w:rsidR="00A96DF1" w:rsidRPr="00397707" w:rsidRDefault="00A96DF1" w:rsidP="00397707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140 TJ/rok</w:t>
            </w:r>
          </w:p>
          <w:p w14:paraId="13B1BD96" w14:textId="47FD52E4" w:rsidR="00A96DF1" w:rsidRPr="00B6385A" w:rsidRDefault="00A96DF1" w:rsidP="00397707">
            <w:pPr>
              <w:jc w:val="center"/>
              <w:rPr>
                <w:rFonts w:ascii="Calibri" w:eastAsia="Calibri" w:hAnsi="Calibri" w:cs="Calibri"/>
              </w:rPr>
            </w:pPr>
            <w:r w:rsidRPr="00B6385A">
              <w:rPr>
                <w:rFonts w:ascii="Calibri" w:eastAsia="Calibri" w:hAnsi="Calibri" w:cs="Calibri"/>
              </w:rPr>
              <w:t>Cílová hodnota snížení spotřeby energie</w:t>
            </w:r>
            <w:r w:rsidR="00E23AB2" w:rsidRPr="00B6385A">
              <w:rPr>
                <w:rFonts w:ascii="Calibri" w:eastAsia="Calibri" w:hAnsi="Calibri" w:cs="Calibri"/>
              </w:rPr>
              <w:t xml:space="preserve"> </w:t>
            </w:r>
            <w:r w:rsidR="00B02F30" w:rsidRPr="00B6385A">
              <w:rPr>
                <w:rFonts w:ascii="Calibri" w:eastAsia="Calibri" w:hAnsi="Calibri" w:cs="Calibri"/>
              </w:rPr>
              <w:t>u</w:t>
            </w:r>
            <w:r w:rsidR="00617688">
              <w:rPr>
                <w:rFonts w:ascii="Calibri" w:eastAsia="Calibri" w:hAnsi="Calibri" w:cs="Calibri"/>
              </w:rPr>
              <w:t> </w:t>
            </w:r>
            <w:r w:rsidR="00B02F30" w:rsidRPr="00B6385A">
              <w:rPr>
                <w:rFonts w:ascii="Calibri" w:eastAsia="Calibri" w:hAnsi="Calibri" w:cs="Calibri"/>
              </w:rPr>
              <w:t xml:space="preserve">podpořených projektů </w:t>
            </w:r>
            <w:r w:rsidR="00661619" w:rsidRPr="00B6385A">
              <w:rPr>
                <w:rFonts w:ascii="Calibri" w:eastAsia="Calibri" w:hAnsi="Calibri" w:cs="Calibri"/>
              </w:rPr>
              <w:t>v</w:t>
            </w:r>
            <w:r w:rsidR="00E23AB2" w:rsidRPr="00B6385A">
              <w:rPr>
                <w:rFonts w:ascii="Calibri" w:eastAsia="Calibri" w:hAnsi="Calibri" w:cs="Calibri"/>
              </w:rPr>
              <w:t> březnu 2026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78F7087" w14:textId="77777777" w:rsidR="002A7C69" w:rsidRPr="00F35EAB" w:rsidRDefault="002A7C69" w:rsidP="00397707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9A83665" w14:textId="7CE425EA" w:rsidR="00A96DF1" w:rsidRPr="00397707" w:rsidRDefault="00A96DF1" w:rsidP="00397707">
            <w:pPr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</w:pPr>
            <w:r w:rsidRPr="00397707">
              <w:rPr>
                <w:rFonts w:ascii="Calibri" w:eastAsia="Calibri" w:hAnsi="Calibri" w:cs="Calibri"/>
                <w:b/>
                <w:bCs/>
                <w:color w:val="EE0000"/>
                <w:sz w:val="28"/>
                <w:szCs w:val="28"/>
              </w:rPr>
              <w:t>19,7 TJ/rok</w:t>
            </w:r>
          </w:p>
          <w:p w14:paraId="24C2E009" w14:textId="52E75F96" w:rsidR="00A96DF1" w:rsidRPr="00397707" w:rsidRDefault="00A96DF1" w:rsidP="0039770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B6385A">
              <w:rPr>
                <w:rFonts w:ascii="Calibri" w:eastAsia="Calibri" w:hAnsi="Calibri" w:cs="Calibri"/>
              </w:rPr>
              <w:t>Snížení spotřeby energie u</w:t>
            </w:r>
            <w:r w:rsidR="00F35EAB">
              <w:rPr>
                <w:rFonts w:ascii="Calibri" w:eastAsia="Calibri" w:hAnsi="Calibri" w:cs="Calibri"/>
              </w:rPr>
              <w:t> </w:t>
            </w:r>
            <w:r w:rsidRPr="00B6385A">
              <w:rPr>
                <w:rFonts w:ascii="Calibri" w:eastAsia="Calibri" w:hAnsi="Calibri" w:cs="Calibri"/>
              </w:rPr>
              <w:t>podpořených projektů</w:t>
            </w:r>
            <w:r w:rsidR="0026746C" w:rsidRPr="00B6385A">
              <w:rPr>
                <w:rFonts w:ascii="Calibri" w:eastAsia="Calibri" w:hAnsi="Calibri" w:cs="Calibri"/>
              </w:rPr>
              <w:t xml:space="preserve"> k březnu 2025</w:t>
            </w:r>
          </w:p>
        </w:tc>
      </w:tr>
    </w:tbl>
    <w:tbl>
      <w:tblPr>
        <w:tblW w:w="8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AF61FE" w:rsidRPr="00AF61FE" w14:paraId="4C994447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AEE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BAE6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EC9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FB9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487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F172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71B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4D86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C652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72C8F621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47D0" w14:textId="6CE407CB" w:rsidR="00AF61FE" w:rsidRPr="00AF61FE" w:rsidRDefault="00AF61FE" w:rsidP="00AF61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AF61FE">
              <w:rPr>
                <w:rFonts w:ascii="Aptos Narrow" w:eastAsia="Times New Roman" w:hAnsi="Aptos Narrow" w:cs="Times New Roman"/>
                <w:noProof/>
                <w:color w:val="000000"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B2FE73B" wp14:editId="3356534A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46355</wp:posOffset>
                  </wp:positionV>
                  <wp:extent cx="5595620" cy="2752725"/>
                  <wp:effectExtent l="0" t="0" r="5080" b="0"/>
                  <wp:wrapNone/>
                  <wp:docPr id="3" name="Graf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59601B-6A46-174A-0C4B-66527DB2B9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F61FE" w:rsidRPr="00AF61FE" w14:paraId="226D8EB5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8BF3D" w14:textId="77777777" w:rsidR="00AF61FE" w:rsidRPr="00AF61FE" w:rsidRDefault="00AF61FE" w:rsidP="00AF61FE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sz w:val="22"/>
                      <w:szCs w:val="22"/>
                      <w:lang w:eastAsia="cs-CZ"/>
                    </w:rPr>
                  </w:pPr>
                </w:p>
              </w:tc>
            </w:tr>
          </w:tbl>
          <w:p w14:paraId="60087FDB" w14:textId="77777777" w:rsidR="00AF61FE" w:rsidRPr="00AF61FE" w:rsidRDefault="00AF61FE" w:rsidP="00AF61F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E70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A62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FEF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064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A25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EDA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030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D17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74D84D99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54C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9196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EBA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30E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CF3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1FA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8767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14B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4CE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1CD27A35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E76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7DB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54B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B10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A2F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27B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260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4A9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1BE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54A505BC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F33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1BB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E3D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6BB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700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6B8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C952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404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D14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3FF8D033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CED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19B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647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00C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A54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D1CB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299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85B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5FC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72908A92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00E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951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C65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8EE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6D0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3EF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939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10B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440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1DB82C89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EE9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D6F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949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ADB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04A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329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D19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E4D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0B2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3C1C4E2A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501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92A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C40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8B26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10A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234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D0A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691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8FC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09C81E68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7EE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D92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C0E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256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50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7B52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EF5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2AA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366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6FE53C0E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418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291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4F0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97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977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5C2B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BB9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146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7683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7A0DF6B2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E0D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114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096B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16E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5FC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37145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04D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617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3F58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2E08D007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01E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C7EB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382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B37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DBDC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872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A86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24D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491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6CDCA4B6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650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7D4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E32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6C7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351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E37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142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2B06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ABF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0371FE79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C437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539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7B8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2362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5BC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318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8CB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1FD0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73A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61FE" w:rsidRPr="00AF61FE" w14:paraId="044BD10E" w14:textId="77777777" w:rsidTr="00AF61FE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1BA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F0F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A4ED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E679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89A6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690A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8644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AC2E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3381" w14:textId="77777777" w:rsidR="00AF61FE" w:rsidRPr="00AF61FE" w:rsidRDefault="00AF61FE" w:rsidP="00AF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F448250" w14:textId="6B4D7F3D" w:rsidR="00B6385A" w:rsidRPr="00B6385A" w:rsidRDefault="00AF61FE" w:rsidP="00B6385A">
      <w:pPr>
        <w:spacing w:after="0" w:line="240" w:lineRule="auto"/>
        <w:ind w:left="567" w:hanging="567"/>
        <w:rPr>
          <w:rFonts w:ascii="Calibri" w:hAnsi="Calibri" w:cs="Calibri"/>
          <w:sz w:val="20"/>
          <w:szCs w:val="20"/>
        </w:rPr>
      </w:pPr>
      <w:r w:rsidRPr="00397707">
        <w:rPr>
          <w:rFonts w:ascii="Calibri" w:eastAsia="Calibri" w:hAnsi="Calibri" w:cs="Calibri"/>
          <w:b/>
          <w:bCs/>
          <w:sz w:val="20"/>
          <w:szCs w:val="20"/>
        </w:rPr>
        <w:t>Zdroj:</w:t>
      </w:r>
      <w:r w:rsidRPr="00B6385A">
        <w:rPr>
          <w:rFonts w:ascii="Calibri" w:eastAsia="Calibri" w:hAnsi="Calibri" w:cs="Calibri"/>
          <w:sz w:val="20"/>
          <w:szCs w:val="20"/>
        </w:rPr>
        <w:t xml:space="preserve"> </w:t>
      </w:r>
      <w:r w:rsidR="00B6385A" w:rsidRPr="00B6385A">
        <w:rPr>
          <w:rFonts w:ascii="Calibri" w:eastAsia="Calibri" w:hAnsi="Calibri" w:cs="Calibri"/>
          <w:sz w:val="20"/>
          <w:szCs w:val="20"/>
        </w:rPr>
        <w:tab/>
      </w:r>
      <w:r w:rsidRPr="00B6385A">
        <w:rPr>
          <w:rFonts w:ascii="Calibri" w:eastAsia="Calibri" w:hAnsi="Calibri" w:cs="Calibri"/>
          <w:sz w:val="20"/>
          <w:szCs w:val="20"/>
          <w:lang w:val="en-GB"/>
        </w:rPr>
        <w:t xml:space="preserve">Eurostat, </w:t>
      </w:r>
      <w:proofErr w:type="spellStart"/>
      <w:r w:rsidR="00153853" w:rsidRPr="00B6385A">
        <w:rPr>
          <w:rFonts w:ascii="Calibri" w:hAnsi="Calibri" w:cs="Calibri"/>
          <w:sz w:val="20"/>
          <w:szCs w:val="20"/>
        </w:rPr>
        <w:t>d</w:t>
      </w:r>
      <w:r w:rsidR="00626013" w:rsidRPr="00B6385A">
        <w:rPr>
          <w:rFonts w:ascii="Calibri" w:hAnsi="Calibri" w:cs="Calibri"/>
          <w:sz w:val="20"/>
          <w:szCs w:val="20"/>
        </w:rPr>
        <w:t>ataset</w:t>
      </w:r>
      <w:proofErr w:type="spellEnd"/>
      <w:r w:rsidR="00626013" w:rsidRPr="00B6385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153853" w:rsidRPr="00B6385A">
        <w:rPr>
          <w:rFonts w:ascii="Calibri" w:hAnsi="Calibri" w:cs="Calibri"/>
          <w:sz w:val="20"/>
          <w:szCs w:val="20"/>
        </w:rPr>
        <w:t>E</w:t>
      </w:r>
      <w:r w:rsidR="00626013" w:rsidRPr="00B6385A">
        <w:rPr>
          <w:rFonts w:ascii="Calibri" w:hAnsi="Calibri" w:cs="Calibri"/>
          <w:sz w:val="20"/>
          <w:szCs w:val="20"/>
        </w:rPr>
        <w:t>nergy</w:t>
      </w:r>
      <w:proofErr w:type="spellEnd"/>
      <w:r w:rsidR="00626013" w:rsidRPr="00B6385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6013" w:rsidRPr="00B6385A">
        <w:rPr>
          <w:rFonts w:ascii="Calibri" w:hAnsi="Calibri" w:cs="Calibri"/>
          <w:sz w:val="20"/>
          <w:szCs w:val="20"/>
        </w:rPr>
        <w:t>inte</w:t>
      </w:r>
      <w:r w:rsidR="009335DE" w:rsidRPr="00B6385A">
        <w:rPr>
          <w:rFonts w:ascii="Calibri" w:hAnsi="Calibri" w:cs="Calibri"/>
          <w:sz w:val="20"/>
          <w:szCs w:val="20"/>
        </w:rPr>
        <w:t>n</w:t>
      </w:r>
      <w:r w:rsidR="00626013" w:rsidRPr="00B6385A">
        <w:rPr>
          <w:rFonts w:ascii="Calibri" w:hAnsi="Calibri" w:cs="Calibri"/>
          <w:sz w:val="20"/>
          <w:szCs w:val="20"/>
        </w:rPr>
        <w:t>sity</w:t>
      </w:r>
      <w:proofErr w:type="gramEnd"/>
      <w:r w:rsidR="00153853" w:rsidRPr="00B6385A">
        <w:rPr>
          <w:rFonts w:ascii="Calibri" w:hAnsi="Calibri" w:cs="Calibri"/>
          <w:sz w:val="20"/>
          <w:szCs w:val="20"/>
        </w:rPr>
        <w:t>,</w:t>
      </w:r>
      <w:r w:rsidR="00626013" w:rsidRPr="00B6385A">
        <w:rPr>
          <w:rFonts w:ascii="Calibri" w:hAnsi="Calibri" w:cs="Calibri"/>
          <w:sz w:val="20"/>
          <w:szCs w:val="20"/>
        </w:rPr>
        <w:t xml:space="preserve"> dostupný online na</w:t>
      </w:r>
      <w:r w:rsidR="00153853" w:rsidRPr="00B6385A">
        <w:rPr>
          <w:rFonts w:ascii="Calibri" w:hAnsi="Calibri" w:cs="Calibri"/>
          <w:sz w:val="20"/>
          <w:szCs w:val="20"/>
        </w:rPr>
        <w:t xml:space="preserve"> </w:t>
      </w:r>
      <w:hyperlink r:id="rId10" w:history="1">
        <w:r w:rsidR="00B6385A" w:rsidRPr="00041572">
          <w:rPr>
            <w:rStyle w:val="Hypertextovodkaz"/>
            <w:rFonts w:ascii="Calibri" w:hAnsi="Calibri" w:cs="Calibri"/>
            <w:sz w:val="20"/>
            <w:szCs w:val="20"/>
            <w:u w:val="none"/>
          </w:rPr>
          <w:t>https://ec.europa.eu/eurostat/databrowser/explore/all/all_themes</w:t>
        </w:r>
      </w:hyperlink>
      <w:r w:rsidR="0001509B">
        <w:rPr>
          <w:rFonts w:ascii="Calibri" w:hAnsi="Calibri" w:cs="Calibri"/>
          <w:sz w:val="20"/>
          <w:szCs w:val="20"/>
        </w:rPr>
        <w:t>.</w:t>
      </w:r>
    </w:p>
    <w:p w14:paraId="794E767F" w14:textId="77777777" w:rsidR="00B6385A" w:rsidRDefault="00B6385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E02EB62" w14:textId="27408C0D" w:rsidR="0054155E" w:rsidRDefault="5D7EA41B" w:rsidP="00F47044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681408">
        <w:rPr>
          <w:rFonts w:ascii="Calibri" w:eastAsia="Calibri" w:hAnsi="Calibri" w:cs="Calibri"/>
          <w:b/>
          <w:bCs/>
          <w:sz w:val="28"/>
          <w:szCs w:val="28"/>
        </w:rPr>
        <w:lastRenderedPageBreak/>
        <w:t>Shrnutí a vyhodnocení</w:t>
      </w:r>
    </w:p>
    <w:p w14:paraId="6BF503C8" w14:textId="77777777" w:rsidR="001304C8" w:rsidRDefault="001304C8" w:rsidP="00F47044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4E21C49F" w14:textId="7CE43629" w:rsidR="00AF61FE" w:rsidRDefault="001572CD" w:rsidP="00F47044">
      <w:pPr>
        <w:pStyle w:val="Odstavecseseznamem"/>
        <w:spacing w:after="0" w:line="240" w:lineRule="auto"/>
        <w:ind w:left="0"/>
        <w:jc w:val="both"/>
        <w:rPr>
          <w:rFonts w:ascii="Calibri" w:eastAsia="Times New Roman" w:hAnsi="Calibri" w:cs="Calibri"/>
        </w:rPr>
      </w:pPr>
      <w:r>
        <w:rPr>
          <w:rFonts w:ascii="Calibri" w:eastAsia="Calibri" w:hAnsi="Calibri" w:cs="Calibri"/>
        </w:rPr>
        <w:t xml:space="preserve">1.1 </w:t>
      </w:r>
      <w:r w:rsidR="00E803CE" w:rsidRPr="001572CD">
        <w:rPr>
          <w:rFonts w:ascii="Calibri" w:eastAsia="Calibri" w:hAnsi="Calibri" w:cs="Calibri"/>
        </w:rPr>
        <w:t xml:space="preserve">NKÚ </w:t>
      </w:r>
      <w:r w:rsidR="00E878FA">
        <w:rPr>
          <w:rFonts w:ascii="Calibri" w:eastAsia="Calibri" w:hAnsi="Calibri" w:cs="Calibri"/>
        </w:rPr>
        <w:t>provedl kontrolu</w:t>
      </w:r>
      <w:r w:rsidR="00E878FA" w:rsidRPr="001572CD">
        <w:rPr>
          <w:rFonts w:ascii="Calibri" w:eastAsia="Calibri" w:hAnsi="Calibri" w:cs="Calibri"/>
        </w:rPr>
        <w:t xml:space="preserve"> </w:t>
      </w:r>
      <w:r w:rsidR="00E803CE" w:rsidRPr="001572CD">
        <w:rPr>
          <w:rFonts w:ascii="Calibri" w:eastAsia="Calibri" w:hAnsi="Calibri" w:cs="Calibri"/>
        </w:rPr>
        <w:t xml:space="preserve">poskytování a čerpání peněžních prostředků určených na podporu zvyšování energetické účinnosti a obnovitelných zdrojů energie. Kontrola byla zaměřena na </w:t>
      </w:r>
      <w:r w:rsidR="000948C7">
        <w:rPr>
          <w:rFonts w:ascii="Calibri" w:eastAsia="Calibri" w:hAnsi="Calibri" w:cs="Calibri"/>
        </w:rPr>
        <w:t>podporu, kterou poskytovalo MPO z</w:t>
      </w:r>
      <w:r w:rsidR="00E803CE" w:rsidRPr="001572CD">
        <w:rPr>
          <w:rFonts w:ascii="Calibri" w:eastAsia="Calibri" w:hAnsi="Calibri" w:cs="Calibri"/>
        </w:rPr>
        <w:t xml:space="preserve"> </w:t>
      </w:r>
      <w:r w:rsidR="00617688">
        <w:rPr>
          <w:rFonts w:ascii="Calibri" w:eastAsia="Calibri" w:hAnsi="Calibri" w:cs="Calibri"/>
        </w:rPr>
        <w:t>o</w:t>
      </w:r>
      <w:r w:rsidR="00E803CE" w:rsidRPr="001572CD">
        <w:rPr>
          <w:rFonts w:ascii="Calibri" w:eastAsia="Calibri" w:hAnsi="Calibri" w:cs="Calibri"/>
        </w:rPr>
        <w:t xml:space="preserve">peračního programu </w:t>
      </w:r>
      <w:r w:rsidR="00E803CE" w:rsidRPr="00A15456">
        <w:rPr>
          <w:rFonts w:ascii="Calibri" w:eastAsia="Calibri" w:hAnsi="Calibri" w:cs="Calibri"/>
          <w:i/>
          <w:iCs/>
        </w:rPr>
        <w:t>Podnikání a inovace pro konkurenceschopnost 2014–2020</w:t>
      </w:r>
      <w:r w:rsidR="00E803CE" w:rsidRPr="001572CD">
        <w:rPr>
          <w:rFonts w:ascii="Calibri" w:eastAsia="Calibri" w:hAnsi="Calibri" w:cs="Calibri"/>
        </w:rPr>
        <w:t xml:space="preserve"> (dále také „</w:t>
      </w:r>
      <w:r w:rsidR="00153853">
        <w:rPr>
          <w:rFonts w:ascii="Calibri" w:eastAsia="Calibri" w:hAnsi="Calibri" w:cs="Calibri"/>
        </w:rPr>
        <w:t>OP PIK</w:t>
      </w:r>
      <w:r w:rsidR="00E803CE" w:rsidRPr="001572CD">
        <w:rPr>
          <w:rFonts w:ascii="Calibri" w:eastAsia="Calibri" w:hAnsi="Calibri" w:cs="Calibri"/>
        </w:rPr>
        <w:t xml:space="preserve">”), </w:t>
      </w:r>
      <w:r w:rsidR="00617688">
        <w:rPr>
          <w:rFonts w:ascii="Calibri" w:eastAsia="Calibri" w:hAnsi="Calibri" w:cs="Calibri"/>
        </w:rPr>
        <w:t>o</w:t>
      </w:r>
      <w:r w:rsidR="00E803CE" w:rsidRPr="001572CD">
        <w:rPr>
          <w:rFonts w:ascii="Calibri" w:eastAsia="Calibri" w:hAnsi="Calibri" w:cs="Calibri"/>
        </w:rPr>
        <w:t xml:space="preserve">peračního programu </w:t>
      </w:r>
      <w:r w:rsidR="00E803CE" w:rsidRPr="00A15456">
        <w:rPr>
          <w:rFonts w:ascii="Calibri" w:eastAsia="Calibri" w:hAnsi="Calibri" w:cs="Calibri"/>
          <w:i/>
          <w:iCs/>
        </w:rPr>
        <w:t>Technologie a</w:t>
      </w:r>
      <w:r w:rsidR="00397707" w:rsidRPr="00A15456">
        <w:rPr>
          <w:rFonts w:ascii="Calibri" w:eastAsia="Calibri" w:hAnsi="Calibri" w:cs="Calibri"/>
          <w:i/>
          <w:iCs/>
        </w:rPr>
        <w:t> </w:t>
      </w:r>
      <w:r w:rsidR="00E803CE" w:rsidRPr="00A15456">
        <w:rPr>
          <w:rFonts w:ascii="Calibri" w:eastAsia="Calibri" w:hAnsi="Calibri" w:cs="Calibri"/>
          <w:i/>
          <w:iCs/>
        </w:rPr>
        <w:t>aplikace pro konkurenceschopnost 2021–2027</w:t>
      </w:r>
      <w:r w:rsidR="00E803CE" w:rsidRPr="001572CD">
        <w:rPr>
          <w:rFonts w:ascii="Calibri" w:eastAsia="Calibri" w:hAnsi="Calibri" w:cs="Calibri"/>
        </w:rPr>
        <w:t xml:space="preserve"> (dále také „</w:t>
      </w:r>
      <w:r w:rsidR="00153853">
        <w:rPr>
          <w:rFonts w:ascii="Calibri" w:eastAsia="Calibri" w:hAnsi="Calibri" w:cs="Calibri"/>
        </w:rPr>
        <w:t>OP TAK</w:t>
      </w:r>
      <w:r w:rsidR="00E803CE" w:rsidRPr="001572CD">
        <w:rPr>
          <w:rFonts w:ascii="Calibri" w:eastAsia="Calibri" w:hAnsi="Calibri" w:cs="Calibri"/>
        </w:rPr>
        <w:t xml:space="preserve">“) a </w:t>
      </w:r>
      <w:r w:rsidR="00E803CE" w:rsidRPr="00A15456">
        <w:rPr>
          <w:rFonts w:ascii="Calibri" w:eastAsia="Calibri" w:hAnsi="Calibri" w:cs="Calibri"/>
          <w:i/>
          <w:iCs/>
        </w:rPr>
        <w:t>Národního plánu obnovy</w:t>
      </w:r>
      <w:r w:rsidR="00E803CE" w:rsidRPr="001572CD">
        <w:rPr>
          <w:rFonts w:ascii="Calibri" w:eastAsia="Calibri" w:hAnsi="Calibri" w:cs="Calibri"/>
        </w:rPr>
        <w:t xml:space="preserve"> (dále také „NPO“).</w:t>
      </w:r>
      <w:r w:rsidR="00082099">
        <w:rPr>
          <w:rFonts w:ascii="Calibri" w:eastAsia="Calibri" w:hAnsi="Calibri" w:cs="Calibri"/>
        </w:rPr>
        <w:t xml:space="preserve"> </w:t>
      </w:r>
      <w:r w:rsidR="00E803CE" w:rsidRPr="001572CD">
        <w:rPr>
          <w:rFonts w:ascii="Calibri" w:eastAsia="Calibri" w:hAnsi="Calibri" w:cs="Calibri"/>
        </w:rPr>
        <w:t xml:space="preserve">Cílem kontroly bylo </w:t>
      </w:r>
      <w:r w:rsidR="00E878FA">
        <w:rPr>
          <w:rFonts w:ascii="Calibri" w:eastAsia="Times New Roman" w:hAnsi="Calibri" w:cs="Calibri"/>
        </w:rPr>
        <w:t>p</w:t>
      </w:r>
      <w:r w:rsidR="00E878FA" w:rsidRPr="00E878FA">
        <w:rPr>
          <w:rFonts w:ascii="Calibri" w:eastAsia="Times New Roman" w:hAnsi="Calibri" w:cs="Calibri"/>
        </w:rPr>
        <w:t xml:space="preserve">rověřit, zda peněžní prostředky poskytované </w:t>
      </w:r>
      <w:r w:rsidR="00E878FA">
        <w:rPr>
          <w:rFonts w:ascii="Calibri" w:eastAsia="Times New Roman" w:hAnsi="Calibri" w:cs="Calibri"/>
        </w:rPr>
        <w:t>MPO</w:t>
      </w:r>
      <w:r w:rsidR="00E878FA" w:rsidRPr="00E878FA">
        <w:rPr>
          <w:rFonts w:ascii="Calibri" w:eastAsia="Times New Roman" w:hAnsi="Calibri" w:cs="Calibri"/>
        </w:rPr>
        <w:t xml:space="preserve"> na zvyšování energetické účinnosti a obnovitelné zdroje energie byly vynakládány účelně a v souladu s právními předpisy</w:t>
      </w:r>
      <w:r w:rsidR="00E878FA">
        <w:rPr>
          <w:rFonts w:ascii="Calibri" w:eastAsia="Times New Roman" w:hAnsi="Calibri" w:cs="Calibri"/>
        </w:rPr>
        <w:t>.</w:t>
      </w:r>
      <w:bookmarkStart w:id="0" w:name="_Hlk205980669"/>
    </w:p>
    <w:p w14:paraId="06785A63" w14:textId="77777777" w:rsidR="00DF1F78" w:rsidRDefault="00DF1F78" w:rsidP="00F47044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  <w:b/>
          <w:bCs/>
        </w:rPr>
      </w:pPr>
    </w:p>
    <w:p w14:paraId="3CEF51E4" w14:textId="7AC8858E" w:rsidR="006A0D21" w:rsidRDefault="00AF61FE" w:rsidP="00F47044">
      <w:pPr>
        <w:spacing w:after="0" w:line="240" w:lineRule="auto"/>
        <w:jc w:val="both"/>
        <w:rPr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1.2 </w:t>
      </w:r>
      <w:r w:rsidR="00082099" w:rsidRPr="006635F0">
        <w:rPr>
          <w:rFonts w:ascii="Calibri" w:eastAsia="Calibri" w:hAnsi="Calibri" w:cs="Calibri"/>
          <w:b/>
          <w:bCs/>
        </w:rPr>
        <w:t>Celková proplacená podpora z </w:t>
      </w:r>
      <w:r w:rsidR="00F40416" w:rsidRPr="006635F0">
        <w:rPr>
          <w:rFonts w:ascii="Calibri" w:eastAsia="Calibri" w:hAnsi="Calibri" w:cs="Calibri"/>
          <w:b/>
          <w:bCs/>
        </w:rPr>
        <w:t>OP PIK, OP TAK a NPO</w:t>
      </w:r>
      <w:r w:rsidR="00082099" w:rsidRPr="006635F0">
        <w:rPr>
          <w:rFonts w:ascii="Calibri" w:eastAsia="Calibri" w:hAnsi="Calibri" w:cs="Calibri"/>
          <w:b/>
          <w:bCs/>
        </w:rPr>
        <w:t xml:space="preserve"> činila ke dni 1. května 2025 celkem 26,4 mld. Kč</w:t>
      </w:r>
      <w:r w:rsidR="00F5504D">
        <w:rPr>
          <w:rFonts w:ascii="Calibri" w:eastAsia="Calibri" w:hAnsi="Calibri" w:cs="Calibri"/>
          <w:b/>
          <w:bCs/>
        </w:rPr>
        <w:t>.</w:t>
      </w:r>
      <w:r w:rsidR="00082099" w:rsidRPr="001F4A1B">
        <w:rPr>
          <w:rFonts w:ascii="Calibri" w:hAnsi="Calibri" w:cs="Calibri"/>
          <w:b/>
          <w:bCs/>
        </w:rPr>
        <w:t xml:space="preserve"> </w:t>
      </w:r>
      <w:r w:rsidR="001905FB" w:rsidRPr="001F4A1B">
        <w:rPr>
          <w:rFonts w:ascii="Calibri" w:hAnsi="Calibri" w:cs="Calibri"/>
          <w:b/>
          <w:bCs/>
        </w:rPr>
        <w:t>M</w:t>
      </w:r>
      <w:r w:rsidR="001905FB">
        <w:rPr>
          <w:rFonts w:ascii="Calibri" w:hAnsi="Calibri" w:cs="Calibri"/>
          <w:b/>
          <w:bCs/>
        </w:rPr>
        <w:t xml:space="preserve">inisterstvem průmyslu a obchodu </w:t>
      </w:r>
      <w:r w:rsidR="006A0D21" w:rsidRPr="001F4A1B">
        <w:rPr>
          <w:rFonts w:ascii="Calibri" w:hAnsi="Calibri" w:cs="Calibri"/>
          <w:b/>
          <w:bCs/>
        </w:rPr>
        <w:t>poskytnutá podpora úspor energie z</w:t>
      </w:r>
      <w:r w:rsidR="00397707">
        <w:rPr>
          <w:rFonts w:ascii="Calibri" w:hAnsi="Calibri" w:cs="Calibri"/>
          <w:b/>
          <w:bCs/>
        </w:rPr>
        <w:t> </w:t>
      </w:r>
      <w:r w:rsidR="00153853">
        <w:rPr>
          <w:rFonts w:ascii="Calibri" w:hAnsi="Calibri" w:cs="Calibri"/>
          <w:b/>
          <w:bCs/>
        </w:rPr>
        <w:t>OP</w:t>
      </w:r>
      <w:r w:rsidR="00397707">
        <w:rPr>
          <w:rFonts w:ascii="Calibri" w:hAnsi="Calibri" w:cs="Calibri"/>
          <w:b/>
          <w:bCs/>
        </w:rPr>
        <w:t> </w:t>
      </w:r>
      <w:r w:rsidR="00153853">
        <w:rPr>
          <w:rFonts w:ascii="Calibri" w:hAnsi="Calibri" w:cs="Calibri"/>
          <w:b/>
          <w:bCs/>
        </w:rPr>
        <w:t>PIK</w:t>
      </w:r>
      <w:r w:rsidR="006A0D21" w:rsidRPr="001F4A1B">
        <w:rPr>
          <w:rFonts w:ascii="Calibri" w:hAnsi="Calibri" w:cs="Calibri"/>
          <w:b/>
          <w:bCs/>
        </w:rPr>
        <w:t xml:space="preserve"> měla zanedbatelný dopad na celkovou spotřebu energie v průmyslu a ve službách</w:t>
      </w:r>
      <w:r w:rsidR="001905FB">
        <w:rPr>
          <w:rFonts w:ascii="Calibri" w:hAnsi="Calibri" w:cs="Calibri"/>
          <w:b/>
          <w:bCs/>
        </w:rPr>
        <w:t>. Dosažená úspora vlivem podpory činila 1 %</w:t>
      </w:r>
      <w:r w:rsidR="006A0D21" w:rsidRPr="001F4A1B">
        <w:rPr>
          <w:rFonts w:ascii="Calibri" w:hAnsi="Calibri" w:cs="Calibri"/>
          <w:b/>
          <w:bCs/>
        </w:rPr>
        <w:t xml:space="preserve">. O podporu nebyl velký zájem a opatření </w:t>
      </w:r>
      <w:r w:rsidR="00082099">
        <w:rPr>
          <w:rFonts w:ascii="Calibri" w:hAnsi="Calibri" w:cs="Calibri"/>
          <w:b/>
          <w:bCs/>
        </w:rPr>
        <w:t>M</w:t>
      </w:r>
      <w:r w:rsidR="001905FB">
        <w:rPr>
          <w:rFonts w:ascii="Calibri" w:hAnsi="Calibri" w:cs="Calibri"/>
          <w:b/>
          <w:bCs/>
        </w:rPr>
        <w:t>inisterstva průmyslu a obchodu</w:t>
      </w:r>
      <w:r w:rsidR="001905FB" w:rsidRPr="001F4A1B">
        <w:rPr>
          <w:rFonts w:ascii="Calibri" w:hAnsi="Calibri" w:cs="Calibri"/>
          <w:b/>
          <w:bCs/>
        </w:rPr>
        <w:t xml:space="preserve"> </w:t>
      </w:r>
      <w:r w:rsidR="006A0D21" w:rsidRPr="001F4A1B">
        <w:rPr>
          <w:rFonts w:ascii="Calibri" w:hAnsi="Calibri" w:cs="Calibri"/>
          <w:b/>
          <w:bCs/>
        </w:rPr>
        <w:t>ke zvýšení zájmu o podporu vedl</w:t>
      </w:r>
      <w:r w:rsidR="00DF1F78">
        <w:rPr>
          <w:rFonts w:ascii="Calibri" w:hAnsi="Calibri" w:cs="Calibri"/>
          <w:b/>
          <w:bCs/>
        </w:rPr>
        <w:t>a</w:t>
      </w:r>
      <w:r w:rsidR="006A0D21" w:rsidRPr="001F4A1B">
        <w:rPr>
          <w:rFonts w:ascii="Calibri" w:hAnsi="Calibri" w:cs="Calibri"/>
          <w:b/>
          <w:bCs/>
        </w:rPr>
        <w:t xml:space="preserve"> ve svém důsledku k podpoře dražších projektů s nižšími úsporami.</w:t>
      </w:r>
      <w:r w:rsidR="006635F0">
        <w:rPr>
          <w:rFonts w:ascii="Calibri" w:hAnsi="Calibri" w:cs="Calibri"/>
          <w:b/>
          <w:bCs/>
        </w:rPr>
        <w:t xml:space="preserve"> Podporou nebylo cílových úspor dosaženo</w:t>
      </w:r>
      <w:r w:rsidR="005E0DDB">
        <w:rPr>
          <w:rFonts w:ascii="Calibri" w:hAnsi="Calibri" w:cs="Calibri"/>
          <w:b/>
          <w:bCs/>
        </w:rPr>
        <w:t xml:space="preserve">. </w:t>
      </w:r>
      <w:r w:rsidR="006A0D21" w:rsidRPr="001F4A1B">
        <w:rPr>
          <w:rFonts w:ascii="Calibri" w:hAnsi="Calibri" w:cs="Calibri"/>
          <w:b/>
          <w:bCs/>
        </w:rPr>
        <w:t xml:space="preserve">Podpora poskytovaná </w:t>
      </w:r>
      <w:r w:rsidR="00082099">
        <w:rPr>
          <w:rFonts w:ascii="Calibri" w:hAnsi="Calibri" w:cs="Calibri"/>
          <w:b/>
          <w:bCs/>
        </w:rPr>
        <w:t>M</w:t>
      </w:r>
      <w:r w:rsidR="001905FB">
        <w:rPr>
          <w:rFonts w:ascii="Calibri" w:hAnsi="Calibri" w:cs="Calibri"/>
          <w:b/>
          <w:bCs/>
        </w:rPr>
        <w:t>inisterstvem průmyslu a obchodu</w:t>
      </w:r>
      <w:r w:rsidR="001905FB" w:rsidRPr="001F4A1B">
        <w:rPr>
          <w:rFonts w:ascii="Calibri" w:hAnsi="Calibri" w:cs="Calibri"/>
          <w:b/>
          <w:bCs/>
        </w:rPr>
        <w:t xml:space="preserve"> </w:t>
      </w:r>
      <w:r w:rsidR="006A0D21" w:rsidRPr="001F4A1B">
        <w:rPr>
          <w:rFonts w:ascii="Calibri" w:hAnsi="Calibri" w:cs="Calibri"/>
          <w:b/>
          <w:bCs/>
        </w:rPr>
        <w:t xml:space="preserve">z </w:t>
      </w:r>
      <w:r w:rsidR="00153853">
        <w:rPr>
          <w:rFonts w:ascii="Calibri" w:hAnsi="Calibri" w:cs="Calibri"/>
          <w:b/>
          <w:bCs/>
        </w:rPr>
        <w:t>OP TAK</w:t>
      </w:r>
      <w:r w:rsidR="006A0D21" w:rsidRPr="001F4A1B">
        <w:rPr>
          <w:rFonts w:ascii="Calibri" w:hAnsi="Calibri" w:cs="Calibri"/>
          <w:b/>
          <w:bCs/>
        </w:rPr>
        <w:t xml:space="preserve"> cílové zvýšení instalovaného výkonu z obnovitelných zdrojů energie k 31. prosinci 2024 nepřinesla. </w:t>
      </w:r>
      <w:r w:rsidR="00F21DC3">
        <w:rPr>
          <w:rFonts w:ascii="Calibri" w:hAnsi="Calibri" w:cs="Calibri"/>
          <w:b/>
          <w:bCs/>
        </w:rPr>
        <w:t xml:space="preserve">Podpora z </w:t>
      </w:r>
      <w:r w:rsidR="006A0D21" w:rsidRPr="001F4A1B">
        <w:rPr>
          <w:rFonts w:ascii="Calibri" w:hAnsi="Calibri" w:cs="Calibri"/>
          <w:b/>
          <w:bCs/>
        </w:rPr>
        <w:t>NPO nepřinese očekávané snížení spotřeby energie u budov ve vlastnictví státu</w:t>
      </w:r>
      <w:r w:rsidR="00F21DC3">
        <w:rPr>
          <w:rFonts w:ascii="Calibri" w:hAnsi="Calibri" w:cs="Calibri"/>
          <w:b/>
          <w:bCs/>
        </w:rPr>
        <w:t xml:space="preserve"> kvůli nízkému zájmu</w:t>
      </w:r>
      <w:r w:rsidR="00617688">
        <w:rPr>
          <w:rFonts w:ascii="Calibri" w:hAnsi="Calibri" w:cs="Calibri"/>
          <w:b/>
          <w:bCs/>
        </w:rPr>
        <w:t xml:space="preserve"> žadatelů.</w:t>
      </w:r>
      <w:r w:rsidR="006A0D21" w:rsidRPr="001F4A1B">
        <w:rPr>
          <w:rFonts w:ascii="Calibri" w:hAnsi="Calibri" w:cs="Calibri"/>
          <w:b/>
          <w:bCs/>
        </w:rPr>
        <w:t xml:space="preserve"> </w:t>
      </w:r>
      <w:r w:rsidR="00F40416">
        <w:rPr>
          <w:rFonts w:ascii="Calibri" w:hAnsi="Calibri" w:cs="Calibri"/>
          <w:b/>
          <w:bCs/>
        </w:rPr>
        <w:t>J</w:t>
      </w:r>
      <w:r w:rsidR="006A0D21" w:rsidRPr="001F4A1B">
        <w:rPr>
          <w:rFonts w:ascii="Calibri" w:hAnsi="Calibri" w:cs="Calibri"/>
          <w:b/>
          <w:bCs/>
        </w:rPr>
        <w:t xml:space="preserve">edním z důvodu je nevhodné nastavení podmínek podpory ze strany </w:t>
      </w:r>
      <w:r w:rsidR="00082099">
        <w:rPr>
          <w:rFonts w:ascii="Calibri" w:hAnsi="Calibri" w:cs="Calibri"/>
          <w:b/>
          <w:bCs/>
        </w:rPr>
        <w:t>M</w:t>
      </w:r>
      <w:r w:rsidR="001905FB">
        <w:rPr>
          <w:rFonts w:ascii="Calibri" w:hAnsi="Calibri" w:cs="Calibri"/>
          <w:b/>
          <w:bCs/>
        </w:rPr>
        <w:t>inisterstva průmyslu a obchodu</w:t>
      </w:r>
      <w:r w:rsidR="006A0D21" w:rsidRPr="001F4A1B">
        <w:rPr>
          <w:rFonts w:ascii="Calibri" w:hAnsi="Calibri" w:cs="Calibri"/>
          <w:b/>
          <w:bCs/>
        </w:rPr>
        <w:t>.</w:t>
      </w:r>
      <w:r w:rsidR="00153853">
        <w:rPr>
          <w:rFonts w:ascii="Calibri" w:hAnsi="Calibri" w:cs="Calibri"/>
          <w:b/>
          <w:bCs/>
        </w:rPr>
        <w:t xml:space="preserve"> NKÚ tak upozorňuje na riziko</w:t>
      </w:r>
      <w:r w:rsidR="00F40416">
        <w:rPr>
          <w:rFonts w:ascii="Calibri" w:hAnsi="Calibri" w:cs="Calibri"/>
          <w:b/>
          <w:bCs/>
        </w:rPr>
        <w:t>, že MPO nesplní stanovený cíl snížení energetické náročnosti budov pro organizační složky státu.</w:t>
      </w:r>
      <w:r w:rsidR="00A9245E">
        <w:rPr>
          <w:rFonts w:ascii="Calibri" w:hAnsi="Calibri" w:cs="Calibri"/>
          <w:b/>
          <w:bCs/>
        </w:rPr>
        <w:t xml:space="preserve"> </w:t>
      </w:r>
      <w:r w:rsidR="00A9245E" w:rsidRPr="00EC65A8">
        <w:rPr>
          <w:rFonts w:ascii="Calibri" w:eastAsia="Calibri" w:hAnsi="Calibri" w:cs="Calibri"/>
          <w:b/>
          <w:bCs/>
        </w:rPr>
        <w:t xml:space="preserve">U </w:t>
      </w:r>
      <w:r w:rsidR="00A9245E">
        <w:rPr>
          <w:rFonts w:ascii="Calibri" w:eastAsia="Calibri" w:hAnsi="Calibri" w:cs="Calibri"/>
          <w:b/>
          <w:bCs/>
        </w:rPr>
        <w:t>čtyř z 16</w:t>
      </w:r>
      <w:r w:rsidR="00A9245E" w:rsidRPr="00EC65A8">
        <w:rPr>
          <w:rFonts w:ascii="Calibri" w:eastAsia="Calibri" w:hAnsi="Calibri" w:cs="Calibri"/>
          <w:b/>
          <w:bCs/>
        </w:rPr>
        <w:t xml:space="preserve"> kontrolovaných příjemců podpory NKÚ zjistil skutečnosti nasvědčující porušení rozpočtové kázně ve výši 2,7 mil. Kč.</w:t>
      </w:r>
    </w:p>
    <w:p w14:paraId="04C90EC7" w14:textId="44256F92" w:rsidR="00C7218A" w:rsidRPr="001572CD" w:rsidRDefault="00C7218A" w:rsidP="00F47044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bookmarkEnd w:id="0"/>
    <w:p w14:paraId="23FC3645" w14:textId="36B4181E" w:rsidR="00581D26" w:rsidRPr="00137068" w:rsidRDefault="001304C8" w:rsidP="00F47044">
      <w:pPr>
        <w:pStyle w:val="nadpismj"/>
        <w:numPr>
          <w:ilvl w:val="0"/>
          <w:numId w:val="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</w:rPr>
        <w:t>1.</w:t>
      </w:r>
      <w:r w:rsidR="00A9245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</w:t>
      </w:r>
      <w:r w:rsidR="00581D26" w:rsidRPr="00432CAF">
        <w:rPr>
          <w:rFonts w:ascii="Calibri" w:eastAsia="Calibri" w:hAnsi="Calibri" w:cs="Calibri"/>
        </w:rPr>
        <w:t>Výše uvedené celkové vyhodnocení vyplývá z následujících zjištění:</w:t>
      </w:r>
    </w:p>
    <w:p w14:paraId="300F2B74" w14:textId="77777777" w:rsidR="00137068" w:rsidRPr="00432CAF" w:rsidRDefault="00137068" w:rsidP="00F47044">
      <w:pPr>
        <w:pStyle w:val="nadpismj"/>
        <w:numPr>
          <w:ilvl w:val="0"/>
          <w:numId w:val="0"/>
        </w:numPr>
        <w:spacing w:after="0" w:line="240" w:lineRule="auto"/>
        <w:jc w:val="both"/>
        <w:rPr>
          <w:rFonts w:ascii="Calibri" w:hAnsi="Calibri" w:cs="Calibri"/>
        </w:rPr>
      </w:pPr>
    </w:p>
    <w:p w14:paraId="69EA9426" w14:textId="32B4E701" w:rsidR="00581D26" w:rsidRDefault="00581D26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432CAF">
        <w:rPr>
          <w:rFonts w:ascii="Calibri" w:eastAsia="Calibri" w:hAnsi="Calibri" w:cs="Calibri"/>
        </w:rPr>
        <w:t>Česká republika nesplnila do roku 2020 závazný cíl ročních úspor spotřeby energie vyplývající z evropské směrnice ve výši 51,5 PJ</w:t>
      </w:r>
      <w:r w:rsidRPr="00432CAF">
        <w:rPr>
          <w:rStyle w:val="Znakapoznpodarou"/>
          <w:rFonts w:ascii="Calibri" w:eastAsia="Calibri" w:hAnsi="Calibri" w:cs="Calibri"/>
        </w:rPr>
        <w:footnoteReference w:id="1"/>
      </w:r>
      <w:r w:rsidR="00D15E85">
        <w:rPr>
          <w:rFonts w:ascii="Calibri" w:eastAsia="Calibri" w:hAnsi="Calibri" w:cs="Calibri"/>
        </w:rPr>
        <w:t>, který byl schválen vládou v </w:t>
      </w:r>
      <w:r w:rsidR="00D15E85" w:rsidRPr="00A15456">
        <w:rPr>
          <w:rFonts w:ascii="Calibri" w:eastAsia="Calibri" w:hAnsi="Calibri" w:cs="Calibri"/>
          <w:i/>
          <w:iCs/>
        </w:rPr>
        <w:t>Národním akčním plánu energetické účinnosti ČR</w:t>
      </w:r>
      <w:r w:rsidRPr="00432CAF">
        <w:rPr>
          <w:rFonts w:ascii="Calibri" w:eastAsia="Calibri" w:hAnsi="Calibri" w:cs="Calibri"/>
        </w:rPr>
        <w:t>. Jedním z důvodů byl nízký přínos podpory poskyt</w:t>
      </w:r>
      <w:r w:rsidR="004E0025">
        <w:rPr>
          <w:rFonts w:ascii="Calibri" w:eastAsia="Calibri" w:hAnsi="Calibri" w:cs="Calibri"/>
        </w:rPr>
        <w:t>nuté</w:t>
      </w:r>
      <w:r w:rsidRPr="00432CAF">
        <w:rPr>
          <w:rFonts w:ascii="Calibri" w:eastAsia="Calibri" w:hAnsi="Calibri" w:cs="Calibri"/>
        </w:rPr>
        <w:t xml:space="preserve"> z </w:t>
      </w:r>
      <w:r w:rsidR="00153853">
        <w:rPr>
          <w:rFonts w:ascii="Calibri" w:eastAsia="Calibri" w:hAnsi="Calibri" w:cs="Calibri"/>
        </w:rPr>
        <w:t>OP PIK</w:t>
      </w:r>
      <w:r w:rsidRPr="00432CAF">
        <w:rPr>
          <w:rFonts w:ascii="Calibri" w:eastAsia="Calibri" w:hAnsi="Calibri" w:cs="Calibri"/>
        </w:rPr>
        <w:t>. Podpora z </w:t>
      </w:r>
      <w:r w:rsidR="00153853">
        <w:rPr>
          <w:rFonts w:ascii="Calibri" w:eastAsia="Calibri" w:hAnsi="Calibri" w:cs="Calibri"/>
        </w:rPr>
        <w:t>OP PIK</w:t>
      </w:r>
      <w:r w:rsidRPr="00432CAF">
        <w:rPr>
          <w:rFonts w:ascii="Calibri" w:eastAsia="Calibri" w:hAnsi="Calibri" w:cs="Calibri"/>
        </w:rPr>
        <w:t xml:space="preserve"> měla zajistit původně 39,5 % plánovaných úspor, po jejich revizi v roce 2017 jen 18,7 %. Vlivem podpory byla v roce 2020 dosažena skutečná úspora jen ve výši 3,</w:t>
      </w:r>
      <w:r w:rsidR="00515C75">
        <w:rPr>
          <w:rFonts w:ascii="Calibri" w:eastAsia="Calibri" w:hAnsi="Calibri" w:cs="Calibri"/>
        </w:rPr>
        <w:t>1</w:t>
      </w:r>
      <w:r w:rsidRPr="00432CAF">
        <w:rPr>
          <w:rFonts w:ascii="Calibri" w:eastAsia="Calibri" w:hAnsi="Calibri" w:cs="Calibri"/>
        </w:rPr>
        <w:t xml:space="preserve"> PJ, tj. 6 % plánovaných úspor.</w:t>
      </w:r>
    </w:p>
    <w:p w14:paraId="5CDC95D7" w14:textId="77777777" w:rsidR="00137068" w:rsidRPr="00432CAF" w:rsidRDefault="00137068" w:rsidP="00140DDD">
      <w:pPr>
        <w:pStyle w:val="Odstavecseseznamem"/>
        <w:spacing w:after="0" w:line="240" w:lineRule="auto"/>
        <w:ind w:left="567" w:hanging="283"/>
        <w:jc w:val="both"/>
        <w:rPr>
          <w:rFonts w:ascii="Calibri" w:eastAsia="Calibri" w:hAnsi="Calibri" w:cs="Calibri"/>
        </w:rPr>
      </w:pPr>
    </w:p>
    <w:p w14:paraId="3BD44C41" w14:textId="542AEDFF" w:rsidR="00581D26" w:rsidRDefault="00581D26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7E7818">
        <w:rPr>
          <w:rFonts w:ascii="Calibri" w:eastAsia="Calibri" w:hAnsi="Calibri" w:cs="Calibri"/>
        </w:rPr>
        <w:t xml:space="preserve">O podporu z programu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7E7818">
        <w:rPr>
          <w:rFonts w:ascii="Calibri" w:eastAsia="Calibri" w:hAnsi="Calibri" w:cs="Calibri"/>
        </w:rPr>
        <w:t xml:space="preserve"> z </w:t>
      </w:r>
      <w:r w:rsidR="00153853">
        <w:rPr>
          <w:rFonts w:ascii="Calibri" w:eastAsia="Calibri" w:hAnsi="Calibri" w:cs="Calibri"/>
        </w:rPr>
        <w:t>OP PIK</w:t>
      </w:r>
      <w:r w:rsidRPr="007E7818">
        <w:rPr>
          <w:rFonts w:ascii="Calibri" w:eastAsia="Calibri" w:hAnsi="Calibri" w:cs="Calibri"/>
        </w:rPr>
        <w:t xml:space="preserve"> byl nízký zájem. V průběhu poskytování podpory MPO zmírnilo kritéria pro přijatelnost projektů, čímž zajistilo vyšší počet podpořených projektů, které ale přinesly nižší úspory. Celková podpora ve výši 13,</w:t>
      </w:r>
      <w:r w:rsidR="00666D37">
        <w:rPr>
          <w:rFonts w:ascii="Calibri" w:eastAsia="Calibri" w:hAnsi="Calibri" w:cs="Calibri"/>
        </w:rPr>
        <w:t>9</w:t>
      </w:r>
      <w:r w:rsidR="00140DDD">
        <w:rPr>
          <w:rFonts w:ascii="Calibri" w:eastAsia="Calibri" w:hAnsi="Calibri" w:cs="Calibri"/>
        </w:rPr>
        <w:t> </w:t>
      </w:r>
      <w:r w:rsidRPr="007E7818">
        <w:rPr>
          <w:rFonts w:ascii="Calibri" w:eastAsia="Calibri" w:hAnsi="Calibri" w:cs="Calibri"/>
        </w:rPr>
        <w:t>mld.</w:t>
      </w:r>
      <w:r w:rsidR="00140DDD">
        <w:rPr>
          <w:rFonts w:ascii="Calibri" w:eastAsia="Calibri" w:hAnsi="Calibri" w:cs="Calibri"/>
        </w:rPr>
        <w:t> </w:t>
      </w:r>
      <w:r w:rsidRPr="007E7818">
        <w:rPr>
          <w:rFonts w:ascii="Calibri" w:eastAsia="Calibri" w:hAnsi="Calibri" w:cs="Calibri"/>
        </w:rPr>
        <w:t>Kč tak přinesla</w:t>
      </w:r>
      <w:r w:rsidR="009F4A0E">
        <w:rPr>
          <w:rFonts w:ascii="Calibri" w:eastAsia="Calibri" w:hAnsi="Calibri" w:cs="Calibri"/>
        </w:rPr>
        <w:t xml:space="preserve"> </w:t>
      </w:r>
      <w:r w:rsidRPr="007E7818">
        <w:rPr>
          <w:rFonts w:ascii="Calibri" w:eastAsia="Calibri" w:hAnsi="Calibri" w:cs="Calibri"/>
        </w:rPr>
        <w:t>do 20. května 2025</w:t>
      </w:r>
      <w:r w:rsidR="00E445CF">
        <w:rPr>
          <w:rFonts w:ascii="Calibri" w:eastAsia="Calibri" w:hAnsi="Calibri" w:cs="Calibri"/>
        </w:rPr>
        <w:t xml:space="preserve"> (po započítání úspor vykázaných v době udržitelnosti projektů)</w:t>
      </w:r>
      <w:r w:rsidR="00E445CF" w:rsidRPr="007E7818">
        <w:rPr>
          <w:rFonts w:ascii="Calibri" w:eastAsia="Calibri" w:hAnsi="Calibri" w:cs="Calibri"/>
        </w:rPr>
        <w:t xml:space="preserve"> </w:t>
      </w:r>
      <w:r w:rsidRPr="007E7818">
        <w:rPr>
          <w:rFonts w:ascii="Calibri" w:eastAsia="Calibri" w:hAnsi="Calibri" w:cs="Calibri"/>
        </w:rPr>
        <w:t>úsporu spotřeby energie ve výši 4</w:t>
      </w:r>
      <w:r w:rsidR="00AF46D5">
        <w:rPr>
          <w:rFonts w:ascii="Calibri" w:eastAsia="Calibri" w:hAnsi="Calibri" w:cs="Calibri"/>
        </w:rPr>
        <w:t>,</w:t>
      </w:r>
      <w:r w:rsidRPr="007E7818">
        <w:rPr>
          <w:rFonts w:ascii="Calibri" w:eastAsia="Calibri" w:hAnsi="Calibri" w:cs="Calibri"/>
        </w:rPr>
        <w:t xml:space="preserve">6 </w:t>
      </w:r>
      <w:r w:rsidR="00AF46D5">
        <w:rPr>
          <w:rFonts w:ascii="Calibri" w:eastAsia="Calibri" w:hAnsi="Calibri" w:cs="Calibri"/>
        </w:rPr>
        <w:t>P</w:t>
      </w:r>
      <w:r w:rsidRPr="007E7818">
        <w:rPr>
          <w:rFonts w:ascii="Calibri" w:eastAsia="Calibri" w:hAnsi="Calibri" w:cs="Calibri"/>
        </w:rPr>
        <w:t>J. Dosažená úspora činí 1 % z celkové čisté konečné spotřeby energie v průmyslu a službách v ČR</w:t>
      </w:r>
      <w:r w:rsidR="00511E71">
        <w:rPr>
          <w:rStyle w:val="Znakapoznpodarou"/>
          <w:rFonts w:ascii="Calibri" w:eastAsia="Calibri" w:hAnsi="Calibri" w:cs="Calibri"/>
        </w:rPr>
        <w:footnoteReference w:id="2"/>
      </w:r>
      <w:r w:rsidRPr="007E7818">
        <w:rPr>
          <w:rFonts w:ascii="Calibri" w:eastAsia="Calibri" w:hAnsi="Calibri" w:cs="Calibri"/>
        </w:rPr>
        <w:t>.</w:t>
      </w:r>
    </w:p>
    <w:p w14:paraId="1BC2AAE8" w14:textId="77777777" w:rsidR="00137068" w:rsidRPr="00137068" w:rsidRDefault="00137068" w:rsidP="00140DDD">
      <w:pPr>
        <w:spacing w:after="0" w:line="240" w:lineRule="auto"/>
        <w:ind w:left="567" w:hanging="283"/>
        <w:jc w:val="both"/>
        <w:rPr>
          <w:rFonts w:ascii="Calibri" w:eastAsia="Calibri" w:hAnsi="Calibri" w:cs="Calibri"/>
        </w:rPr>
      </w:pPr>
    </w:p>
    <w:p w14:paraId="375102B7" w14:textId="4BD179A5" w:rsidR="007E7818" w:rsidRPr="00E445CF" w:rsidRDefault="00581D26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E445CF">
        <w:rPr>
          <w:rFonts w:ascii="Calibri" w:eastAsia="Calibri" w:hAnsi="Calibri" w:cs="Calibri"/>
        </w:rPr>
        <w:t xml:space="preserve">U programu podpory </w:t>
      </w:r>
      <w:r w:rsidRPr="00A15456">
        <w:rPr>
          <w:rFonts w:ascii="Calibri" w:eastAsia="Calibri" w:hAnsi="Calibri" w:cs="Calibri"/>
          <w:i/>
          <w:iCs/>
        </w:rPr>
        <w:t>Obnovitelné zdroje energie</w:t>
      </w:r>
      <w:r w:rsidRPr="00E445CF">
        <w:rPr>
          <w:rFonts w:ascii="Calibri" w:eastAsia="Calibri" w:hAnsi="Calibri" w:cs="Calibri"/>
        </w:rPr>
        <w:t xml:space="preserve"> z </w:t>
      </w:r>
      <w:r w:rsidR="00153853">
        <w:rPr>
          <w:rFonts w:ascii="Calibri" w:eastAsia="Calibri" w:hAnsi="Calibri" w:cs="Calibri"/>
        </w:rPr>
        <w:t>OP PIK</w:t>
      </w:r>
      <w:r w:rsidRPr="00E445CF">
        <w:rPr>
          <w:rFonts w:ascii="Calibri" w:eastAsia="Calibri" w:hAnsi="Calibri" w:cs="Calibri"/>
        </w:rPr>
        <w:t xml:space="preserve"> měl být vlivem podpory </w:t>
      </w:r>
      <w:r w:rsidR="00A4397B">
        <w:rPr>
          <w:rFonts w:ascii="Calibri" w:eastAsia="Calibri" w:hAnsi="Calibri" w:cs="Calibri"/>
        </w:rPr>
        <w:t xml:space="preserve">(ve výši 613,7 mil. Kč) </w:t>
      </w:r>
      <w:r w:rsidRPr="00E445CF">
        <w:rPr>
          <w:rFonts w:ascii="Calibri" w:eastAsia="Calibri" w:hAnsi="Calibri" w:cs="Calibri"/>
        </w:rPr>
        <w:t>dosažen výkon výroby energie ve výši 60 MW do konce roku 2023. Tento cíl byl dosažen a v době ukončení kontroly činil instalovaný výkon 6</w:t>
      </w:r>
      <w:r w:rsidR="00515C75" w:rsidRPr="00E445CF">
        <w:rPr>
          <w:rFonts w:ascii="Calibri" w:eastAsia="Calibri" w:hAnsi="Calibri" w:cs="Calibri"/>
        </w:rPr>
        <w:t>5</w:t>
      </w:r>
      <w:r w:rsidRPr="00E445CF">
        <w:rPr>
          <w:rFonts w:ascii="Calibri" w:eastAsia="Calibri" w:hAnsi="Calibri" w:cs="Calibri"/>
        </w:rPr>
        <w:t xml:space="preserve"> MW. Z celkového výkonu obnovitelných zdrojů energie ve výši 5 903 MW instalovaného v České republice ke konci roku 2023 </w:t>
      </w:r>
      <w:r w:rsidR="00A4397B">
        <w:rPr>
          <w:rFonts w:ascii="Calibri" w:eastAsia="Calibri" w:hAnsi="Calibri" w:cs="Calibri"/>
        </w:rPr>
        <w:t>tak nově</w:t>
      </w:r>
      <w:r w:rsidR="00226C6C" w:rsidRPr="00E445CF">
        <w:rPr>
          <w:rFonts w:ascii="Calibri" w:eastAsia="Calibri" w:hAnsi="Calibri" w:cs="Calibri"/>
        </w:rPr>
        <w:t xml:space="preserve"> </w:t>
      </w:r>
      <w:r w:rsidRPr="00E445CF">
        <w:rPr>
          <w:rFonts w:ascii="Calibri" w:eastAsia="Calibri" w:hAnsi="Calibri" w:cs="Calibri"/>
        </w:rPr>
        <w:t>instalovaný výkon</w:t>
      </w:r>
      <w:r w:rsidR="00226C6C">
        <w:rPr>
          <w:rFonts w:ascii="Calibri" w:eastAsia="Calibri" w:hAnsi="Calibri" w:cs="Calibri"/>
        </w:rPr>
        <w:t xml:space="preserve"> obnovitelných zdrojů energie</w:t>
      </w:r>
      <w:r w:rsidR="00A4397B">
        <w:rPr>
          <w:rFonts w:ascii="Calibri" w:eastAsia="Calibri" w:hAnsi="Calibri" w:cs="Calibri"/>
        </w:rPr>
        <w:t xml:space="preserve"> vlivem podpory činil pouze</w:t>
      </w:r>
      <w:r w:rsidRPr="00E445CF">
        <w:rPr>
          <w:rFonts w:ascii="Calibri" w:eastAsia="Calibri" w:hAnsi="Calibri" w:cs="Calibri"/>
        </w:rPr>
        <w:t xml:space="preserve"> 1</w:t>
      </w:r>
      <w:r w:rsidR="00A4397B">
        <w:rPr>
          <w:rFonts w:ascii="Calibri" w:eastAsia="Calibri" w:hAnsi="Calibri" w:cs="Calibri"/>
        </w:rPr>
        <w:t>,1</w:t>
      </w:r>
      <w:r w:rsidRPr="00E445CF">
        <w:rPr>
          <w:rFonts w:ascii="Calibri" w:eastAsia="Calibri" w:hAnsi="Calibri" w:cs="Calibri"/>
        </w:rPr>
        <w:t xml:space="preserve"> %.</w:t>
      </w:r>
    </w:p>
    <w:p w14:paraId="7F47BA77" w14:textId="77777777" w:rsidR="00137068" w:rsidRPr="00AF46D5" w:rsidRDefault="00137068" w:rsidP="00140DDD">
      <w:pPr>
        <w:spacing w:after="0" w:line="240" w:lineRule="auto"/>
        <w:ind w:left="567" w:hanging="283"/>
        <w:jc w:val="both"/>
        <w:rPr>
          <w:rFonts w:ascii="Calibri" w:eastAsia="Calibri" w:hAnsi="Calibri" w:cs="Calibri"/>
          <w:highlight w:val="yellow"/>
        </w:rPr>
      </w:pPr>
    </w:p>
    <w:p w14:paraId="34E286D1" w14:textId="6750FFB9" w:rsidR="004E0025" w:rsidRPr="00E445CF" w:rsidRDefault="004E0025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E445CF">
        <w:rPr>
          <w:rFonts w:ascii="Calibri" w:eastAsia="Calibri" w:hAnsi="Calibri" w:cs="Calibri"/>
        </w:rPr>
        <w:t xml:space="preserve">ČR má do roku 2030 dosáhnout kumulované úspory energie 669 PJ. Podle </w:t>
      </w:r>
      <w:r w:rsidR="00226C6C">
        <w:rPr>
          <w:rFonts w:ascii="Calibri" w:eastAsia="Calibri" w:hAnsi="Calibri" w:cs="Calibri"/>
        </w:rPr>
        <w:t xml:space="preserve">aktualizace </w:t>
      </w:r>
      <w:r w:rsidRPr="00E445CF">
        <w:rPr>
          <w:rFonts w:ascii="Calibri" w:eastAsia="Calibri" w:hAnsi="Calibri" w:cs="Calibri"/>
        </w:rPr>
        <w:t>Vnitrostátního plánu v oblasti energetiky a klimatu z roku 2024</w:t>
      </w:r>
      <w:r w:rsidRPr="00E445CF">
        <w:rPr>
          <w:rStyle w:val="Znakapoznpodarou"/>
          <w:rFonts w:ascii="Calibri" w:eastAsia="Calibri" w:hAnsi="Calibri" w:cs="Calibri"/>
        </w:rPr>
        <w:footnoteReference w:id="3"/>
      </w:r>
      <w:r w:rsidRPr="00E445CF">
        <w:rPr>
          <w:rFonts w:ascii="Calibri" w:eastAsia="Calibri" w:hAnsi="Calibri" w:cs="Calibri"/>
        </w:rPr>
        <w:t xml:space="preserve"> by podpora z </w:t>
      </w:r>
      <w:r w:rsidR="00153853">
        <w:rPr>
          <w:rFonts w:ascii="Calibri" w:eastAsia="Calibri" w:hAnsi="Calibri" w:cs="Calibri"/>
        </w:rPr>
        <w:t>OP TAK</w:t>
      </w:r>
      <w:r w:rsidRPr="00E445CF">
        <w:rPr>
          <w:rFonts w:ascii="Calibri" w:eastAsia="Calibri" w:hAnsi="Calibri" w:cs="Calibri"/>
        </w:rPr>
        <w:t xml:space="preserve"> měla zajistit úsporu 2,7 PJ, což činí</w:t>
      </w:r>
      <w:r w:rsidR="00014651" w:rsidRPr="00E445CF">
        <w:rPr>
          <w:rFonts w:ascii="Calibri" w:eastAsia="Calibri" w:hAnsi="Calibri" w:cs="Calibri"/>
        </w:rPr>
        <w:t xml:space="preserve"> jen</w:t>
      </w:r>
      <w:r w:rsidRPr="00E445CF">
        <w:rPr>
          <w:rFonts w:ascii="Calibri" w:eastAsia="Calibri" w:hAnsi="Calibri" w:cs="Calibri"/>
        </w:rPr>
        <w:t xml:space="preserve"> 0,4 % z celkových potřebných úspor v rámci celé ČR. Na příslušná opatření je v </w:t>
      </w:r>
      <w:r w:rsidR="00153853">
        <w:rPr>
          <w:rFonts w:ascii="Calibri" w:eastAsia="Calibri" w:hAnsi="Calibri" w:cs="Calibri"/>
        </w:rPr>
        <w:t>OP TAK</w:t>
      </w:r>
      <w:r w:rsidRPr="00E445CF">
        <w:rPr>
          <w:rFonts w:ascii="Calibri" w:eastAsia="Calibri" w:hAnsi="Calibri" w:cs="Calibri"/>
        </w:rPr>
        <w:t xml:space="preserve"> alokováno 12,4 mld. Kč.</w:t>
      </w:r>
    </w:p>
    <w:p w14:paraId="5DB60C57" w14:textId="77777777" w:rsidR="00137068" w:rsidRPr="00137068" w:rsidRDefault="00137068" w:rsidP="00140DDD">
      <w:pPr>
        <w:spacing w:after="0" w:line="240" w:lineRule="auto"/>
        <w:ind w:left="567" w:hanging="283"/>
        <w:jc w:val="both"/>
        <w:rPr>
          <w:rFonts w:ascii="Calibri" w:eastAsia="Calibri" w:hAnsi="Calibri" w:cs="Calibri"/>
        </w:rPr>
      </w:pPr>
    </w:p>
    <w:p w14:paraId="16E3BF8E" w14:textId="772CEA04" w:rsidR="007E7818" w:rsidRDefault="005D612A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Dotacemi</w:t>
      </w:r>
      <w:r w:rsidR="007E7818" w:rsidRPr="007E7818">
        <w:rPr>
          <w:rFonts w:ascii="Calibri" w:eastAsia="Calibri" w:hAnsi="Calibri" w:cs="Calibri"/>
        </w:rPr>
        <w:t xml:space="preserve"> v rámci specifického cíle 4.2 z</w:t>
      </w:r>
      <w:r w:rsidR="00CA75C3">
        <w:rPr>
          <w:rFonts w:ascii="Calibri" w:eastAsia="Calibri" w:hAnsi="Calibri" w:cs="Calibri"/>
        </w:rPr>
        <w:t> </w:t>
      </w:r>
      <w:r w:rsidR="00153853">
        <w:rPr>
          <w:rFonts w:ascii="Calibri" w:eastAsia="Calibri" w:hAnsi="Calibri" w:cs="Calibri"/>
        </w:rPr>
        <w:t>OP TAK</w:t>
      </w:r>
      <w:r w:rsidR="00CA75C3">
        <w:rPr>
          <w:rFonts w:ascii="Calibri" w:eastAsia="Calibri" w:hAnsi="Calibri" w:cs="Calibri"/>
        </w:rPr>
        <w:t xml:space="preserve"> </w:t>
      </w:r>
      <w:r w:rsidR="00CA75C3" w:rsidRPr="00243D51">
        <w:rPr>
          <w:rFonts w:ascii="Calibri" w:eastAsia="Calibri" w:hAnsi="Calibri" w:cs="Calibri"/>
        </w:rPr>
        <w:t xml:space="preserve">ve výši </w:t>
      </w:r>
      <w:r w:rsidR="00492B28" w:rsidRPr="00243D51">
        <w:rPr>
          <w:rFonts w:ascii="Calibri" w:eastAsia="Calibri" w:hAnsi="Calibri" w:cs="Calibri"/>
        </w:rPr>
        <w:t>5,</w:t>
      </w:r>
      <w:r w:rsidR="00492B28">
        <w:rPr>
          <w:rFonts w:ascii="Calibri" w:eastAsia="Calibri" w:hAnsi="Calibri" w:cs="Calibri"/>
        </w:rPr>
        <w:t>1 mld. Kč</w:t>
      </w:r>
      <w:r w:rsidR="007E7818" w:rsidRPr="007E7818">
        <w:rPr>
          <w:rFonts w:ascii="Calibri" w:eastAsia="Calibri" w:hAnsi="Calibri" w:cs="Calibri"/>
        </w:rPr>
        <w:t xml:space="preserve"> má být dosaženo zvýšení instalovaného výkonu z obnovitelných zdrojů </w:t>
      </w:r>
      <w:r w:rsidR="00A77B54">
        <w:rPr>
          <w:rFonts w:ascii="Calibri" w:eastAsia="Calibri" w:hAnsi="Calibri" w:cs="Calibri"/>
        </w:rPr>
        <w:t xml:space="preserve">energie </w:t>
      </w:r>
      <w:r w:rsidR="007E7818" w:rsidRPr="007E7818">
        <w:rPr>
          <w:rFonts w:ascii="Calibri" w:eastAsia="Calibri" w:hAnsi="Calibri" w:cs="Calibri"/>
        </w:rPr>
        <w:t xml:space="preserve">o 231 MW do konce roku 2029, přičemž již v roce 2024 mělo být </w:t>
      </w:r>
      <w:r w:rsidR="00955B08">
        <w:rPr>
          <w:rFonts w:ascii="Calibri" w:eastAsia="Calibri" w:hAnsi="Calibri" w:cs="Calibri"/>
        </w:rPr>
        <w:t xml:space="preserve">podle programového dokumentu </w:t>
      </w:r>
      <w:r w:rsidR="007E7818" w:rsidRPr="007E7818">
        <w:rPr>
          <w:rFonts w:ascii="Calibri" w:eastAsia="Calibri" w:hAnsi="Calibri" w:cs="Calibri"/>
        </w:rPr>
        <w:t>realizováno 10</w:t>
      </w:r>
      <w:r w:rsidR="00DF1F78">
        <w:rPr>
          <w:rFonts w:ascii="Calibri" w:eastAsia="Calibri" w:hAnsi="Calibri" w:cs="Calibri"/>
        </w:rPr>
        <w:t> </w:t>
      </w:r>
      <w:r w:rsidR="007E7818" w:rsidRPr="007E7818">
        <w:rPr>
          <w:rFonts w:ascii="Calibri" w:eastAsia="Calibri" w:hAnsi="Calibri" w:cs="Calibri"/>
        </w:rPr>
        <w:t xml:space="preserve">% instalovaného výkonu (23 MW). </w:t>
      </w:r>
      <w:r w:rsidR="00CA7699">
        <w:rPr>
          <w:rFonts w:ascii="Calibri" w:eastAsia="Calibri" w:hAnsi="Calibri" w:cs="Calibri"/>
        </w:rPr>
        <w:t xml:space="preserve">Do doby ukončení kontroly </w:t>
      </w:r>
      <w:r w:rsidR="00226C6C">
        <w:rPr>
          <w:rFonts w:ascii="Calibri" w:eastAsia="Calibri" w:hAnsi="Calibri" w:cs="Calibri"/>
        </w:rPr>
        <w:t xml:space="preserve">byly </w:t>
      </w:r>
      <w:r w:rsidR="00CA7699">
        <w:rPr>
          <w:rFonts w:ascii="Calibri" w:eastAsia="Calibri" w:hAnsi="Calibri" w:cs="Calibri"/>
        </w:rPr>
        <w:t xml:space="preserve">z deseti podpořených projektů </w:t>
      </w:r>
      <w:r w:rsidR="0047558F">
        <w:rPr>
          <w:rFonts w:ascii="Calibri" w:eastAsia="Calibri" w:hAnsi="Calibri" w:cs="Calibri"/>
        </w:rPr>
        <w:t xml:space="preserve">proplaceny výdaje ve výši 83,6 mil. Kč na </w:t>
      </w:r>
      <w:r w:rsidR="00CA7699">
        <w:rPr>
          <w:rFonts w:ascii="Calibri" w:eastAsia="Calibri" w:hAnsi="Calibri" w:cs="Calibri"/>
        </w:rPr>
        <w:t>tři projekty s</w:t>
      </w:r>
      <w:r w:rsidR="00397707">
        <w:rPr>
          <w:rFonts w:ascii="Calibri" w:eastAsia="Calibri" w:hAnsi="Calibri" w:cs="Calibri"/>
        </w:rPr>
        <w:t> </w:t>
      </w:r>
      <w:r w:rsidR="00CA7699">
        <w:rPr>
          <w:rFonts w:ascii="Calibri" w:eastAsia="Calibri" w:hAnsi="Calibri" w:cs="Calibri"/>
        </w:rPr>
        <w:t xml:space="preserve">plánovaným </w:t>
      </w:r>
      <w:r w:rsidR="00CA7699" w:rsidRPr="00200ACD">
        <w:rPr>
          <w:rFonts w:ascii="Calibri" w:eastAsia="Calibri" w:hAnsi="Calibri" w:cs="Calibri"/>
        </w:rPr>
        <w:t>výkonem 19,4 MW</w:t>
      </w:r>
      <w:r w:rsidR="004E0025" w:rsidRPr="00200ACD">
        <w:rPr>
          <w:rStyle w:val="Znakapoznpodarou"/>
          <w:rFonts w:ascii="Calibri" w:eastAsia="Calibri" w:hAnsi="Calibri" w:cs="Calibri"/>
        </w:rPr>
        <w:footnoteReference w:id="4"/>
      </w:r>
      <w:r w:rsidR="00F01C0E">
        <w:rPr>
          <w:rFonts w:ascii="Calibri" w:eastAsia="Calibri" w:hAnsi="Calibri" w:cs="Calibri"/>
        </w:rPr>
        <w:t>.</w:t>
      </w:r>
      <w:r w:rsidR="00CA7699" w:rsidRPr="00200ACD">
        <w:rPr>
          <w:rFonts w:ascii="Calibri" w:eastAsia="Calibri" w:hAnsi="Calibri" w:cs="Calibri"/>
        </w:rPr>
        <w:t xml:space="preserve"> </w:t>
      </w:r>
      <w:r w:rsidR="007E7818" w:rsidRPr="00200ACD">
        <w:rPr>
          <w:rFonts w:ascii="Calibri" w:eastAsia="Calibri" w:hAnsi="Calibri" w:cs="Calibri"/>
        </w:rPr>
        <w:t>Cílové zvýšení instalovaného výkonu</w:t>
      </w:r>
      <w:r w:rsidR="00A77B54" w:rsidRPr="00200ACD">
        <w:rPr>
          <w:rFonts w:ascii="Calibri" w:eastAsia="Calibri" w:hAnsi="Calibri" w:cs="Calibri"/>
        </w:rPr>
        <w:t xml:space="preserve"> do roku 2024</w:t>
      </w:r>
      <w:r w:rsidR="007E7818" w:rsidRPr="00200ACD">
        <w:rPr>
          <w:rFonts w:ascii="Calibri" w:eastAsia="Calibri" w:hAnsi="Calibri" w:cs="Calibri"/>
        </w:rPr>
        <w:t xml:space="preserve"> nebylo splněno </w:t>
      </w:r>
      <w:r w:rsidR="00200ACD" w:rsidRPr="00200ACD">
        <w:rPr>
          <w:rFonts w:ascii="Calibri" w:eastAsia="Calibri" w:hAnsi="Calibri" w:cs="Calibri"/>
        </w:rPr>
        <w:t xml:space="preserve">a ani do doby ukončení kontroly NKÚ zatím </w:t>
      </w:r>
      <w:r w:rsidR="002B54B0" w:rsidRPr="00200ACD">
        <w:rPr>
          <w:rFonts w:ascii="Calibri" w:eastAsia="Calibri" w:hAnsi="Calibri" w:cs="Calibri"/>
        </w:rPr>
        <w:t xml:space="preserve">podpořené projekty nepřinesly </w:t>
      </w:r>
      <w:r w:rsidR="00D542B0">
        <w:rPr>
          <w:rFonts w:ascii="Calibri" w:eastAsia="Calibri" w:hAnsi="Calibri" w:cs="Calibri"/>
        </w:rPr>
        <w:t xml:space="preserve">novou </w:t>
      </w:r>
      <w:r w:rsidR="00200ACD" w:rsidRPr="00200ACD">
        <w:rPr>
          <w:rFonts w:ascii="Calibri" w:eastAsia="Calibri" w:hAnsi="Calibri" w:cs="Calibri"/>
        </w:rPr>
        <w:t>kapacit</w:t>
      </w:r>
      <w:r w:rsidR="00D542B0">
        <w:rPr>
          <w:rFonts w:ascii="Calibri" w:eastAsia="Calibri" w:hAnsi="Calibri" w:cs="Calibri"/>
        </w:rPr>
        <w:t>u</w:t>
      </w:r>
      <w:r w:rsidR="00200ACD" w:rsidRPr="00200ACD">
        <w:rPr>
          <w:rFonts w:ascii="Calibri" w:eastAsia="Calibri" w:hAnsi="Calibri" w:cs="Calibri"/>
        </w:rPr>
        <w:t xml:space="preserve"> výroby energie z obnovitelných zdrojů. Důvodem bylo</w:t>
      </w:r>
      <w:r w:rsidR="007E7818" w:rsidRPr="00200ACD">
        <w:rPr>
          <w:rFonts w:ascii="Calibri" w:eastAsia="Calibri" w:hAnsi="Calibri" w:cs="Calibri"/>
        </w:rPr>
        <w:t xml:space="preserve"> </w:t>
      </w:r>
      <w:r w:rsidR="00082099">
        <w:rPr>
          <w:rFonts w:ascii="Calibri" w:eastAsia="Calibri" w:hAnsi="Calibri" w:cs="Calibri"/>
        </w:rPr>
        <w:t>mj.</w:t>
      </w:r>
      <w:r w:rsidR="006703F0">
        <w:rPr>
          <w:rFonts w:ascii="Calibri" w:eastAsia="Calibri" w:hAnsi="Calibri" w:cs="Calibri"/>
        </w:rPr>
        <w:t> </w:t>
      </w:r>
      <w:r w:rsidR="007E7818" w:rsidRPr="00200ACD">
        <w:rPr>
          <w:rFonts w:ascii="Calibri" w:eastAsia="Calibri" w:hAnsi="Calibri" w:cs="Calibri"/>
        </w:rPr>
        <w:t>zpoždění ve vyhlášení výzev</w:t>
      </w:r>
      <w:r w:rsidR="007E7818" w:rsidRPr="007E7818">
        <w:rPr>
          <w:rFonts w:ascii="Calibri" w:eastAsia="Calibri" w:hAnsi="Calibri" w:cs="Calibri"/>
        </w:rPr>
        <w:t xml:space="preserve"> k předkládání projektů v</w:t>
      </w:r>
      <w:r w:rsidR="002B54B0">
        <w:rPr>
          <w:rFonts w:ascii="Calibri" w:eastAsia="Calibri" w:hAnsi="Calibri" w:cs="Calibri"/>
        </w:rPr>
        <w:t xml:space="preserve"> souvislosti se </w:t>
      </w:r>
      <w:r w:rsidR="007E7818" w:rsidRPr="007E7818">
        <w:rPr>
          <w:rFonts w:ascii="Calibri" w:eastAsia="Calibri" w:hAnsi="Calibri" w:cs="Calibri"/>
        </w:rPr>
        <w:t>změn</w:t>
      </w:r>
      <w:r w:rsidR="002B54B0">
        <w:rPr>
          <w:rFonts w:ascii="Calibri" w:eastAsia="Calibri" w:hAnsi="Calibri" w:cs="Calibri"/>
        </w:rPr>
        <w:t>ou</w:t>
      </w:r>
      <w:r w:rsidR="007E7818" w:rsidRPr="007E7818">
        <w:rPr>
          <w:rFonts w:ascii="Calibri" w:eastAsia="Calibri" w:hAnsi="Calibri" w:cs="Calibri"/>
        </w:rPr>
        <w:t xml:space="preserve"> evropské legislativy. </w:t>
      </w:r>
    </w:p>
    <w:p w14:paraId="1610FC5C" w14:textId="77777777" w:rsidR="00137068" w:rsidRPr="00137068" w:rsidRDefault="00137068" w:rsidP="00140DDD">
      <w:pPr>
        <w:spacing w:after="0" w:line="240" w:lineRule="auto"/>
        <w:ind w:left="567" w:hanging="283"/>
        <w:jc w:val="both"/>
        <w:rPr>
          <w:rFonts w:ascii="Calibri" w:eastAsia="Calibri" w:hAnsi="Calibri" w:cs="Calibri"/>
        </w:rPr>
      </w:pPr>
    </w:p>
    <w:p w14:paraId="4487EB7E" w14:textId="759260DC" w:rsidR="00401340" w:rsidRDefault="004B538F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</w:t>
      </w:r>
      <w:r w:rsidR="00105093">
        <w:rPr>
          <w:rFonts w:ascii="Calibri" w:eastAsia="Calibri" w:hAnsi="Calibri" w:cs="Calibri"/>
        </w:rPr>
        <w:t>dotace</w:t>
      </w:r>
      <w:r>
        <w:rPr>
          <w:rFonts w:ascii="Calibri" w:eastAsia="Calibri" w:hAnsi="Calibri" w:cs="Calibri"/>
        </w:rPr>
        <w:t xml:space="preserve"> na snížení energetické náročnosti budov z </w:t>
      </w:r>
      <w:r w:rsidR="00401340" w:rsidRPr="00C10EFE">
        <w:rPr>
          <w:rFonts w:ascii="Calibri" w:eastAsia="Calibri" w:hAnsi="Calibri" w:cs="Calibri"/>
        </w:rPr>
        <w:t xml:space="preserve">NPO měly organizační složky státu nízký zájem. Z celkové alokace </w:t>
      </w:r>
      <w:r w:rsidR="00462FE7">
        <w:rPr>
          <w:rFonts w:ascii="Calibri" w:eastAsia="Calibri" w:hAnsi="Calibri" w:cs="Calibri"/>
        </w:rPr>
        <w:t>2,9</w:t>
      </w:r>
      <w:r w:rsidR="00401340" w:rsidRPr="00C10EFE">
        <w:rPr>
          <w:rFonts w:ascii="Calibri" w:eastAsia="Calibri" w:hAnsi="Calibri" w:cs="Calibri"/>
        </w:rPr>
        <w:t xml:space="preserve"> </w:t>
      </w:r>
      <w:r w:rsidR="00105093">
        <w:rPr>
          <w:rFonts w:ascii="Calibri" w:eastAsia="Calibri" w:hAnsi="Calibri" w:cs="Calibri"/>
        </w:rPr>
        <w:t>mld.</w:t>
      </w:r>
      <w:r w:rsidR="00401340" w:rsidRPr="00C10EFE">
        <w:rPr>
          <w:rFonts w:ascii="Calibri" w:eastAsia="Calibri" w:hAnsi="Calibri" w:cs="Calibri"/>
        </w:rPr>
        <w:t xml:space="preserve"> Kč. bylo po třech letech vyčerpáno jen 268</w:t>
      </w:r>
      <w:r w:rsidR="00140DDD">
        <w:rPr>
          <w:rFonts w:ascii="Calibri" w:eastAsia="Calibri" w:hAnsi="Calibri" w:cs="Calibri"/>
        </w:rPr>
        <w:t> </w:t>
      </w:r>
      <w:r w:rsidR="00363608">
        <w:rPr>
          <w:rFonts w:ascii="Calibri" w:eastAsia="Calibri" w:hAnsi="Calibri" w:cs="Calibri"/>
        </w:rPr>
        <w:t>mil.</w:t>
      </w:r>
      <w:r w:rsidR="00140DDD">
        <w:rPr>
          <w:rFonts w:ascii="Calibri" w:eastAsia="Calibri" w:hAnsi="Calibri" w:cs="Calibri"/>
        </w:rPr>
        <w:t> </w:t>
      </w:r>
      <w:r w:rsidR="00363608">
        <w:rPr>
          <w:rFonts w:ascii="Calibri" w:eastAsia="Calibri" w:hAnsi="Calibri" w:cs="Calibri"/>
        </w:rPr>
        <w:t>Kč</w:t>
      </w:r>
      <w:r w:rsidR="00401340" w:rsidRPr="00C10EFE">
        <w:rPr>
          <w:rFonts w:ascii="Calibri" w:eastAsia="Calibri" w:hAnsi="Calibri" w:cs="Calibri"/>
        </w:rPr>
        <w:t xml:space="preserve"> </w:t>
      </w:r>
      <w:r w:rsidR="002F42B8" w:rsidRPr="00243D51">
        <w:rPr>
          <w:rFonts w:ascii="Calibri" w:eastAsia="Calibri" w:hAnsi="Calibri" w:cs="Calibri"/>
        </w:rPr>
        <w:t>(9 %)</w:t>
      </w:r>
      <w:r w:rsidR="00E23AB2">
        <w:rPr>
          <w:rFonts w:ascii="Calibri" w:eastAsia="Calibri" w:hAnsi="Calibri" w:cs="Calibri"/>
        </w:rPr>
        <w:t xml:space="preserve"> a projekty přinesly úsporu jen 19,7 TJ/rok</w:t>
      </w:r>
      <w:r w:rsidR="00401340" w:rsidRPr="00243D51">
        <w:rPr>
          <w:rFonts w:ascii="Calibri" w:eastAsia="Calibri" w:hAnsi="Calibri" w:cs="Calibri"/>
        </w:rPr>
        <w:t>. Důvodem</w:t>
      </w:r>
      <w:r w:rsidR="00401340" w:rsidRPr="00C10EFE">
        <w:rPr>
          <w:rFonts w:ascii="Calibri" w:eastAsia="Calibri" w:hAnsi="Calibri" w:cs="Calibri"/>
        </w:rPr>
        <w:t xml:space="preserve"> je skutečnost, že při nastavení cílů a podmínek podpory MPO dostatečně nezohlednilo krátký čas na realizaci projektů a nedostatek zdrojů v rozpočtech OSS na investice. N</w:t>
      </w:r>
      <w:r>
        <w:rPr>
          <w:rFonts w:ascii="Calibri" w:eastAsia="Calibri" w:hAnsi="Calibri" w:cs="Calibri"/>
        </w:rPr>
        <w:t>ízký zájem</w:t>
      </w:r>
      <w:r w:rsidR="00401340" w:rsidRPr="00C10EFE">
        <w:rPr>
          <w:rFonts w:ascii="Calibri" w:eastAsia="Calibri" w:hAnsi="Calibri" w:cs="Calibri"/>
        </w:rPr>
        <w:t xml:space="preserve"> přetrvával i přesto, že MPO v průběhu poskytování podpory </w:t>
      </w:r>
      <w:r w:rsidR="00324FBE">
        <w:rPr>
          <w:rFonts w:ascii="Calibri" w:eastAsia="Calibri" w:hAnsi="Calibri" w:cs="Calibri"/>
        </w:rPr>
        <w:t xml:space="preserve">nastavilo mírnější podmínky pro poskytnutí dotace </w:t>
      </w:r>
      <w:r w:rsidR="00401340" w:rsidRPr="00C10EFE">
        <w:rPr>
          <w:rFonts w:ascii="Calibri" w:eastAsia="Calibri" w:hAnsi="Calibri" w:cs="Calibri"/>
        </w:rPr>
        <w:t xml:space="preserve">a rozšířilo okruh způsobilých výdajů. S ohledem na nejzazší možný termín realizace projektů do konce roku 2025 </w:t>
      </w:r>
      <w:r w:rsidR="00C84167">
        <w:rPr>
          <w:rFonts w:ascii="Calibri" w:eastAsia="Calibri" w:hAnsi="Calibri" w:cs="Calibri"/>
        </w:rPr>
        <w:t xml:space="preserve">a </w:t>
      </w:r>
      <w:r w:rsidR="00692D80">
        <w:rPr>
          <w:rFonts w:ascii="Calibri" w:eastAsia="Calibri" w:hAnsi="Calibri" w:cs="Calibri"/>
        </w:rPr>
        <w:t xml:space="preserve">termín pro </w:t>
      </w:r>
      <w:r w:rsidR="00C84167">
        <w:rPr>
          <w:rFonts w:ascii="Calibri" w:eastAsia="Calibri" w:hAnsi="Calibri" w:cs="Calibri"/>
        </w:rPr>
        <w:t xml:space="preserve">naplnění cílů do března 2026 </w:t>
      </w:r>
      <w:r w:rsidR="00401340" w:rsidRPr="00C10EFE">
        <w:rPr>
          <w:rFonts w:ascii="Calibri" w:eastAsia="Calibri" w:hAnsi="Calibri" w:cs="Calibri"/>
        </w:rPr>
        <w:t>existuje riziko, že cíl podpory</w:t>
      </w:r>
      <w:r w:rsidR="00A77B54">
        <w:rPr>
          <w:rFonts w:ascii="Calibri" w:eastAsia="Calibri" w:hAnsi="Calibri" w:cs="Calibri"/>
        </w:rPr>
        <w:t xml:space="preserve"> (snížení spotřeby energie budov ve výši 140 TJ/rok)</w:t>
      </w:r>
      <w:r w:rsidR="00401340" w:rsidRPr="00C10EFE">
        <w:rPr>
          <w:rFonts w:ascii="Calibri" w:eastAsia="Calibri" w:hAnsi="Calibri" w:cs="Calibri"/>
        </w:rPr>
        <w:t xml:space="preserve"> nebud</w:t>
      </w:r>
      <w:r w:rsidR="00A77B54">
        <w:rPr>
          <w:rFonts w:ascii="Calibri" w:eastAsia="Calibri" w:hAnsi="Calibri" w:cs="Calibri"/>
        </w:rPr>
        <w:t>e</w:t>
      </w:r>
      <w:r w:rsidR="00401340" w:rsidRPr="00C10EFE">
        <w:rPr>
          <w:rFonts w:ascii="Calibri" w:eastAsia="Calibri" w:hAnsi="Calibri" w:cs="Calibri"/>
        </w:rPr>
        <w:t xml:space="preserve"> naplněn. </w:t>
      </w:r>
    </w:p>
    <w:p w14:paraId="4A171544" w14:textId="77777777" w:rsidR="00137068" w:rsidRPr="00137068" w:rsidRDefault="00137068" w:rsidP="00140DDD">
      <w:pPr>
        <w:spacing w:after="0" w:line="240" w:lineRule="auto"/>
        <w:ind w:left="567" w:hanging="283"/>
        <w:jc w:val="both"/>
        <w:rPr>
          <w:rFonts w:ascii="Calibri" w:eastAsia="Calibri" w:hAnsi="Calibri" w:cs="Calibri"/>
        </w:rPr>
      </w:pPr>
    </w:p>
    <w:p w14:paraId="29221982" w14:textId="3AE9E9F1" w:rsidR="00401340" w:rsidRPr="00C10EFE" w:rsidRDefault="00401340" w:rsidP="00140DDD">
      <w:pPr>
        <w:pStyle w:val="Odstavecseseznamem"/>
        <w:numPr>
          <w:ilvl w:val="0"/>
          <w:numId w:val="24"/>
        </w:numPr>
        <w:tabs>
          <w:tab w:val="clear" w:pos="567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C10EFE">
        <w:rPr>
          <w:rFonts w:ascii="Calibri" w:eastAsia="Calibri" w:hAnsi="Calibri" w:cs="Calibri"/>
        </w:rPr>
        <w:t xml:space="preserve">NKÚ při kontrole 16 vybraných příjemců podpory z </w:t>
      </w:r>
      <w:r w:rsidR="00153853">
        <w:rPr>
          <w:rFonts w:ascii="Calibri" w:eastAsia="Calibri" w:hAnsi="Calibri" w:cs="Calibri"/>
        </w:rPr>
        <w:t>OP PIK</w:t>
      </w:r>
      <w:r w:rsidRPr="00C10EFE">
        <w:rPr>
          <w:rFonts w:ascii="Calibri" w:eastAsia="Calibri" w:hAnsi="Calibri" w:cs="Calibri"/>
        </w:rPr>
        <w:t xml:space="preserve"> u čtyř z nich zjistil skutečnosti nasvědčující porušení rozpočtové kázně v</w:t>
      </w:r>
      <w:r w:rsidR="00D053C8">
        <w:rPr>
          <w:rFonts w:ascii="Calibri" w:eastAsia="Calibri" w:hAnsi="Calibri" w:cs="Calibri"/>
        </w:rPr>
        <w:t xml:space="preserve"> celkové</w:t>
      </w:r>
      <w:r w:rsidRPr="00C10EFE">
        <w:rPr>
          <w:rFonts w:ascii="Calibri" w:eastAsia="Calibri" w:hAnsi="Calibri" w:cs="Calibri"/>
        </w:rPr>
        <w:t xml:space="preserve"> výši 2,7 mil. Kč. </w:t>
      </w:r>
      <w:r w:rsidR="00082099">
        <w:rPr>
          <w:rFonts w:ascii="Calibri" w:eastAsia="Calibri" w:hAnsi="Calibri" w:cs="Calibri"/>
        </w:rPr>
        <w:t>Např. j</w:t>
      </w:r>
      <w:r w:rsidR="00D053C8" w:rsidRPr="001F4A1B">
        <w:rPr>
          <w:rFonts w:ascii="Calibri" w:eastAsia="Calibri" w:hAnsi="Calibri" w:cs="Calibri"/>
        </w:rPr>
        <w:t>eden z příjemců podpory nerealizoval projekt v souladu s rozhodnutím o poskytnutí dotace, nadto doložil žádost o platbu fakturami a zjišťovacími protokoly, které neodpovídaly skutečnosti</w:t>
      </w:r>
      <w:r w:rsidR="00D053C8">
        <w:rPr>
          <w:rFonts w:ascii="Calibri" w:eastAsia="Calibri" w:hAnsi="Calibri" w:cs="Calibri"/>
        </w:rPr>
        <w:t>.</w:t>
      </w:r>
    </w:p>
    <w:p w14:paraId="735A47F9" w14:textId="77777777" w:rsidR="00786A6E" w:rsidRPr="00397707" w:rsidRDefault="00786A6E" w:rsidP="00F47044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DC10DC3" w14:textId="25E81448" w:rsidR="005C6FB4" w:rsidRPr="00401340" w:rsidRDefault="005C6FB4" w:rsidP="00F47044">
      <w:pPr>
        <w:pStyle w:val="Odstavecseseznamem"/>
        <w:numPr>
          <w:ilvl w:val="0"/>
          <w:numId w:val="2"/>
        </w:numPr>
        <w:spacing w:before="480" w:after="0" w:line="240" w:lineRule="auto"/>
        <w:contextualSpacing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01340">
        <w:rPr>
          <w:rFonts w:ascii="Calibri" w:eastAsia="Calibri" w:hAnsi="Calibri" w:cs="Calibri"/>
          <w:b/>
          <w:bCs/>
          <w:sz w:val="28"/>
          <w:szCs w:val="28"/>
        </w:rPr>
        <w:lastRenderedPageBreak/>
        <w:t>Informace o kontrolované oblasti</w:t>
      </w:r>
    </w:p>
    <w:p w14:paraId="1239B2E1" w14:textId="77777777" w:rsidR="005C6FB4" w:rsidRDefault="005C6FB4" w:rsidP="00F4704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A902EB0" w14:textId="0D714293" w:rsidR="005C6FB4" w:rsidRPr="00401340" w:rsidRDefault="005C6FB4" w:rsidP="00F470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>Operační program podnikání a inovace pro konkurenceschopnost</w:t>
      </w:r>
      <w:r w:rsidRPr="00401340">
        <w:rPr>
          <w:rFonts w:ascii="Calibri" w:eastAsia="Calibri" w:hAnsi="Calibri" w:cs="Calibri"/>
        </w:rPr>
        <w:t xml:space="preserve"> 2014–2020 schválila</w:t>
      </w:r>
      <w:r w:rsidR="00DF1F78">
        <w:rPr>
          <w:rFonts w:ascii="Calibri" w:eastAsia="Calibri" w:hAnsi="Calibri" w:cs="Calibri"/>
        </w:rPr>
        <w:t xml:space="preserve"> </w:t>
      </w:r>
      <w:r w:rsidRPr="00401340">
        <w:rPr>
          <w:rFonts w:ascii="Calibri" w:eastAsia="Calibri" w:hAnsi="Calibri" w:cs="Calibri"/>
        </w:rPr>
        <w:t>vláda ČR usnesením ze dne 14. července 2014 č. 581</w:t>
      </w:r>
      <w:r w:rsidRPr="0CAD4326">
        <w:rPr>
          <w:rStyle w:val="Znakapoznpodarou"/>
          <w:rFonts w:ascii="Calibri" w:eastAsia="Calibri" w:hAnsi="Calibri" w:cs="Calibri"/>
        </w:rPr>
        <w:footnoteReference w:id="5"/>
      </w:r>
      <w:r w:rsidRPr="00401340">
        <w:rPr>
          <w:rFonts w:ascii="Calibri" w:eastAsia="Calibri" w:hAnsi="Calibri" w:cs="Calibri"/>
        </w:rPr>
        <w:t xml:space="preserve">. Programový dokument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 byl schválen Evropskou komisí rozhodnutím C(2015) 3039 ze dne 29. dubna 2015. Podpora v oblasti energetické účinnosti a obnovitelných zdrojů energie byla poskytována v rámci prioritní osy 3 </w:t>
      </w:r>
      <w:r w:rsidRPr="00401340">
        <w:rPr>
          <w:rFonts w:ascii="Calibri" w:eastAsia="Calibri" w:hAnsi="Calibri" w:cs="Calibri"/>
          <w:i/>
          <w:iCs/>
        </w:rPr>
        <w:t>Účinné nakládání energií, rozvoj energetické infrastruktury a</w:t>
      </w:r>
      <w:r w:rsidR="00397707">
        <w:rPr>
          <w:rFonts w:ascii="Calibri" w:eastAsia="Calibri" w:hAnsi="Calibri" w:cs="Calibri"/>
          <w:i/>
          <w:iCs/>
        </w:rPr>
        <w:t> </w:t>
      </w:r>
      <w:r w:rsidRPr="00401340">
        <w:rPr>
          <w:rFonts w:ascii="Calibri" w:eastAsia="Calibri" w:hAnsi="Calibri" w:cs="Calibri"/>
          <w:i/>
          <w:iCs/>
        </w:rPr>
        <w:t xml:space="preserve">obnovitelných zdrojů energie, podpora zavádění nových technologií v oblasti nakládání energií a druhotných surovin, </w:t>
      </w:r>
      <w:r w:rsidRPr="00401340">
        <w:rPr>
          <w:rFonts w:ascii="Calibri" w:eastAsia="Calibri" w:hAnsi="Calibri" w:cs="Calibri"/>
        </w:rPr>
        <w:t xml:space="preserve">konkrétně prostřednictvím programů podpory: Obnovitelné zdroje energie, Úspory energie, Nízkouhlíkové technologie a Úspory energie v soustavách zásobování teplem (dále jen „SZT”). Podpora v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 byla poskytována </w:t>
      </w:r>
      <w:r w:rsidR="009910E1">
        <w:rPr>
          <w:rFonts w:ascii="Calibri" w:eastAsia="Calibri" w:hAnsi="Calibri" w:cs="Calibri"/>
        </w:rPr>
        <w:t>malým, středním a velkým podnikům</w:t>
      </w:r>
      <w:r w:rsidR="009910E1" w:rsidRPr="00401340">
        <w:rPr>
          <w:rFonts w:ascii="Calibri" w:eastAsia="Calibri" w:hAnsi="Calibri" w:cs="Calibri"/>
        </w:rPr>
        <w:t xml:space="preserve"> </w:t>
      </w:r>
      <w:r w:rsidRPr="00401340">
        <w:rPr>
          <w:rFonts w:ascii="Calibri" w:eastAsia="Calibri" w:hAnsi="Calibri" w:cs="Calibri"/>
        </w:rPr>
        <w:t>formou dotací i finančních nástrojů.</w:t>
      </w:r>
    </w:p>
    <w:p w14:paraId="185C04AF" w14:textId="77777777" w:rsidR="005C6FB4" w:rsidRDefault="005C6FB4" w:rsidP="00F4704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D2C72E3" w14:textId="1C08817F" w:rsidR="005C6FB4" w:rsidRPr="00DF78E8" w:rsidRDefault="005C6FB4" w:rsidP="00DF78E8">
      <w:pPr>
        <w:spacing w:after="40" w:line="240" w:lineRule="auto"/>
        <w:ind w:left="1418" w:hanging="1418"/>
        <w:jc w:val="both"/>
        <w:rPr>
          <w:rFonts w:ascii="Calibri" w:eastAsia="Calibri" w:hAnsi="Calibri" w:cs="Calibri"/>
          <w:b/>
          <w:bCs/>
        </w:rPr>
      </w:pPr>
      <w:r w:rsidRPr="00DF78E8">
        <w:rPr>
          <w:rFonts w:ascii="Calibri" w:eastAsia="Calibri" w:hAnsi="Calibri" w:cs="Calibri"/>
          <w:b/>
          <w:bCs/>
        </w:rPr>
        <w:t xml:space="preserve">Tabulka č. </w:t>
      </w:r>
      <w:r w:rsidR="00137068" w:rsidRPr="00DF78E8">
        <w:rPr>
          <w:rFonts w:ascii="Calibri" w:eastAsia="Calibri" w:hAnsi="Calibri" w:cs="Calibri"/>
          <w:b/>
          <w:bCs/>
        </w:rPr>
        <w:t>1:</w:t>
      </w:r>
      <w:r w:rsidRPr="00DF78E8">
        <w:rPr>
          <w:rFonts w:ascii="Calibri" w:eastAsia="Calibri" w:hAnsi="Calibri" w:cs="Calibri"/>
          <w:b/>
          <w:bCs/>
        </w:rPr>
        <w:t xml:space="preserve"> </w:t>
      </w:r>
      <w:r w:rsidR="00DF78E8">
        <w:rPr>
          <w:rFonts w:ascii="Calibri" w:eastAsia="Calibri" w:hAnsi="Calibri" w:cs="Calibri"/>
          <w:b/>
          <w:bCs/>
        </w:rPr>
        <w:tab/>
      </w:r>
      <w:r w:rsidRPr="00DF78E8">
        <w:rPr>
          <w:rFonts w:ascii="Calibri" w:eastAsia="Calibri" w:hAnsi="Calibri" w:cs="Calibri"/>
          <w:b/>
          <w:bCs/>
        </w:rPr>
        <w:t xml:space="preserve">Programy podpory a specifické cíle </w:t>
      </w:r>
      <w:r w:rsidR="00153853" w:rsidRPr="00DF78E8">
        <w:rPr>
          <w:rFonts w:ascii="Calibri" w:eastAsia="Calibri" w:hAnsi="Calibri" w:cs="Calibri"/>
          <w:b/>
          <w:bCs/>
        </w:rPr>
        <w:t>OP PIK</w:t>
      </w:r>
      <w:r w:rsidRPr="00DF78E8">
        <w:rPr>
          <w:rFonts w:ascii="Calibri" w:eastAsia="Calibri" w:hAnsi="Calibri" w:cs="Calibri"/>
          <w:b/>
          <w:bCs/>
        </w:rPr>
        <w:t xml:space="preserve"> </w:t>
      </w:r>
      <w:r w:rsidR="00934789" w:rsidRPr="00DF78E8">
        <w:rPr>
          <w:rFonts w:ascii="Calibri" w:eastAsia="Calibri" w:hAnsi="Calibri" w:cs="Calibri"/>
          <w:b/>
          <w:bCs/>
        </w:rPr>
        <w:t>zahrnuté do kontrolní akce NKÚ (stav k 19. květnu 2025)</w:t>
      </w:r>
    </w:p>
    <w:tbl>
      <w:tblPr>
        <w:tblStyle w:val="Mkatabulky"/>
        <w:tblW w:w="906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5"/>
        <w:gridCol w:w="470"/>
        <w:gridCol w:w="2660"/>
        <w:gridCol w:w="2410"/>
        <w:gridCol w:w="1982"/>
      </w:tblGrid>
      <w:tr w:rsidR="0036359F" w:rsidRPr="00855663" w14:paraId="5499EA2B" w14:textId="77777777" w:rsidTr="0036359F">
        <w:trPr>
          <w:trHeight w:val="283"/>
        </w:trPr>
        <w:tc>
          <w:tcPr>
            <w:tcW w:w="1545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4D40229D" w14:textId="5DD6149F" w:rsidR="00DF1F78" w:rsidRPr="00855663" w:rsidRDefault="00DF1F78" w:rsidP="0036359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Program podpory (dotace)</w:t>
            </w:r>
          </w:p>
        </w:tc>
        <w:tc>
          <w:tcPr>
            <w:tcW w:w="3130" w:type="dxa"/>
            <w:gridSpan w:val="2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3E86D91D" w14:textId="77777777" w:rsidR="00DF1F78" w:rsidRPr="00855663" w:rsidRDefault="00DF1F78" w:rsidP="0036359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Specifický cíl (dále také „SC“)</w:t>
            </w:r>
          </w:p>
        </w:tc>
        <w:tc>
          <w:tcPr>
            <w:tcW w:w="2410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5643FF22" w14:textId="30AE143F" w:rsidR="00DF1F78" w:rsidRPr="00855663" w:rsidRDefault="00DF1F78" w:rsidP="0036359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Počet podpořených projektů s rozhodnutím o</w:t>
            </w:r>
            <w:r w:rsidR="0036359F"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poskytnutí dotace (dále také „</w:t>
            </w:r>
            <w:proofErr w:type="spellStart"/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RoPD</w:t>
            </w:r>
            <w:proofErr w:type="spellEnd"/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“)</w:t>
            </w:r>
          </w:p>
        </w:tc>
        <w:tc>
          <w:tcPr>
            <w:tcW w:w="1982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490EB747" w14:textId="214B7687" w:rsidR="00DF1F78" w:rsidRPr="00855663" w:rsidRDefault="00DF1F78" w:rsidP="0036359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Skutečně proplacené prostředky </w:t>
            </w:r>
            <w:r w:rsidR="0036359F"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(v mil. Kč)</w:t>
            </w:r>
          </w:p>
        </w:tc>
      </w:tr>
      <w:tr w:rsidR="0036359F" w:rsidRPr="00855663" w14:paraId="43926AB2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2FB9697C" w14:textId="77777777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Obnovitelné zdroje energie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506B2FA1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3.1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3B0F1AD1" w14:textId="1064B350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Zvýšit podíl výroby energie z</w:t>
            </w:r>
            <w:r w:rsidR="00855663" w:rsidRPr="0085566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855663">
              <w:rPr>
                <w:rFonts w:ascii="Calibri" w:eastAsia="Calibri" w:hAnsi="Calibri" w:cs="Calibri"/>
                <w:sz w:val="18"/>
                <w:szCs w:val="18"/>
              </w:rPr>
              <w:t>obnovitelných zdrojů na hrubé konečné spotřebě ČR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4D8489E9" w14:textId="77777777" w:rsidR="00DF1F78" w:rsidRPr="00855663" w:rsidRDefault="00DF1F78" w:rsidP="0036359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7DC682BC" w14:textId="77777777" w:rsidR="00DF1F78" w:rsidRPr="00855663" w:rsidRDefault="00DF1F78" w:rsidP="0036359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613,7</w:t>
            </w:r>
          </w:p>
        </w:tc>
      </w:tr>
      <w:tr w:rsidR="0036359F" w:rsidRPr="00855663" w14:paraId="3580EC45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63140701" w14:textId="77777777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Úspory energie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2A953159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3892EA11" w14:textId="77777777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Zvýšit energetickou účinnost podnikatelského sektoru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772A53A2" w14:textId="77777777" w:rsidR="00DF1F78" w:rsidRPr="00855663" w:rsidRDefault="00DF1F78" w:rsidP="0036359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3 506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3916A9E8" w14:textId="77777777" w:rsidR="00DF1F78" w:rsidRPr="00855663" w:rsidRDefault="00DF1F78" w:rsidP="002F4753">
            <w:pPr>
              <w:ind w:right="14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13 873</w:t>
            </w:r>
          </w:p>
        </w:tc>
      </w:tr>
      <w:tr w:rsidR="0036359F" w:rsidRPr="00855663" w14:paraId="4A5284C0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0FADA5D1" w14:textId="77777777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Nízkouhlíkové technologie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1FBD8211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3.4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44338B42" w14:textId="7CC0EE5C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Uplatnit inovativní nízkouhlíkové technologie v</w:t>
            </w:r>
            <w:r w:rsidR="0036359F" w:rsidRPr="0085566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855663">
              <w:rPr>
                <w:rFonts w:ascii="Calibri" w:eastAsia="Calibri" w:hAnsi="Calibri" w:cs="Calibri"/>
                <w:sz w:val="18"/>
                <w:szCs w:val="18"/>
              </w:rPr>
              <w:t>oblasti nakládání energií a</w:t>
            </w:r>
            <w:r w:rsidR="0036359F" w:rsidRPr="0085566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855663">
              <w:rPr>
                <w:rFonts w:ascii="Calibri" w:eastAsia="Calibri" w:hAnsi="Calibri" w:cs="Calibri"/>
                <w:sz w:val="18"/>
                <w:szCs w:val="18"/>
              </w:rPr>
              <w:t>při využívání druhotných surovin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08724EF4" w14:textId="77777777" w:rsidR="00DF1F78" w:rsidRPr="00855663" w:rsidRDefault="00DF1F78" w:rsidP="0036359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234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01EBB384" w14:textId="77777777" w:rsidR="00DF1F78" w:rsidRPr="00855663" w:rsidRDefault="00DF1F78" w:rsidP="002F4753">
            <w:pPr>
              <w:ind w:right="14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567</w:t>
            </w:r>
          </w:p>
        </w:tc>
      </w:tr>
      <w:tr w:rsidR="0036359F" w:rsidRPr="00855663" w14:paraId="0E9D8D7F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5ABBA3A0" w14:textId="4AAE302C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Úspory energie v</w:t>
            </w:r>
            <w:r w:rsidR="00855663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855663">
              <w:rPr>
                <w:rFonts w:ascii="Calibri" w:eastAsia="Calibri" w:hAnsi="Calibri" w:cs="Calibri"/>
                <w:sz w:val="18"/>
                <w:szCs w:val="18"/>
              </w:rPr>
              <w:t>SZT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5209E655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3.5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60D61D86" w14:textId="77777777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Zvýšit účinnost soustav zásobování teplem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113784EF" w14:textId="68411790" w:rsidR="00DF1F78" w:rsidRPr="00855663" w:rsidRDefault="00DF1F78" w:rsidP="0036359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2E159FBB" w14:textId="1FC93714" w:rsidR="00DF1F78" w:rsidRPr="00855663" w:rsidRDefault="00DF1F78" w:rsidP="002F4753">
            <w:pPr>
              <w:ind w:right="14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2 762</w:t>
            </w:r>
          </w:p>
        </w:tc>
      </w:tr>
      <w:tr w:rsidR="0036359F" w:rsidRPr="00855663" w14:paraId="1BA35B5D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21E41EF5" w14:textId="57741DB3" w:rsidR="00DF1F78" w:rsidRPr="00855663" w:rsidRDefault="00855663" w:rsidP="0036359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 w:rsidR="00DF1F78" w:rsidRPr="0085566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elkem dotace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3CEA6F82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08C49CAE" w14:textId="77777777" w:rsidR="00DF1F78" w:rsidRPr="00855663" w:rsidRDefault="00DF1F78" w:rsidP="0036359F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79BB7981" w14:textId="2ECF9E5B" w:rsidR="00DF1F78" w:rsidRPr="00855663" w:rsidRDefault="00DF1F78" w:rsidP="0036359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hAnsi="Calibri" w:cs="Calibri"/>
                <w:b/>
                <w:bCs/>
                <w:sz w:val="18"/>
                <w:szCs w:val="18"/>
              </w:rPr>
              <w:t>3 968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02052D31" w14:textId="79D71E55" w:rsidR="00DF1F78" w:rsidRPr="00855663" w:rsidRDefault="00DF1F78" w:rsidP="0036359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hAnsi="Calibri" w:cs="Calibri"/>
                <w:b/>
                <w:bCs/>
                <w:sz w:val="18"/>
                <w:szCs w:val="18"/>
              </w:rPr>
              <w:t>17 815,7</w:t>
            </w:r>
          </w:p>
        </w:tc>
      </w:tr>
      <w:tr w:rsidR="0036359F" w:rsidRPr="00855663" w14:paraId="10CDB193" w14:textId="77777777" w:rsidTr="0036359F">
        <w:trPr>
          <w:trHeight w:val="283"/>
        </w:trPr>
        <w:tc>
          <w:tcPr>
            <w:tcW w:w="1545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7D6FF6CA" w14:textId="4273A0BB" w:rsidR="00DF1F78" w:rsidRPr="00855663" w:rsidRDefault="00DF1F78" w:rsidP="0036359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Program podpory (finanční nástroj)</w:t>
            </w:r>
          </w:p>
        </w:tc>
        <w:tc>
          <w:tcPr>
            <w:tcW w:w="3130" w:type="dxa"/>
            <w:gridSpan w:val="2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253F829B" w14:textId="1EB2995B" w:rsidR="00DF1F78" w:rsidRPr="00855663" w:rsidRDefault="00DF1F78" w:rsidP="0036359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SC</w:t>
            </w:r>
          </w:p>
        </w:tc>
        <w:tc>
          <w:tcPr>
            <w:tcW w:w="2410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10824203" w14:textId="7AE980A8" w:rsidR="00DF1F78" w:rsidRPr="00855663" w:rsidRDefault="00DF1F78" w:rsidP="003635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Počet projektů podpořených finančním nástrojem</w:t>
            </w:r>
          </w:p>
        </w:tc>
        <w:tc>
          <w:tcPr>
            <w:tcW w:w="1982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43A0F46C" w14:textId="641782E4" w:rsidR="00DF1F78" w:rsidRPr="00855663" w:rsidRDefault="00DF1F78" w:rsidP="0036359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Výše proplacených peněžních prostředků (čerpání úvěrů)</w:t>
            </w:r>
          </w:p>
        </w:tc>
      </w:tr>
      <w:tr w:rsidR="0036359F" w:rsidRPr="00855663" w14:paraId="15911BAD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6C54BC7D" w14:textId="7443C97B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Úspory energie</w:t>
            </w:r>
            <w:r w:rsidR="00DF78E8" w:rsidRPr="00855663">
              <w:rPr>
                <w:rFonts w:ascii="Calibri" w:eastAsia="Calibri" w:hAnsi="Calibri" w:cs="Calibri"/>
                <w:sz w:val="18"/>
                <w:szCs w:val="18"/>
              </w:rPr>
              <w:t xml:space="preserve"> – </w:t>
            </w:r>
            <w:r w:rsidRPr="00855663">
              <w:rPr>
                <w:rFonts w:ascii="Calibri" w:eastAsia="Calibri" w:hAnsi="Calibri" w:cs="Calibri"/>
                <w:sz w:val="18"/>
                <w:szCs w:val="18"/>
              </w:rPr>
              <w:t>úvěry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0D1FBF71" w14:textId="7CE953EA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3.2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1600168A" w14:textId="1E453E22" w:rsidR="00DF1F78" w:rsidRPr="00855663" w:rsidRDefault="00DF1F78" w:rsidP="003635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sz w:val="18"/>
                <w:szCs w:val="18"/>
              </w:rPr>
              <w:t>Zvýšit energetickou účinnost podnikatelského sektoru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1C6D605C" w14:textId="616D5738" w:rsidR="00DF1F78" w:rsidRPr="00855663" w:rsidRDefault="00DF1F78" w:rsidP="0036359F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191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176EED45" w14:textId="3F0D1875" w:rsidR="00DF1F78" w:rsidRPr="00855663" w:rsidRDefault="00DF1F78" w:rsidP="002F4753">
            <w:pPr>
              <w:ind w:right="142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55663">
              <w:rPr>
                <w:rFonts w:ascii="Calibri" w:hAnsi="Calibri" w:cs="Calibri"/>
                <w:sz w:val="18"/>
                <w:szCs w:val="18"/>
              </w:rPr>
              <w:t>689</w:t>
            </w:r>
          </w:p>
        </w:tc>
      </w:tr>
      <w:tr w:rsidR="0036359F" w:rsidRPr="00855663" w14:paraId="06D9184D" w14:textId="77777777" w:rsidTr="0036359F">
        <w:trPr>
          <w:trHeight w:val="283"/>
        </w:trPr>
        <w:tc>
          <w:tcPr>
            <w:tcW w:w="1545" w:type="dxa"/>
            <w:tcMar>
              <w:left w:w="108" w:type="dxa"/>
              <w:right w:w="108" w:type="dxa"/>
            </w:tcMar>
            <w:vAlign w:val="center"/>
          </w:tcPr>
          <w:p w14:paraId="4D49FC54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470" w:type="dxa"/>
            <w:tcMar>
              <w:left w:w="108" w:type="dxa"/>
              <w:right w:w="108" w:type="dxa"/>
            </w:tcMar>
            <w:vAlign w:val="center"/>
          </w:tcPr>
          <w:p w14:paraId="0EF51FE3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60" w:type="dxa"/>
            <w:tcMar>
              <w:left w:w="108" w:type="dxa"/>
              <w:right w:w="108" w:type="dxa"/>
            </w:tcMar>
            <w:vAlign w:val="center"/>
          </w:tcPr>
          <w:p w14:paraId="6CD4EF8D" w14:textId="77777777" w:rsidR="00DF1F78" w:rsidRPr="00855663" w:rsidRDefault="00DF1F78" w:rsidP="0036359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3FF6D4E1" w14:textId="77777777" w:rsidR="00DF1F78" w:rsidRPr="00855663" w:rsidRDefault="00DF1F78" w:rsidP="0036359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hAnsi="Calibri" w:cs="Calibri"/>
                <w:b/>
                <w:bCs/>
                <w:sz w:val="18"/>
                <w:szCs w:val="18"/>
              </w:rPr>
              <w:t>4 159</w:t>
            </w:r>
          </w:p>
        </w:tc>
        <w:tc>
          <w:tcPr>
            <w:tcW w:w="1982" w:type="dxa"/>
            <w:tcMar>
              <w:left w:w="108" w:type="dxa"/>
              <w:right w:w="108" w:type="dxa"/>
            </w:tcMar>
            <w:vAlign w:val="center"/>
          </w:tcPr>
          <w:p w14:paraId="05BB8B3B" w14:textId="3888207F" w:rsidR="00DF1F78" w:rsidRPr="00855663" w:rsidRDefault="00DF1F78" w:rsidP="0036359F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55663">
              <w:rPr>
                <w:rFonts w:ascii="Calibri" w:hAnsi="Calibri" w:cs="Calibri"/>
                <w:b/>
                <w:bCs/>
                <w:sz w:val="18"/>
                <w:szCs w:val="18"/>
              </w:rPr>
              <w:t>18 504,7</w:t>
            </w:r>
          </w:p>
        </w:tc>
      </w:tr>
    </w:tbl>
    <w:p w14:paraId="5185E87C" w14:textId="4464B326" w:rsidR="005C6FB4" w:rsidRDefault="005C6FB4" w:rsidP="00F47044">
      <w:pPr>
        <w:spacing w:before="40"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F47044">
        <w:rPr>
          <w:rFonts w:ascii="Calibri" w:eastAsia="Calibri" w:hAnsi="Calibri" w:cs="Calibri"/>
          <w:b/>
          <w:bCs/>
          <w:sz w:val="20"/>
          <w:szCs w:val="20"/>
        </w:rPr>
        <w:t>Zdroj:</w:t>
      </w:r>
      <w:r w:rsidRPr="0CAD4326">
        <w:rPr>
          <w:rFonts w:ascii="Calibri" w:eastAsia="Calibri" w:hAnsi="Calibri" w:cs="Calibri"/>
          <w:sz w:val="20"/>
          <w:szCs w:val="20"/>
        </w:rPr>
        <w:t xml:space="preserve"> texty jednotlivých výzev programů podpory, programový dokument </w:t>
      </w:r>
      <w:r w:rsidR="00153853">
        <w:rPr>
          <w:rFonts w:ascii="Calibri" w:eastAsia="Calibri" w:hAnsi="Calibri" w:cs="Calibri"/>
          <w:sz w:val="20"/>
          <w:szCs w:val="20"/>
        </w:rPr>
        <w:t>OP PIK</w:t>
      </w:r>
      <w:r w:rsidRPr="0CAD4326">
        <w:rPr>
          <w:rFonts w:ascii="Calibri" w:eastAsia="Calibri" w:hAnsi="Calibri" w:cs="Calibri"/>
          <w:sz w:val="20"/>
          <w:szCs w:val="20"/>
        </w:rPr>
        <w:t>, MS 2014+</w:t>
      </w:r>
      <w:r w:rsidR="00855663">
        <w:rPr>
          <w:rFonts w:ascii="Calibri" w:eastAsia="Calibri" w:hAnsi="Calibri" w:cs="Calibri"/>
          <w:sz w:val="20"/>
          <w:szCs w:val="20"/>
        </w:rPr>
        <w:t>.</w:t>
      </w:r>
    </w:p>
    <w:p w14:paraId="1934C4D3" w14:textId="0EF30775" w:rsidR="005C6FB4" w:rsidRDefault="005C6FB4" w:rsidP="00F47044">
      <w:pPr>
        <w:spacing w:after="0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7781EE49">
        <w:rPr>
          <w:rFonts w:ascii="Calibri" w:eastAsia="Calibri" w:hAnsi="Calibri" w:cs="Calibri"/>
          <w:sz w:val="20"/>
          <w:szCs w:val="20"/>
        </w:rPr>
        <w:t xml:space="preserve">* </w:t>
      </w:r>
      <w:r w:rsidR="00F47044">
        <w:rPr>
          <w:rFonts w:ascii="Calibri" w:eastAsia="Calibri" w:hAnsi="Calibri" w:cs="Calibri"/>
          <w:sz w:val="20"/>
          <w:szCs w:val="20"/>
        </w:rPr>
        <w:tab/>
      </w:r>
      <w:r w:rsidR="00F21DC3" w:rsidRPr="001F4A1B">
        <w:rPr>
          <w:rFonts w:ascii="Calibri" w:eastAsia="Calibri" w:hAnsi="Calibri" w:cs="Calibri"/>
          <w:sz w:val="20"/>
          <w:szCs w:val="20"/>
        </w:rPr>
        <w:t>NKÚ u finančního nástroje podrobil kontrole pouze související činnost MPO, kterou je schvalování výze</w:t>
      </w:r>
      <w:r w:rsidR="00F21DC3">
        <w:rPr>
          <w:rFonts w:ascii="Calibri" w:eastAsia="Calibri" w:hAnsi="Calibri" w:cs="Calibri"/>
          <w:sz w:val="20"/>
          <w:szCs w:val="20"/>
        </w:rPr>
        <w:t>v a</w:t>
      </w:r>
      <w:r w:rsidR="00F47044">
        <w:rPr>
          <w:rFonts w:ascii="Calibri" w:eastAsia="Calibri" w:hAnsi="Calibri" w:cs="Calibri"/>
          <w:sz w:val="20"/>
          <w:szCs w:val="20"/>
        </w:rPr>
        <w:t> </w:t>
      </w:r>
      <w:r w:rsidR="00F21DC3">
        <w:rPr>
          <w:rFonts w:ascii="Calibri" w:eastAsia="Calibri" w:hAnsi="Calibri" w:cs="Calibri"/>
          <w:sz w:val="20"/>
          <w:szCs w:val="20"/>
        </w:rPr>
        <w:t>smluvní ujednání mezi MPO a NPO.</w:t>
      </w:r>
    </w:p>
    <w:p w14:paraId="186F9C16" w14:textId="77777777" w:rsidR="005C6FB4" w:rsidRDefault="005C6FB4" w:rsidP="00F47044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0CC3ABC5" w14:textId="224C1CF4" w:rsidR="005C6FB4" w:rsidRPr="00401340" w:rsidRDefault="005C6FB4" w:rsidP="00F470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 xml:space="preserve">Program podpory </w:t>
      </w:r>
      <w:r w:rsidRPr="00A15456">
        <w:rPr>
          <w:rFonts w:ascii="Calibri" w:eastAsia="Calibri" w:hAnsi="Calibri" w:cs="Calibri"/>
          <w:b/>
          <w:bCs/>
          <w:i/>
          <w:iCs/>
        </w:rPr>
        <w:t>Obnovitelné zdroje energie</w:t>
      </w:r>
      <w:r w:rsidRPr="00401340">
        <w:rPr>
          <w:rFonts w:ascii="Calibri" w:eastAsia="Calibri" w:hAnsi="Calibri" w:cs="Calibri"/>
          <w:b/>
          <w:bCs/>
        </w:rPr>
        <w:t xml:space="preserve"> </w:t>
      </w:r>
      <w:r w:rsidRPr="00401340">
        <w:rPr>
          <w:rFonts w:ascii="Calibri" w:eastAsia="Calibri" w:hAnsi="Calibri" w:cs="Calibri"/>
        </w:rPr>
        <w:t xml:space="preserve">realizoval specifický cíl 3.1. </w:t>
      </w:r>
      <w:r w:rsidR="006C4FDB">
        <w:rPr>
          <w:rFonts w:ascii="Calibri" w:eastAsia="Calibri" w:hAnsi="Calibri" w:cs="Calibri"/>
        </w:rPr>
        <w:t>Cílem programu</w:t>
      </w:r>
      <w:r w:rsidRPr="00401340">
        <w:rPr>
          <w:rFonts w:ascii="Calibri" w:eastAsia="Calibri" w:hAnsi="Calibri" w:cs="Calibri"/>
        </w:rPr>
        <w:t xml:space="preserve"> byla podpora výroby a distribuce energie pocházející z obnovitelných zdrojů. Alokaci programu podpory, která původně činila 53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519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176</w:t>
      </w:r>
      <w:r w:rsidR="00855663">
        <w:rPr>
          <w:rFonts w:ascii="Calibri" w:eastAsia="Calibri" w:hAnsi="Calibri" w:cs="Calibri"/>
        </w:rPr>
        <w:t> €</w:t>
      </w:r>
      <w:r w:rsidRPr="00401340">
        <w:rPr>
          <w:rFonts w:ascii="Calibri" w:eastAsia="Calibri" w:hAnsi="Calibri" w:cs="Calibri"/>
        </w:rPr>
        <w:t xml:space="preserve"> (1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468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298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593,</w:t>
      </w:r>
      <w:r w:rsidR="006C4FDB">
        <w:rPr>
          <w:rFonts w:ascii="Calibri" w:eastAsia="Calibri" w:hAnsi="Calibri" w:cs="Calibri"/>
        </w:rPr>
        <w:t>5</w:t>
      </w:r>
      <w:r w:rsidRPr="00401340">
        <w:rPr>
          <w:rFonts w:ascii="Calibri" w:eastAsia="Calibri" w:hAnsi="Calibri" w:cs="Calibri"/>
        </w:rPr>
        <w:t>6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6"/>
      </w:r>
      <w:r w:rsidRPr="00401340">
        <w:rPr>
          <w:rFonts w:ascii="Calibri" w:eastAsia="Calibri" w:hAnsi="Calibri" w:cs="Calibri"/>
        </w:rPr>
        <w:t>, MPO dne 3. září 2020 snížilo na 34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289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176</w:t>
      </w:r>
      <w:r w:rsidR="00855663">
        <w:rPr>
          <w:rFonts w:ascii="Calibri" w:eastAsia="Calibri" w:hAnsi="Calibri" w:cs="Calibri"/>
        </w:rPr>
        <w:t> €</w:t>
      </w:r>
      <w:r w:rsidRPr="00401340">
        <w:rPr>
          <w:rFonts w:ascii="Calibri" w:eastAsia="Calibri" w:hAnsi="Calibri" w:cs="Calibri"/>
        </w:rPr>
        <w:t xml:space="preserve"> (904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205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571,12</w:t>
      </w:r>
      <w:r w:rsidR="00855663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7"/>
      </w:r>
      <w:r w:rsidRPr="00401340">
        <w:rPr>
          <w:rFonts w:ascii="Calibri" w:eastAsia="Calibri" w:hAnsi="Calibri" w:cs="Calibri"/>
        </w:rPr>
        <w:t xml:space="preserve"> z důvodu přesunu nevyužitých peněžních prostředků na opatření spojen</w:t>
      </w:r>
      <w:r w:rsidR="006C4FDB">
        <w:rPr>
          <w:rFonts w:ascii="Calibri" w:eastAsia="Calibri" w:hAnsi="Calibri" w:cs="Calibri"/>
        </w:rPr>
        <w:t>á</w:t>
      </w:r>
      <w:r w:rsidRPr="00401340">
        <w:rPr>
          <w:rFonts w:ascii="Calibri" w:eastAsia="Calibri" w:hAnsi="Calibri" w:cs="Calibri"/>
        </w:rPr>
        <w:t xml:space="preserve"> s reakcí na pandemii </w:t>
      </w:r>
      <w:r w:rsidR="00855663">
        <w:rPr>
          <w:rFonts w:ascii="Calibri" w:eastAsia="Calibri" w:hAnsi="Calibri" w:cs="Calibri"/>
        </w:rPr>
        <w:t>c</w:t>
      </w:r>
      <w:r w:rsidRPr="00401340">
        <w:rPr>
          <w:rFonts w:ascii="Calibri" w:eastAsia="Calibri" w:hAnsi="Calibri" w:cs="Calibri"/>
        </w:rPr>
        <w:t>ovid</w:t>
      </w:r>
      <w:r w:rsidR="00855663">
        <w:rPr>
          <w:rFonts w:ascii="Calibri" w:eastAsia="Calibri" w:hAnsi="Calibri" w:cs="Calibri"/>
        </w:rPr>
        <w:t>u</w:t>
      </w:r>
      <w:r w:rsidRPr="00401340">
        <w:rPr>
          <w:rFonts w:ascii="Calibri" w:eastAsia="Calibri" w:hAnsi="Calibri" w:cs="Calibri"/>
        </w:rPr>
        <w:t>-19.</w:t>
      </w:r>
    </w:p>
    <w:p w14:paraId="49A16BBF" w14:textId="77777777" w:rsidR="005C6FB4" w:rsidRDefault="005C6FB4" w:rsidP="00F47044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0AF6DA8" w14:textId="5D36695D" w:rsidR="005C6FB4" w:rsidRPr="00401340" w:rsidRDefault="005C6FB4" w:rsidP="00F470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lastRenderedPageBreak/>
        <w:t xml:space="preserve">Program podpory </w:t>
      </w:r>
      <w:r w:rsidRPr="00A15456">
        <w:rPr>
          <w:rFonts w:ascii="Calibri" w:eastAsia="Calibri" w:hAnsi="Calibri" w:cs="Calibri"/>
          <w:b/>
          <w:bCs/>
          <w:i/>
          <w:iCs/>
        </w:rPr>
        <w:t>Úspory energie</w:t>
      </w:r>
      <w:r w:rsidRPr="00401340">
        <w:rPr>
          <w:rFonts w:ascii="Calibri" w:eastAsia="Calibri" w:hAnsi="Calibri" w:cs="Calibri"/>
        </w:rPr>
        <w:t xml:space="preserve"> realizoval specifický cíl 3.2. Cílem programu byla podpora snížení energetické náročnosti podnikatelského sektoru. Podpora v oblasti úspor energií byla realizována formou dotace i formou úvěru, přičemž obě formy podpory byly zaměřené na shodné typy opatření. Od roku 2018 docházelo ke snižování alokace:</w:t>
      </w:r>
    </w:p>
    <w:p w14:paraId="750E95C1" w14:textId="5E41A59B" w:rsidR="005C6FB4" w:rsidRDefault="005C6FB4" w:rsidP="00F4704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2D5E8ABA"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</w:rPr>
        <w:t xml:space="preserve"> 29. listopadu 2018 MPO snížilo původní alokaci programu podpory z</w:t>
      </w:r>
      <w:r w:rsidR="00855663">
        <w:rPr>
          <w:rFonts w:ascii="Calibri" w:eastAsia="Calibri" w:hAnsi="Calibri" w:cs="Calibri"/>
        </w:rPr>
        <w:t> </w:t>
      </w:r>
      <w:r>
        <w:rPr>
          <w:rFonts w:ascii="Calibri" w:eastAsia="Calibri" w:hAnsi="Calibri"/>
          <w:szCs w:val="22"/>
        </w:rPr>
        <w:t>746 247</w:t>
      </w:r>
      <w:r w:rsidR="00855663">
        <w:rPr>
          <w:rFonts w:ascii="Calibri" w:eastAsia="Calibri" w:hAnsi="Calibri"/>
          <w:szCs w:val="22"/>
        </w:rPr>
        <w:t> </w:t>
      </w:r>
      <w:r>
        <w:rPr>
          <w:rFonts w:ascii="Calibri" w:eastAsia="Calibri" w:hAnsi="Calibri"/>
          <w:szCs w:val="22"/>
        </w:rPr>
        <w:t>226</w:t>
      </w:r>
      <w:r w:rsidR="00855663">
        <w:rPr>
          <w:rFonts w:ascii="Calibri" w:eastAsia="Calibri" w:hAnsi="Calibri"/>
          <w:szCs w:val="22"/>
        </w:rPr>
        <w:t> </w:t>
      </w:r>
      <w:r w:rsidR="005A19C7">
        <w:rPr>
          <w:rFonts w:ascii="Calibri" w:eastAsia="Calibri" w:hAnsi="Calibri"/>
          <w:szCs w:val="22"/>
        </w:rPr>
        <w:t>€</w:t>
      </w:r>
      <w:r>
        <w:rPr>
          <w:rFonts w:ascii="Calibri" w:eastAsia="Calibri" w:hAnsi="Calibri"/>
          <w:szCs w:val="22"/>
        </w:rPr>
        <w:t xml:space="preserve"> (20 473 292 645,31</w:t>
      </w:r>
      <w:r w:rsidR="005A19C7">
        <w:rPr>
          <w:rFonts w:ascii="Calibri" w:eastAsia="Calibri" w:hAnsi="Calibri"/>
          <w:szCs w:val="22"/>
        </w:rPr>
        <w:t> </w:t>
      </w:r>
      <w:r>
        <w:rPr>
          <w:rFonts w:ascii="Calibri" w:eastAsia="Calibri" w:hAnsi="Calibri"/>
          <w:szCs w:val="22"/>
        </w:rPr>
        <w:t>Kč</w:t>
      </w:r>
      <w:r>
        <w:rPr>
          <w:rStyle w:val="Znakapoznpodarou"/>
          <w:rFonts w:ascii="Calibri" w:eastAsia="Calibri" w:hAnsi="Calibri"/>
          <w:szCs w:val="22"/>
        </w:rPr>
        <w:footnoteReference w:id="8"/>
      </w:r>
      <w:r>
        <w:rPr>
          <w:rFonts w:ascii="Calibri" w:eastAsia="Calibri" w:hAnsi="Calibri"/>
          <w:szCs w:val="22"/>
        </w:rPr>
        <w:t>)</w:t>
      </w:r>
      <w:r>
        <w:rPr>
          <w:rFonts w:ascii="Calibri" w:eastAsia="Calibri" w:hAnsi="Calibri" w:cs="Calibri"/>
        </w:rPr>
        <w:t xml:space="preserve"> </w:t>
      </w:r>
      <w:r w:rsidRPr="00545729">
        <w:rPr>
          <w:rFonts w:ascii="Calibri" w:eastAsia="Calibri" w:hAnsi="Calibri" w:cs="Calibri"/>
        </w:rPr>
        <w:t>na 668</w:t>
      </w:r>
      <w:r w:rsidR="005A19C7">
        <w:rPr>
          <w:rFonts w:ascii="Calibri" w:eastAsia="Calibri" w:hAnsi="Calibri" w:cs="Calibri"/>
        </w:rPr>
        <w:t> </w:t>
      </w:r>
      <w:r w:rsidRPr="00545729">
        <w:rPr>
          <w:rFonts w:ascii="Calibri" w:eastAsia="Calibri" w:hAnsi="Calibri" w:cs="Calibri"/>
        </w:rPr>
        <w:t>832</w:t>
      </w:r>
      <w:r w:rsidR="005A19C7">
        <w:rPr>
          <w:rFonts w:ascii="Calibri" w:eastAsia="Calibri" w:hAnsi="Calibri" w:cs="Calibri"/>
        </w:rPr>
        <w:t> </w:t>
      </w:r>
      <w:r w:rsidRPr="00545729">
        <w:rPr>
          <w:rFonts w:ascii="Calibri" w:eastAsia="Calibri" w:hAnsi="Calibri" w:cs="Calibri"/>
        </w:rPr>
        <w:t>866</w:t>
      </w:r>
      <w:r w:rsidR="005A19C7">
        <w:rPr>
          <w:rFonts w:ascii="Calibri" w:eastAsia="Calibri" w:hAnsi="Calibri" w:cs="Calibri"/>
        </w:rPr>
        <w:t> €</w:t>
      </w:r>
      <w:r w:rsidRPr="00545729">
        <w:rPr>
          <w:rFonts w:ascii="Calibri" w:eastAsia="Calibri" w:hAnsi="Calibri" w:cs="Calibri"/>
        </w:rPr>
        <w:t xml:space="preserve"> (17</w:t>
      </w:r>
      <w:r w:rsidR="00855663">
        <w:rPr>
          <w:rFonts w:ascii="Calibri" w:eastAsia="Calibri" w:hAnsi="Calibri" w:cs="Calibri"/>
        </w:rPr>
        <w:t> </w:t>
      </w:r>
      <w:r w:rsidRPr="00545729">
        <w:rPr>
          <w:rFonts w:ascii="Calibri" w:eastAsia="Calibri" w:hAnsi="Calibri" w:cs="Calibri"/>
        </w:rPr>
        <w:t>366</w:t>
      </w:r>
      <w:r w:rsidR="00855663">
        <w:rPr>
          <w:rFonts w:ascii="Calibri" w:eastAsia="Calibri" w:hAnsi="Calibri" w:cs="Calibri"/>
        </w:rPr>
        <w:t> </w:t>
      </w:r>
      <w:r w:rsidRPr="00545729">
        <w:rPr>
          <w:rFonts w:ascii="Calibri" w:eastAsia="Calibri" w:hAnsi="Calibri" w:cs="Calibri"/>
        </w:rPr>
        <w:t>245</w:t>
      </w:r>
      <w:r w:rsidR="00855663">
        <w:rPr>
          <w:rFonts w:ascii="Calibri" w:eastAsia="Calibri" w:hAnsi="Calibri" w:cs="Calibri"/>
        </w:rPr>
        <w:t> </w:t>
      </w:r>
      <w:r w:rsidRPr="00545729">
        <w:rPr>
          <w:rFonts w:ascii="Calibri" w:eastAsia="Calibri" w:hAnsi="Calibri" w:cs="Calibri"/>
        </w:rPr>
        <w:t>365,69</w:t>
      </w:r>
      <w:r w:rsidR="00855663">
        <w:rPr>
          <w:rFonts w:ascii="Calibri" w:eastAsia="Calibri" w:hAnsi="Calibri" w:cs="Calibri"/>
        </w:rPr>
        <w:t> </w:t>
      </w:r>
      <w:r w:rsidRPr="00545729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9"/>
      </w:r>
      <w:r w:rsidRPr="00545729">
        <w:rPr>
          <w:rFonts w:ascii="Calibri" w:eastAsia="Calibri" w:hAnsi="Calibri" w:cs="Calibri"/>
        </w:rPr>
        <w:t xml:space="preserve"> z důvodu nedostatečné absorpční kapacity</w:t>
      </w:r>
      <w:r>
        <w:rPr>
          <w:rFonts w:ascii="Calibri" w:eastAsia="Calibri" w:hAnsi="Calibri" w:cs="Calibri"/>
        </w:rPr>
        <w:t>.</w:t>
      </w:r>
    </w:p>
    <w:p w14:paraId="4B93F124" w14:textId="6A63BC38" w:rsidR="005C6FB4" w:rsidRDefault="005C6FB4" w:rsidP="00F4704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F1EC5">
        <w:rPr>
          <w:rFonts w:ascii="Calibri" w:eastAsia="Calibri" w:hAnsi="Calibri" w:cs="Calibri"/>
        </w:rPr>
        <w:t>Dne 3. září 2020 MPO dále provedlo snížení alokace na 649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602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866</w:t>
      </w:r>
      <w:r w:rsidR="005A19C7">
        <w:rPr>
          <w:rFonts w:ascii="Calibri" w:eastAsia="Calibri" w:hAnsi="Calibri" w:cs="Calibri"/>
        </w:rPr>
        <w:t> €</w:t>
      </w:r>
      <w:r w:rsidRPr="007F1EC5">
        <w:rPr>
          <w:rFonts w:ascii="Calibri" w:eastAsia="Calibri" w:hAnsi="Calibri" w:cs="Calibri"/>
        </w:rPr>
        <w:t xml:space="preserve"> (17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130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027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576,42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10"/>
      </w:r>
      <w:r w:rsidRPr="007F1EC5">
        <w:rPr>
          <w:rFonts w:ascii="Calibri" w:eastAsia="Calibri" w:hAnsi="Calibri" w:cs="Calibri"/>
        </w:rPr>
        <w:t xml:space="preserve"> z důvodu malého zájmu o využití finančního nástroje a</w:t>
      </w:r>
      <w:r w:rsidR="005A19C7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 xml:space="preserve">z důvodu přesunu nevyužitých peněžních prostředků na opatření spojených s reakcí na pandemii </w:t>
      </w:r>
      <w:r w:rsidR="005A19C7">
        <w:rPr>
          <w:rFonts w:ascii="Calibri" w:eastAsia="Calibri" w:hAnsi="Calibri" w:cs="Calibri"/>
        </w:rPr>
        <w:t>c</w:t>
      </w:r>
      <w:r w:rsidRPr="007F1EC5">
        <w:rPr>
          <w:rFonts w:ascii="Calibri" w:eastAsia="Calibri" w:hAnsi="Calibri" w:cs="Calibri"/>
        </w:rPr>
        <w:t>ovid</w:t>
      </w:r>
      <w:r w:rsidR="005A19C7">
        <w:rPr>
          <w:rFonts w:ascii="Calibri" w:eastAsia="Calibri" w:hAnsi="Calibri" w:cs="Calibri"/>
        </w:rPr>
        <w:t>u</w:t>
      </w:r>
      <w:r w:rsidRPr="007F1EC5">
        <w:rPr>
          <w:rFonts w:ascii="Calibri" w:eastAsia="Calibri" w:hAnsi="Calibri" w:cs="Calibri"/>
        </w:rPr>
        <w:t>-19.</w:t>
      </w:r>
    </w:p>
    <w:p w14:paraId="45C59AA1" w14:textId="08984D8D" w:rsidR="00401340" w:rsidRDefault="005C6FB4" w:rsidP="00F4704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F1EC5">
        <w:rPr>
          <w:rFonts w:ascii="Calibri" w:eastAsia="Calibri" w:hAnsi="Calibri"/>
          <w:szCs w:val="22"/>
        </w:rPr>
        <w:t>Ke dni 14. ledna 2021 MPO snížilo alokaci programu podpory na 608 102</w:t>
      </w:r>
      <w:r w:rsidR="00855663">
        <w:rPr>
          <w:rFonts w:ascii="Calibri" w:eastAsia="Calibri" w:hAnsi="Calibri"/>
          <w:szCs w:val="22"/>
        </w:rPr>
        <w:t> </w:t>
      </w:r>
      <w:r w:rsidRPr="007F1EC5">
        <w:rPr>
          <w:rFonts w:ascii="Calibri" w:eastAsia="Calibri" w:hAnsi="Calibri"/>
          <w:szCs w:val="22"/>
        </w:rPr>
        <w:t>866</w:t>
      </w:r>
      <w:r w:rsidR="00855663">
        <w:rPr>
          <w:rFonts w:ascii="Calibri" w:eastAsia="Calibri" w:hAnsi="Calibri"/>
          <w:szCs w:val="22"/>
        </w:rPr>
        <w:t> </w:t>
      </w:r>
      <w:r w:rsidR="005A19C7">
        <w:rPr>
          <w:rFonts w:ascii="Calibri" w:eastAsia="Calibri" w:hAnsi="Calibri"/>
          <w:szCs w:val="22"/>
        </w:rPr>
        <w:t>€</w:t>
      </w:r>
      <w:r w:rsidRPr="007F1EC5">
        <w:rPr>
          <w:rFonts w:ascii="Calibri" w:eastAsia="Calibri" w:hAnsi="Calibri"/>
          <w:szCs w:val="22"/>
        </w:rPr>
        <w:t xml:space="preserve"> (15 </w:t>
      </w:r>
      <w:r w:rsidR="006C4FDB">
        <w:rPr>
          <w:rFonts w:ascii="Calibri" w:eastAsia="Calibri" w:hAnsi="Calibri"/>
          <w:szCs w:val="22"/>
        </w:rPr>
        <w:t>926 214 060,54</w:t>
      </w:r>
      <w:r w:rsidRPr="007F1EC5">
        <w:rPr>
          <w:rFonts w:ascii="Calibri" w:eastAsia="Calibri" w:hAnsi="Calibri"/>
          <w:szCs w:val="22"/>
        </w:rPr>
        <w:t xml:space="preserve"> Kč)</w:t>
      </w:r>
      <w:r>
        <w:rPr>
          <w:rStyle w:val="Znakapoznpodarou"/>
          <w:rFonts w:ascii="Calibri" w:eastAsia="Calibri" w:hAnsi="Calibri"/>
          <w:szCs w:val="22"/>
        </w:rPr>
        <w:footnoteReference w:id="11"/>
      </w:r>
      <w:r w:rsidRPr="007F1EC5">
        <w:rPr>
          <w:rFonts w:ascii="Calibri" w:eastAsia="Calibri" w:hAnsi="Calibri"/>
          <w:szCs w:val="22"/>
        </w:rPr>
        <w:t xml:space="preserve"> </w:t>
      </w:r>
      <w:r w:rsidRPr="007F1EC5">
        <w:rPr>
          <w:rFonts w:ascii="Calibri" w:eastAsia="Calibri" w:hAnsi="Calibri" w:cs="Calibri"/>
        </w:rPr>
        <w:t xml:space="preserve">z důvodu přesunu nevyužitých peněžních prostředků na opatření </w:t>
      </w:r>
      <w:r w:rsidR="006C4FDB" w:rsidRPr="007F1EC5">
        <w:rPr>
          <w:rFonts w:ascii="Calibri" w:eastAsia="Calibri" w:hAnsi="Calibri" w:cs="Calibri"/>
        </w:rPr>
        <w:t>spojen</w:t>
      </w:r>
      <w:r w:rsidR="006C4FDB">
        <w:rPr>
          <w:rFonts w:ascii="Calibri" w:eastAsia="Calibri" w:hAnsi="Calibri" w:cs="Calibri"/>
        </w:rPr>
        <w:t>á</w:t>
      </w:r>
      <w:r w:rsidR="006C4FDB" w:rsidRPr="007F1EC5">
        <w:rPr>
          <w:rFonts w:ascii="Calibri" w:eastAsia="Calibri" w:hAnsi="Calibri" w:cs="Calibri"/>
        </w:rPr>
        <w:t xml:space="preserve"> </w:t>
      </w:r>
      <w:r w:rsidRPr="007F1EC5">
        <w:rPr>
          <w:rFonts w:ascii="Calibri" w:eastAsia="Calibri" w:hAnsi="Calibri" w:cs="Calibri"/>
        </w:rPr>
        <w:t xml:space="preserve">s reakcí na pandemii </w:t>
      </w:r>
      <w:r w:rsidR="005A19C7">
        <w:rPr>
          <w:rFonts w:ascii="Calibri" w:eastAsia="Calibri" w:hAnsi="Calibri" w:cs="Calibri"/>
        </w:rPr>
        <w:t>c</w:t>
      </w:r>
      <w:r w:rsidRPr="007F1EC5">
        <w:rPr>
          <w:rFonts w:ascii="Calibri" w:eastAsia="Calibri" w:hAnsi="Calibri" w:cs="Calibri"/>
        </w:rPr>
        <w:t>ovid</w:t>
      </w:r>
      <w:r w:rsidR="005A19C7">
        <w:rPr>
          <w:rFonts w:ascii="Calibri" w:eastAsia="Calibri" w:hAnsi="Calibri" w:cs="Calibri"/>
        </w:rPr>
        <w:t>u</w:t>
      </w:r>
      <w:r w:rsidRPr="007F1EC5">
        <w:rPr>
          <w:rFonts w:ascii="Calibri" w:eastAsia="Calibri" w:hAnsi="Calibri" w:cs="Calibri"/>
        </w:rPr>
        <w:t>-19.</w:t>
      </w:r>
    </w:p>
    <w:p w14:paraId="6AAE321D" w14:textId="77777777" w:rsidR="00A07F21" w:rsidRDefault="00A07F21" w:rsidP="00F47044">
      <w:pPr>
        <w:pStyle w:val="Odstavecseseznamem"/>
        <w:spacing w:after="0" w:line="240" w:lineRule="auto"/>
        <w:jc w:val="both"/>
        <w:rPr>
          <w:rFonts w:ascii="Calibri" w:eastAsia="Calibri" w:hAnsi="Calibri" w:cs="Calibri"/>
        </w:rPr>
      </w:pPr>
    </w:p>
    <w:p w14:paraId="566C63D5" w14:textId="7E3AEBDB" w:rsidR="005C6FB4" w:rsidRPr="00401340" w:rsidRDefault="005C6FB4" w:rsidP="00F47044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 xml:space="preserve">Program podpory </w:t>
      </w:r>
      <w:r w:rsidRPr="00A15456">
        <w:rPr>
          <w:rFonts w:ascii="Calibri" w:eastAsia="Calibri" w:hAnsi="Calibri" w:cs="Calibri"/>
          <w:b/>
          <w:bCs/>
          <w:i/>
          <w:iCs/>
        </w:rPr>
        <w:t>Nízkouhlíkové technologie</w:t>
      </w:r>
      <w:r w:rsidRPr="00401340">
        <w:rPr>
          <w:rFonts w:ascii="Calibri" w:eastAsia="Calibri" w:hAnsi="Calibri" w:cs="Calibri"/>
          <w:b/>
          <w:bCs/>
        </w:rPr>
        <w:t xml:space="preserve"> </w:t>
      </w:r>
      <w:r w:rsidRPr="00401340">
        <w:rPr>
          <w:rFonts w:ascii="Calibri" w:eastAsia="Calibri" w:hAnsi="Calibri" w:cs="Calibri"/>
        </w:rPr>
        <w:t xml:space="preserve">realizoval specifický cíl 3.4. </w:t>
      </w:r>
      <w:r w:rsidR="006C4FDB">
        <w:rPr>
          <w:rFonts w:ascii="Calibri" w:eastAsia="Calibri" w:hAnsi="Calibri" w:cs="Calibri"/>
        </w:rPr>
        <w:t>Cílem programu</w:t>
      </w:r>
      <w:r w:rsidRPr="00401340">
        <w:rPr>
          <w:rFonts w:ascii="Calibri" w:eastAsia="Calibri" w:hAnsi="Calibri" w:cs="Calibri"/>
        </w:rPr>
        <w:t xml:space="preserve"> byla podpora konkurenceschopnosti podniků a udržitelnosti české </w:t>
      </w:r>
      <w:r w:rsidR="0017515A">
        <w:rPr>
          <w:rFonts w:ascii="Calibri" w:eastAsia="Calibri" w:hAnsi="Calibri" w:cs="Calibri"/>
        </w:rPr>
        <w:br/>
      </w:r>
      <w:r w:rsidRPr="00401340">
        <w:rPr>
          <w:rFonts w:ascii="Calibri" w:eastAsia="Calibri" w:hAnsi="Calibri" w:cs="Calibri"/>
        </w:rPr>
        <w:t xml:space="preserve">ekonomiky prostřednictvím zavádění nových technologií v oblasti nakládání </w:t>
      </w:r>
      <w:r w:rsidR="0017515A">
        <w:rPr>
          <w:rFonts w:ascii="Calibri" w:eastAsia="Calibri" w:hAnsi="Calibri" w:cs="Calibri"/>
        </w:rPr>
        <w:br/>
      </w:r>
      <w:r w:rsidRPr="00401340">
        <w:rPr>
          <w:rFonts w:ascii="Calibri" w:eastAsia="Calibri" w:hAnsi="Calibri" w:cs="Calibri"/>
        </w:rPr>
        <w:t>energií a</w:t>
      </w:r>
      <w:r w:rsidR="0017515A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 xml:space="preserve">druhotných surovin. Předmětem kontroly NKÚ byly aktivity spojené s úsporami energie, aktivity zaměřené na elektromobilitu a druhotné suroviny NKÚ nekontroloval. Alokace programu podpory Nízkouhlíkové technologie činila </w:t>
      </w:r>
      <w:r w:rsidRPr="00401340">
        <w:rPr>
          <w:rFonts w:ascii="Calibri" w:hAnsi="Calibri" w:cs="Calibri"/>
          <w:lang w:eastAsia="cs-CZ"/>
        </w:rPr>
        <w:t>37 549</w:t>
      </w:r>
      <w:r w:rsidR="005A19C7">
        <w:rPr>
          <w:rFonts w:ascii="Calibri" w:hAnsi="Calibri" w:cs="Calibri"/>
          <w:lang w:eastAsia="cs-CZ"/>
        </w:rPr>
        <w:t> </w:t>
      </w:r>
      <w:r w:rsidRPr="00401340">
        <w:rPr>
          <w:rFonts w:ascii="Calibri" w:hAnsi="Calibri" w:cs="Calibri"/>
          <w:lang w:eastAsia="cs-CZ"/>
        </w:rPr>
        <w:t>754</w:t>
      </w:r>
      <w:r w:rsidR="005A19C7">
        <w:rPr>
          <w:rFonts w:ascii="Calibri" w:hAnsi="Calibri" w:cs="Calibri"/>
          <w:lang w:eastAsia="cs-CZ"/>
        </w:rPr>
        <w:t> </w:t>
      </w:r>
      <w:r w:rsidR="00685CB8">
        <w:rPr>
          <w:rFonts w:ascii="Calibri" w:hAnsi="Calibri" w:cs="Calibri"/>
          <w:lang w:eastAsia="cs-CZ"/>
        </w:rPr>
        <w:t>€</w:t>
      </w:r>
      <w:r w:rsidRPr="00401340">
        <w:rPr>
          <w:rFonts w:ascii="Calibri" w:hAnsi="Calibri" w:cs="Calibri"/>
          <w:lang w:eastAsia="cs-CZ"/>
        </w:rPr>
        <w:t xml:space="preserve"> (1 030 177 500,99</w:t>
      </w:r>
      <w:r w:rsidR="005C6355">
        <w:rPr>
          <w:rFonts w:ascii="Calibri" w:hAnsi="Calibri" w:cs="Calibri"/>
          <w:lang w:eastAsia="cs-CZ"/>
        </w:rPr>
        <w:t> </w:t>
      </w:r>
      <w:r w:rsidRPr="00401340">
        <w:rPr>
          <w:rFonts w:ascii="Calibri" w:hAnsi="Calibri" w:cs="Calibri"/>
          <w:lang w:eastAsia="cs-CZ"/>
        </w:rPr>
        <w:t>Kč)</w:t>
      </w:r>
      <w:r>
        <w:rPr>
          <w:rStyle w:val="Znakapoznpodarou"/>
          <w:rFonts w:ascii="Calibri" w:hAnsi="Calibri" w:cs="Calibri"/>
          <w:lang w:eastAsia="cs-CZ"/>
        </w:rPr>
        <w:footnoteReference w:id="12"/>
      </w:r>
      <w:r w:rsidRPr="00401340">
        <w:rPr>
          <w:rFonts w:ascii="Calibri" w:hAnsi="Calibri" w:cs="Calibri"/>
          <w:lang w:eastAsia="cs-CZ"/>
        </w:rPr>
        <w:t>. Od roku 2018 docházelo k následujícím změnám alokace:</w:t>
      </w:r>
    </w:p>
    <w:p w14:paraId="173EC24A" w14:textId="35EFF60B" w:rsidR="005C6FB4" w:rsidRDefault="005C6FB4" w:rsidP="00F4704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Dne 20. července 2018 MPO zvýšilo alokaci programu podpory Nízkouhlíkové technologie na </w:t>
      </w:r>
      <w:r w:rsidRPr="009502A4">
        <w:rPr>
          <w:rFonts w:ascii="Calibri" w:eastAsia="Calibri" w:hAnsi="Calibri" w:cs="Calibri"/>
        </w:rPr>
        <w:t>78</w:t>
      </w:r>
      <w:r w:rsidR="005A19C7">
        <w:rPr>
          <w:rFonts w:ascii="Calibri" w:eastAsia="Calibri" w:hAnsi="Calibri" w:cs="Calibri"/>
        </w:rPr>
        <w:t> </w:t>
      </w:r>
      <w:r w:rsidRPr="009502A4">
        <w:rPr>
          <w:rFonts w:ascii="Calibri" w:eastAsia="Calibri" w:hAnsi="Calibri" w:cs="Calibri"/>
        </w:rPr>
        <w:t>849</w:t>
      </w:r>
      <w:r w:rsidR="005A19C7">
        <w:rPr>
          <w:rFonts w:ascii="Calibri" w:eastAsia="Calibri" w:hAnsi="Calibri" w:cs="Calibri"/>
        </w:rPr>
        <w:t> </w:t>
      </w:r>
      <w:r w:rsidRPr="009502A4">
        <w:rPr>
          <w:rFonts w:ascii="Calibri" w:eastAsia="Calibri" w:hAnsi="Calibri" w:cs="Calibri"/>
        </w:rPr>
        <w:t>745</w:t>
      </w:r>
      <w:r w:rsidR="005A19C7">
        <w:rPr>
          <w:rFonts w:ascii="Calibri" w:eastAsia="Calibri" w:hAnsi="Calibri" w:cs="Calibri"/>
        </w:rPr>
        <w:t> </w:t>
      </w:r>
      <w:r w:rsidR="00114F51">
        <w:rPr>
          <w:rFonts w:ascii="Calibri" w:eastAsia="Calibri" w:hAnsi="Calibri" w:cs="Calibri"/>
        </w:rPr>
        <w:t>€</w:t>
      </w:r>
      <w:r w:rsidRPr="009502A4">
        <w:rPr>
          <w:rFonts w:ascii="Calibri" w:eastAsia="Calibri" w:hAnsi="Calibri" w:cs="Calibri"/>
        </w:rPr>
        <w:t xml:space="preserve"> (2</w:t>
      </w:r>
      <w:r w:rsidR="005A19C7">
        <w:rPr>
          <w:rFonts w:ascii="Calibri" w:eastAsia="Calibri" w:hAnsi="Calibri" w:cs="Calibri"/>
        </w:rPr>
        <w:t> </w:t>
      </w:r>
      <w:r w:rsidRPr="009502A4">
        <w:rPr>
          <w:rFonts w:ascii="Calibri" w:eastAsia="Calibri" w:hAnsi="Calibri" w:cs="Calibri"/>
        </w:rPr>
        <w:t>040</w:t>
      </w:r>
      <w:r w:rsidR="005A19C7">
        <w:rPr>
          <w:rFonts w:ascii="Calibri" w:eastAsia="Calibri" w:hAnsi="Calibri" w:cs="Calibri"/>
        </w:rPr>
        <w:t> </w:t>
      </w:r>
      <w:r w:rsidRPr="009502A4">
        <w:rPr>
          <w:rFonts w:ascii="Calibri" w:eastAsia="Calibri" w:hAnsi="Calibri" w:cs="Calibri"/>
        </w:rPr>
        <w:t>237</w:t>
      </w:r>
      <w:r w:rsidR="005A19C7">
        <w:rPr>
          <w:rFonts w:ascii="Calibri" w:eastAsia="Calibri" w:hAnsi="Calibri" w:cs="Calibri"/>
        </w:rPr>
        <w:t> </w:t>
      </w:r>
      <w:r w:rsidRPr="009502A4">
        <w:rPr>
          <w:rFonts w:ascii="Calibri" w:eastAsia="Calibri" w:hAnsi="Calibri" w:cs="Calibri"/>
        </w:rPr>
        <w:t>151,88</w:t>
      </w:r>
      <w:r w:rsidR="005A19C7">
        <w:rPr>
          <w:rFonts w:ascii="Calibri" w:eastAsia="Calibri" w:hAnsi="Calibri" w:cs="Calibri"/>
        </w:rPr>
        <w:t> </w:t>
      </w:r>
      <w:r w:rsidRPr="009502A4">
        <w:rPr>
          <w:rFonts w:ascii="Calibri" w:eastAsia="Calibri" w:hAnsi="Calibri" w:cs="Calibri"/>
        </w:rPr>
        <w:t>Kč</w:t>
      </w:r>
      <w:r>
        <w:rPr>
          <w:rFonts w:ascii="Calibri" w:eastAsia="Calibri" w:hAnsi="Calibri" w:cs="Calibri"/>
        </w:rPr>
        <w:t>)</w:t>
      </w:r>
      <w:r>
        <w:rPr>
          <w:rStyle w:val="Znakapoznpodarou"/>
          <w:rFonts w:ascii="Calibri" w:eastAsia="Calibri" w:hAnsi="Calibri" w:cs="Calibri"/>
        </w:rPr>
        <w:footnoteReference w:id="13"/>
      </w:r>
      <w:r>
        <w:rPr>
          <w:rFonts w:ascii="Calibri" w:eastAsia="Calibri" w:hAnsi="Calibri" w:cs="Calibri"/>
        </w:rPr>
        <w:t xml:space="preserve"> z důvodu realokace prostředků ze specifického cíle 3.6 do specifického cíle 3.4 v reakci na vysokou poptávku po podpoře.</w:t>
      </w:r>
    </w:p>
    <w:p w14:paraId="5DB0578A" w14:textId="51BED0B9" w:rsidR="005C6FB4" w:rsidRDefault="005C6FB4" w:rsidP="00F4704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Dne 17. dubna 2020 MPO snížilo alokaci na </w:t>
      </w:r>
      <w:r w:rsidRPr="00CF47D5">
        <w:rPr>
          <w:rFonts w:ascii="Calibri" w:eastAsia="Calibri" w:hAnsi="Calibri" w:cs="Calibri"/>
        </w:rPr>
        <w:t>73</w:t>
      </w:r>
      <w:r w:rsidR="005A19C7">
        <w:rPr>
          <w:rFonts w:ascii="Calibri" w:eastAsia="Calibri" w:hAnsi="Calibri" w:cs="Calibri"/>
        </w:rPr>
        <w:t> </w:t>
      </w:r>
      <w:r w:rsidRPr="00CF47D5">
        <w:rPr>
          <w:rFonts w:ascii="Calibri" w:eastAsia="Calibri" w:hAnsi="Calibri" w:cs="Calibri"/>
        </w:rPr>
        <w:t>849</w:t>
      </w:r>
      <w:r w:rsidR="00B56372">
        <w:rPr>
          <w:rFonts w:ascii="Calibri" w:eastAsia="Calibri" w:hAnsi="Calibri" w:cs="Calibri"/>
        </w:rPr>
        <w:t> </w:t>
      </w:r>
      <w:r w:rsidRPr="00CF47D5">
        <w:rPr>
          <w:rFonts w:ascii="Calibri" w:eastAsia="Calibri" w:hAnsi="Calibri" w:cs="Calibri"/>
        </w:rPr>
        <w:t>745</w:t>
      </w:r>
      <w:r w:rsidR="00B56372">
        <w:rPr>
          <w:rFonts w:ascii="Calibri" w:eastAsia="Calibri" w:hAnsi="Calibri" w:cs="Calibri"/>
        </w:rPr>
        <w:t> </w:t>
      </w:r>
      <w:r w:rsidR="00114F51">
        <w:rPr>
          <w:rFonts w:ascii="Calibri" w:eastAsia="Calibri" w:hAnsi="Calibri" w:cs="Calibri"/>
        </w:rPr>
        <w:t>€</w:t>
      </w:r>
      <w:r w:rsidRPr="00CF47D5">
        <w:rPr>
          <w:rFonts w:ascii="Calibri" w:eastAsia="Calibri" w:hAnsi="Calibri" w:cs="Calibri"/>
        </w:rPr>
        <w:t xml:space="preserve"> (2</w:t>
      </w:r>
      <w:r w:rsidR="005A19C7">
        <w:rPr>
          <w:rFonts w:ascii="Calibri" w:eastAsia="Calibri" w:hAnsi="Calibri" w:cs="Calibri"/>
        </w:rPr>
        <w:t> </w:t>
      </w:r>
      <w:r w:rsidRPr="00CF47D5">
        <w:rPr>
          <w:rFonts w:ascii="Calibri" w:eastAsia="Calibri" w:hAnsi="Calibri" w:cs="Calibri"/>
        </w:rPr>
        <w:t>006</w:t>
      </w:r>
      <w:r w:rsidR="005A19C7">
        <w:rPr>
          <w:rFonts w:ascii="Calibri" w:eastAsia="Calibri" w:hAnsi="Calibri" w:cs="Calibri"/>
        </w:rPr>
        <w:t> </w:t>
      </w:r>
      <w:r w:rsidRPr="00CF47D5">
        <w:rPr>
          <w:rFonts w:ascii="Calibri" w:eastAsia="Calibri" w:hAnsi="Calibri" w:cs="Calibri"/>
        </w:rPr>
        <w:t>128</w:t>
      </w:r>
      <w:r w:rsidR="005A19C7">
        <w:rPr>
          <w:rFonts w:ascii="Calibri" w:eastAsia="Calibri" w:hAnsi="Calibri" w:cs="Calibri"/>
        </w:rPr>
        <w:t> </w:t>
      </w:r>
      <w:r w:rsidRPr="00CF47D5">
        <w:rPr>
          <w:rFonts w:ascii="Calibri" w:eastAsia="Calibri" w:hAnsi="Calibri" w:cs="Calibri"/>
        </w:rPr>
        <w:t>322,93</w:t>
      </w:r>
      <w:r w:rsidR="005A19C7">
        <w:rPr>
          <w:rFonts w:ascii="Calibri" w:eastAsia="Calibri" w:hAnsi="Calibri" w:cs="Calibri"/>
        </w:rPr>
        <w:t> </w:t>
      </w:r>
      <w:r w:rsidRPr="00CF47D5">
        <w:rPr>
          <w:rFonts w:ascii="Calibri" w:eastAsia="Calibri" w:hAnsi="Calibri" w:cs="Calibri"/>
        </w:rPr>
        <w:t>Kč</w:t>
      </w:r>
      <w:r>
        <w:rPr>
          <w:rFonts w:ascii="Calibri" w:eastAsia="Calibri" w:hAnsi="Calibri" w:cs="Calibri"/>
        </w:rPr>
        <w:t>)</w:t>
      </w:r>
      <w:r>
        <w:rPr>
          <w:rStyle w:val="Znakapoznpodarou"/>
          <w:rFonts w:ascii="Calibri" w:eastAsia="Calibri" w:hAnsi="Calibri" w:cs="Calibri"/>
        </w:rPr>
        <w:footnoteReference w:id="14"/>
      </w:r>
      <w:r>
        <w:rPr>
          <w:rFonts w:ascii="Calibri" w:eastAsia="Calibri" w:hAnsi="Calibri" w:cs="Calibri"/>
        </w:rPr>
        <w:t xml:space="preserve"> z důvodu realokace výkonnostní rezervy do specifického cíle 2.1.</w:t>
      </w:r>
    </w:p>
    <w:p w14:paraId="72C540BC" w14:textId="3CFF5508" w:rsidR="00401340" w:rsidRDefault="005C6FB4" w:rsidP="00F47044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Ke dni 3. září 2020 MPO snížilo alokaci na </w:t>
      </w:r>
      <w:r w:rsidRPr="00A3391A">
        <w:rPr>
          <w:rFonts w:ascii="Calibri" w:eastAsia="Calibri" w:hAnsi="Calibri" w:cs="Calibri"/>
        </w:rPr>
        <w:t>54</w:t>
      </w:r>
      <w:r w:rsidR="00685CB8">
        <w:rPr>
          <w:rFonts w:ascii="Calibri" w:eastAsia="Calibri" w:hAnsi="Calibri" w:cs="Calibri"/>
        </w:rPr>
        <w:t> </w:t>
      </w:r>
      <w:r w:rsidRPr="00A3391A">
        <w:rPr>
          <w:rFonts w:ascii="Calibri" w:eastAsia="Calibri" w:hAnsi="Calibri" w:cs="Calibri"/>
        </w:rPr>
        <w:t>619</w:t>
      </w:r>
      <w:r w:rsidR="00685CB8">
        <w:rPr>
          <w:rFonts w:ascii="Calibri" w:eastAsia="Calibri" w:hAnsi="Calibri" w:cs="Calibri"/>
        </w:rPr>
        <w:t> </w:t>
      </w:r>
      <w:r w:rsidRPr="00A3391A">
        <w:rPr>
          <w:rFonts w:ascii="Calibri" w:eastAsia="Calibri" w:hAnsi="Calibri" w:cs="Calibri"/>
        </w:rPr>
        <w:t>745</w:t>
      </w:r>
      <w:r w:rsidR="00685CB8">
        <w:rPr>
          <w:rFonts w:ascii="Calibri" w:eastAsia="Calibri" w:hAnsi="Calibri" w:cs="Calibri"/>
        </w:rPr>
        <w:t> </w:t>
      </w:r>
      <w:r w:rsidR="00114F51">
        <w:rPr>
          <w:rFonts w:ascii="Calibri" w:eastAsia="Calibri" w:hAnsi="Calibri" w:cs="Calibri"/>
        </w:rPr>
        <w:t>€</w:t>
      </w:r>
      <w:r w:rsidRPr="00A3391A">
        <w:rPr>
          <w:rFonts w:ascii="Calibri" w:eastAsia="Calibri" w:hAnsi="Calibri" w:cs="Calibri"/>
        </w:rPr>
        <w:t xml:space="preserve"> (1</w:t>
      </w:r>
      <w:r w:rsidR="00685CB8">
        <w:rPr>
          <w:rFonts w:ascii="Calibri" w:eastAsia="Calibri" w:hAnsi="Calibri" w:cs="Calibri"/>
        </w:rPr>
        <w:t> </w:t>
      </w:r>
      <w:r w:rsidRPr="00A3391A">
        <w:rPr>
          <w:rFonts w:ascii="Calibri" w:eastAsia="Calibri" w:hAnsi="Calibri" w:cs="Calibri"/>
        </w:rPr>
        <w:t>440</w:t>
      </w:r>
      <w:r w:rsidR="00685CB8">
        <w:rPr>
          <w:rFonts w:ascii="Calibri" w:eastAsia="Calibri" w:hAnsi="Calibri" w:cs="Calibri"/>
        </w:rPr>
        <w:t> </w:t>
      </w:r>
      <w:r w:rsidRPr="00A3391A">
        <w:rPr>
          <w:rFonts w:ascii="Calibri" w:eastAsia="Calibri" w:hAnsi="Calibri" w:cs="Calibri"/>
        </w:rPr>
        <w:t>322</w:t>
      </w:r>
      <w:r w:rsidR="00685CB8">
        <w:rPr>
          <w:rFonts w:ascii="Calibri" w:eastAsia="Calibri" w:hAnsi="Calibri" w:cs="Calibri"/>
        </w:rPr>
        <w:t> </w:t>
      </w:r>
      <w:r w:rsidRPr="00A3391A">
        <w:rPr>
          <w:rFonts w:ascii="Calibri" w:eastAsia="Calibri" w:hAnsi="Calibri" w:cs="Calibri"/>
        </w:rPr>
        <w:t>675,65</w:t>
      </w:r>
      <w:r w:rsidR="00685CB8">
        <w:rPr>
          <w:rFonts w:ascii="Calibri" w:eastAsia="Calibri" w:hAnsi="Calibri" w:cs="Calibri"/>
        </w:rPr>
        <w:t> </w:t>
      </w:r>
      <w:r w:rsidRPr="00A3391A">
        <w:rPr>
          <w:rFonts w:ascii="Calibri" w:eastAsia="Calibri" w:hAnsi="Calibri" w:cs="Calibri"/>
        </w:rPr>
        <w:t>Kč</w:t>
      </w:r>
      <w:r>
        <w:rPr>
          <w:rFonts w:ascii="Calibri" w:eastAsia="Calibri" w:hAnsi="Calibri" w:cs="Calibri"/>
        </w:rPr>
        <w:t>)</w:t>
      </w:r>
      <w:r>
        <w:rPr>
          <w:rStyle w:val="Znakapoznpodarou"/>
          <w:rFonts w:ascii="Calibri" w:eastAsia="Calibri" w:hAnsi="Calibri" w:cs="Calibri"/>
        </w:rPr>
        <w:footnoteReference w:id="15"/>
      </w:r>
      <w:r>
        <w:rPr>
          <w:rFonts w:ascii="Calibri" w:eastAsia="Calibri" w:hAnsi="Calibri" w:cs="Calibri"/>
        </w:rPr>
        <w:t xml:space="preserve"> z důvodu </w:t>
      </w:r>
      <w:r w:rsidRPr="007F1EC5">
        <w:rPr>
          <w:rFonts w:ascii="Calibri" w:eastAsia="Calibri" w:hAnsi="Calibri" w:cs="Calibri"/>
        </w:rPr>
        <w:t xml:space="preserve">přesunu nevyužitých peněžních prostředků na opatření </w:t>
      </w:r>
      <w:r w:rsidR="006C4FDB" w:rsidRPr="007F1EC5">
        <w:rPr>
          <w:rFonts w:ascii="Calibri" w:eastAsia="Calibri" w:hAnsi="Calibri" w:cs="Calibri"/>
        </w:rPr>
        <w:t>spojen</w:t>
      </w:r>
      <w:r w:rsidR="006C4FDB">
        <w:rPr>
          <w:rFonts w:ascii="Calibri" w:eastAsia="Calibri" w:hAnsi="Calibri" w:cs="Calibri"/>
        </w:rPr>
        <w:t>á</w:t>
      </w:r>
      <w:r w:rsidR="006C4FDB" w:rsidRPr="007F1EC5">
        <w:rPr>
          <w:rFonts w:ascii="Calibri" w:eastAsia="Calibri" w:hAnsi="Calibri" w:cs="Calibri"/>
        </w:rPr>
        <w:t xml:space="preserve"> </w:t>
      </w:r>
      <w:r w:rsidRPr="007F1EC5">
        <w:rPr>
          <w:rFonts w:ascii="Calibri" w:eastAsia="Calibri" w:hAnsi="Calibri" w:cs="Calibri"/>
        </w:rPr>
        <w:t>s reakcí na pandemii</w:t>
      </w:r>
      <w:r>
        <w:rPr>
          <w:rFonts w:ascii="Calibri" w:eastAsia="Calibri" w:hAnsi="Calibri" w:cs="Calibri"/>
        </w:rPr>
        <w:t xml:space="preserve"> </w:t>
      </w:r>
      <w:r w:rsidR="00114F51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ovid</w:t>
      </w:r>
      <w:r w:rsidR="00114F51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-19.</w:t>
      </w:r>
    </w:p>
    <w:p w14:paraId="2EED8191" w14:textId="77777777" w:rsidR="00A07F21" w:rsidRDefault="00A07F21" w:rsidP="00F47044">
      <w:pPr>
        <w:pStyle w:val="Odstavecseseznamem"/>
        <w:spacing w:after="0" w:line="240" w:lineRule="auto"/>
        <w:jc w:val="both"/>
        <w:rPr>
          <w:rFonts w:ascii="Calibri" w:eastAsia="Calibri" w:hAnsi="Calibri" w:cs="Calibri"/>
        </w:rPr>
      </w:pPr>
    </w:p>
    <w:p w14:paraId="542AA54E" w14:textId="1B4C4C03" w:rsidR="005C6FB4" w:rsidRPr="00401340" w:rsidRDefault="005C6FB4" w:rsidP="00685CB8">
      <w:pPr>
        <w:pStyle w:val="Odstavecseseznamem"/>
        <w:keepNext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 xml:space="preserve">Program podpory </w:t>
      </w:r>
      <w:r w:rsidRPr="00A15456">
        <w:rPr>
          <w:rFonts w:ascii="Calibri" w:eastAsia="Calibri" w:hAnsi="Calibri" w:cs="Calibri"/>
          <w:b/>
          <w:bCs/>
          <w:i/>
          <w:iCs/>
        </w:rPr>
        <w:t>Úspory energie</w:t>
      </w:r>
      <w:r w:rsidRPr="00401340">
        <w:rPr>
          <w:rFonts w:ascii="Calibri" w:eastAsia="Calibri" w:hAnsi="Calibri" w:cs="Calibri"/>
          <w:b/>
          <w:bCs/>
        </w:rPr>
        <w:t xml:space="preserve"> v SZT</w:t>
      </w:r>
      <w:r w:rsidRPr="00401340">
        <w:rPr>
          <w:rFonts w:ascii="Calibri" w:eastAsia="Calibri" w:hAnsi="Calibri" w:cs="Calibri"/>
        </w:rPr>
        <w:t xml:space="preserve"> realizoval specifický cíl 3.5. Cílem programu byla podpora konkurenceschopnosti a udržitelnosti české ekonomiky prostřednictvím maximálního využití kombinované výroby elektřiny a tepla. Alokace programu podpory </w:t>
      </w:r>
      <w:r w:rsidRPr="00401340">
        <w:rPr>
          <w:rFonts w:ascii="Calibri" w:eastAsia="Calibri" w:hAnsi="Calibri" w:cs="Calibri"/>
        </w:rPr>
        <w:lastRenderedPageBreak/>
        <w:t>Úspory energie v SZT činila původně 142 861</w:t>
      </w:r>
      <w:r w:rsidR="00685CB8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673</w:t>
      </w:r>
      <w:r w:rsidR="00685CB8">
        <w:rPr>
          <w:rFonts w:ascii="Calibri" w:eastAsia="Calibri" w:hAnsi="Calibri" w:cs="Calibri"/>
        </w:rPr>
        <w:t> </w:t>
      </w:r>
      <w:r w:rsidR="00114F51">
        <w:rPr>
          <w:rFonts w:ascii="Calibri" w:eastAsia="Calibri" w:hAnsi="Calibri" w:cs="Calibri"/>
        </w:rPr>
        <w:t>€</w:t>
      </w:r>
      <w:r w:rsidRPr="00401340">
        <w:rPr>
          <w:rFonts w:ascii="Calibri" w:eastAsia="Calibri" w:hAnsi="Calibri" w:cs="Calibri"/>
        </w:rPr>
        <w:t xml:space="preserve"> (3</w:t>
      </w:r>
      <w:r w:rsidR="00685CB8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919</w:t>
      </w:r>
      <w:r w:rsidR="00685CB8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409</w:t>
      </w:r>
      <w:r w:rsidR="00685CB8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998,76</w:t>
      </w:r>
      <w:r w:rsidR="00685CB8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16"/>
      </w:r>
      <w:r w:rsidRPr="00401340">
        <w:rPr>
          <w:rFonts w:ascii="Calibri" w:eastAsia="Calibri" w:hAnsi="Calibri" w:cs="Calibri"/>
        </w:rPr>
        <w:t>. Od roku 2020 docházelo ke snižování alokace:</w:t>
      </w:r>
    </w:p>
    <w:p w14:paraId="03148046" w14:textId="590CD572" w:rsidR="005C6FB4" w:rsidRPr="00A04905" w:rsidRDefault="005C6FB4" w:rsidP="002D24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Dne 17. března 2020 MPO snížilo alokaci programu podpory na 100 861</w:t>
      </w:r>
      <w:r w:rsidR="00F47044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673</w:t>
      </w:r>
      <w:r w:rsidR="00F47044">
        <w:rPr>
          <w:rFonts w:ascii="Calibri" w:eastAsia="Calibri" w:hAnsi="Calibri" w:cs="Calibri"/>
        </w:rPr>
        <w:t> </w:t>
      </w:r>
      <w:r w:rsidR="00114F51"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</w:rPr>
        <w:t xml:space="preserve"> (2</w:t>
      </w:r>
      <w:r w:rsidRPr="219C4344">
        <w:rPr>
          <w:rFonts w:ascii="Calibri" w:eastAsia="Calibri" w:hAnsi="Calibri"/>
        </w:rPr>
        <w:t> 721 247 937,54</w:t>
      </w:r>
      <w:r w:rsidR="00114F51">
        <w:rPr>
          <w:rFonts w:ascii="Calibri" w:eastAsia="Calibri" w:hAnsi="Calibri"/>
        </w:rPr>
        <w:t> </w:t>
      </w:r>
      <w:r w:rsidRPr="219C4344">
        <w:rPr>
          <w:rFonts w:ascii="Calibri" w:eastAsia="Calibri" w:hAnsi="Calibri"/>
        </w:rPr>
        <w:t>Kč)</w:t>
      </w:r>
      <w:r w:rsidRPr="219C4344">
        <w:rPr>
          <w:rStyle w:val="Znakapoznpodarou"/>
          <w:rFonts w:ascii="Calibri" w:eastAsia="Calibri" w:hAnsi="Calibri"/>
        </w:rPr>
        <w:footnoteReference w:id="17"/>
      </w:r>
      <w:r w:rsidRPr="219C4344">
        <w:rPr>
          <w:rFonts w:ascii="Calibri" w:eastAsia="Calibri" w:hAnsi="Calibri"/>
        </w:rPr>
        <w:t xml:space="preserve"> z důvodu přesunu výkonnostní rezervy do specifického cíle 2.1.</w:t>
      </w:r>
    </w:p>
    <w:p w14:paraId="2A72DE70" w14:textId="38FD9A2B" w:rsidR="00401340" w:rsidRDefault="005C6FB4" w:rsidP="002D24D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F1EC5">
        <w:rPr>
          <w:rFonts w:ascii="Calibri" w:eastAsia="Calibri" w:hAnsi="Calibri" w:cs="Calibri"/>
        </w:rPr>
        <w:t>Dne 3. září 2020 MPO znovu snížilo alokaci programu podpory na 99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880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673</w:t>
      </w:r>
      <w:r w:rsidR="00114F51">
        <w:rPr>
          <w:rFonts w:ascii="Calibri" w:eastAsia="Calibri" w:hAnsi="Calibri" w:cs="Calibri"/>
        </w:rPr>
        <w:t> </w:t>
      </w:r>
      <w:r w:rsidR="003E0AC9">
        <w:rPr>
          <w:rFonts w:ascii="Calibri" w:eastAsia="Calibri" w:hAnsi="Calibri" w:cs="Calibri"/>
        </w:rPr>
        <w:t>€</w:t>
      </w:r>
      <w:r w:rsidRPr="007F1EC5">
        <w:rPr>
          <w:rFonts w:ascii="Calibri" w:eastAsia="Calibri" w:hAnsi="Calibri" w:cs="Calibri"/>
        </w:rPr>
        <w:t xml:space="preserve"> (2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633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853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347,01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18"/>
      </w:r>
      <w:r w:rsidRPr="007F1EC5">
        <w:rPr>
          <w:rFonts w:ascii="Calibri" w:eastAsia="Calibri" w:hAnsi="Calibri" w:cs="Calibri"/>
        </w:rPr>
        <w:t xml:space="preserve"> a další snížení alokace MPO provedlo ke dni 14. ledna</w:t>
      </w:r>
      <w:r w:rsidR="006C4FDB">
        <w:rPr>
          <w:rFonts w:ascii="Calibri" w:eastAsia="Calibri" w:hAnsi="Calibri" w:cs="Calibri"/>
        </w:rPr>
        <w:t xml:space="preserve"> </w:t>
      </w:r>
      <w:r w:rsidRPr="007F1EC5">
        <w:rPr>
          <w:rFonts w:ascii="Calibri" w:eastAsia="Calibri" w:hAnsi="Calibri" w:cs="Calibri"/>
        </w:rPr>
        <w:t>2021 na 99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823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673</w:t>
      </w:r>
      <w:r w:rsidR="00114F51">
        <w:rPr>
          <w:rFonts w:ascii="Calibri" w:eastAsia="Calibri" w:hAnsi="Calibri" w:cs="Calibri"/>
        </w:rPr>
        <w:t> </w:t>
      </w:r>
      <w:r w:rsidR="003E0AC9">
        <w:rPr>
          <w:rFonts w:ascii="Calibri" w:eastAsia="Calibri" w:hAnsi="Calibri" w:cs="Calibri"/>
        </w:rPr>
        <w:t>€</w:t>
      </w:r>
      <w:r w:rsidRPr="007F1EC5">
        <w:rPr>
          <w:rFonts w:ascii="Calibri" w:eastAsia="Calibri" w:hAnsi="Calibri" w:cs="Calibri"/>
        </w:rPr>
        <w:t xml:space="preserve"> (2</w:t>
      </w:r>
      <w:r w:rsidR="00114F51">
        <w:rPr>
          <w:rFonts w:ascii="Calibri" w:eastAsia="Calibri" w:hAnsi="Calibri" w:cs="Calibri"/>
        </w:rPr>
        <w:t> </w:t>
      </w:r>
      <w:r w:rsidR="006C4FDB">
        <w:rPr>
          <w:rFonts w:ascii="Calibri" w:eastAsia="Calibri" w:hAnsi="Calibri" w:cs="Calibri"/>
        </w:rPr>
        <w:t>614</w:t>
      </w:r>
      <w:r w:rsidR="00114F51">
        <w:rPr>
          <w:rFonts w:ascii="Calibri" w:eastAsia="Calibri" w:hAnsi="Calibri" w:cs="Calibri"/>
        </w:rPr>
        <w:t> </w:t>
      </w:r>
      <w:r w:rsidR="006C4FDB">
        <w:rPr>
          <w:rFonts w:ascii="Calibri" w:eastAsia="Calibri" w:hAnsi="Calibri" w:cs="Calibri"/>
        </w:rPr>
        <w:t>381 995,87</w:t>
      </w:r>
      <w:r w:rsidR="00114F51">
        <w:rPr>
          <w:rFonts w:ascii="Calibri" w:eastAsia="Calibri" w:hAnsi="Calibri" w:cs="Calibri"/>
        </w:rPr>
        <w:t> </w:t>
      </w:r>
      <w:r w:rsidRPr="007F1EC5">
        <w:rPr>
          <w:rFonts w:ascii="Calibri" w:eastAsia="Calibri" w:hAnsi="Calibri" w:cs="Calibri"/>
        </w:rPr>
        <w:t>Kč)</w:t>
      </w:r>
      <w:r>
        <w:rPr>
          <w:rStyle w:val="Znakapoznpodarou"/>
          <w:rFonts w:ascii="Calibri" w:eastAsia="Calibri" w:hAnsi="Calibri" w:cs="Calibri"/>
        </w:rPr>
        <w:footnoteReference w:id="19"/>
      </w:r>
      <w:r w:rsidRPr="007F1EC5">
        <w:rPr>
          <w:rFonts w:ascii="Calibri" w:eastAsia="Calibri" w:hAnsi="Calibri" w:cs="Calibri"/>
        </w:rPr>
        <w:t xml:space="preserve">. Obě tato snížení proběhla v důsledku přesunu nevyužitých peněžních prostředků na opatření </w:t>
      </w:r>
      <w:r w:rsidR="006C4FDB" w:rsidRPr="007F1EC5">
        <w:rPr>
          <w:rFonts w:ascii="Calibri" w:eastAsia="Calibri" w:hAnsi="Calibri" w:cs="Calibri"/>
        </w:rPr>
        <w:t>spojen</w:t>
      </w:r>
      <w:r w:rsidR="006C4FDB">
        <w:rPr>
          <w:rFonts w:ascii="Calibri" w:eastAsia="Calibri" w:hAnsi="Calibri" w:cs="Calibri"/>
        </w:rPr>
        <w:t>á</w:t>
      </w:r>
      <w:r w:rsidR="006C4FDB" w:rsidRPr="007F1EC5">
        <w:rPr>
          <w:rFonts w:ascii="Calibri" w:eastAsia="Calibri" w:hAnsi="Calibri" w:cs="Calibri"/>
        </w:rPr>
        <w:t xml:space="preserve"> </w:t>
      </w:r>
      <w:r w:rsidRPr="007F1EC5">
        <w:rPr>
          <w:rFonts w:ascii="Calibri" w:eastAsia="Calibri" w:hAnsi="Calibri" w:cs="Calibri"/>
        </w:rPr>
        <w:t>s reakcí na pandemii</w:t>
      </w:r>
      <w:r>
        <w:rPr>
          <w:rFonts w:ascii="Calibri" w:eastAsia="Calibri" w:hAnsi="Calibri" w:cs="Calibri"/>
        </w:rPr>
        <w:t>.</w:t>
      </w:r>
    </w:p>
    <w:p w14:paraId="067F9C3A" w14:textId="77777777" w:rsidR="00A07F21" w:rsidRDefault="00A07F21" w:rsidP="002D24D9">
      <w:pPr>
        <w:pStyle w:val="Odstavecseseznamem"/>
        <w:spacing w:after="0" w:line="240" w:lineRule="auto"/>
        <w:jc w:val="both"/>
        <w:rPr>
          <w:rFonts w:ascii="Calibri" w:eastAsia="Calibri" w:hAnsi="Calibri" w:cs="Calibri"/>
        </w:rPr>
      </w:pPr>
    </w:p>
    <w:p w14:paraId="682B3045" w14:textId="74104387" w:rsidR="005C6FB4" w:rsidRPr="00401340" w:rsidRDefault="005C6FB4" w:rsidP="002D24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 xml:space="preserve">Operační program </w:t>
      </w:r>
      <w:r w:rsidRPr="00A15456">
        <w:rPr>
          <w:rFonts w:ascii="Calibri" w:eastAsia="Calibri" w:hAnsi="Calibri" w:cs="Calibri"/>
          <w:b/>
          <w:bCs/>
          <w:i/>
          <w:iCs/>
        </w:rPr>
        <w:t>Technologie a aplikace pro konkurenceschopnost 2021–2027</w:t>
      </w:r>
      <w:r w:rsidRPr="00401340">
        <w:rPr>
          <w:rFonts w:ascii="Calibri" w:eastAsia="Calibri" w:hAnsi="Calibri" w:cs="Calibri"/>
        </w:rPr>
        <w:t xml:space="preserve"> byl schválen usnesením vlády</w:t>
      </w:r>
      <w:r w:rsidR="00BB2469">
        <w:rPr>
          <w:rFonts w:ascii="Calibri" w:eastAsia="Calibri" w:hAnsi="Calibri" w:cs="Calibri"/>
        </w:rPr>
        <w:t xml:space="preserve"> </w:t>
      </w:r>
      <w:r w:rsidR="00546047">
        <w:rPr>
          <w:rFonts w:ascii="Calibri" w:eastAsia="Calibri" w:hAnsi="Calibri" w:cs="Calibri"/>
        </w:rPr>
        <w:t>ČR</w:t>
      </w:r>
      <w:r w:rsidRPr="00401340">
        <w:rPr>
          <w:rFonts w:ascii="Calibri" w:eastAsia="Calibri" w:hAnsi="Calibri" w:cs="Calibri"/>
        </w:rPr>
        <w:t xml:space="preserve"> ze dne 4. října 2021 č. 859, Evropská komise schválila </w:t>
      </w:r>
      <w:r w:rsidR="00575B91">
        <w:rPr>
          <w:rFonts w:ascii="Calibri" w:eastAsia="Calibri" w:hAnsi="Calibri" w:cs="Calibri"/>
        </w:rPr>
        <w:t xml:space="preserve">programový dokument </w:t>
      </w:r>
      <w:r w:rsidR="00153853">
        <w:rPr>
          <w:rFonts w:ascii="Calibri" w:eastAsia="Calibri" w:hAnsi="Calibri" w:cs="Calibri"/>
        </w:rPr>
        <w:t>OP TAK</w:t>
      </w:r>
      <w:r w:rsidRPr="00401340">
        <w:rPr>
          <w:rFonts w:ascii="Calibri" w:eastAsia="Calibri" w:hAnsi="Calibri" w:cs="Calibri"/>
        </w:rPr>
        <w:t xml:space="preserve"> </w:t>
      </w:r>
      <w:r w:rsidR="003E0AC9">
        <w:rPr>
          <w:rFonts w:ascii="Calibri" w:eastAsia="Calibri" w:hAnsi="Calibri" w:cs="Calibri"/>
        </w:rPr>
        <w:t>r</w:t>
      </w:r>
      <w:r w:rsidRPr="00401340">
        <w:rPr>
          <w:rFonts w:ascii="Calibri" w:eastAsia="Calibri" w:hAnsi="Calibri" w:cs="Calibri"/>
        </w:rPr>
        <w:t>ozhodnutím C (2022) 4597 dne 28. června 2022. Podpora v oblasti energetické účinnosti a obnovitelných zdrojů energie je poskytována v prioritní ose 4</w:t>
      </w:r>
      <w:r w:rsidR="003E0AC9">
        <w:rPr>
          <w:rFonts w:ascii="Calibri" w:eastAsia="Calibri" w:hAnsi="Calibri" w:cs="Calibri"/>
        </w:rPr>
        <w:t> –</w:t>
      </w:r>
      <w:r w:rsidRPr="00401340">
        <w:rPr>
          <w:rFonts w:ascii="Calibri" w:eastAsia="Calibri" w:hAnsi="Calibri" w:cs="Calibri"/>
        </w:rPr>
        <w:t xml:space="preserve"> </w:t>
      </w:r>
      <w:r w:rsidRPr="00401340">
        <w:rPr>
          <w:rFonts w:ascii="Calibri" w:eastAsia="Calibri" w:hAnsi="Calibri" w:cs="Calibri"/>
          <w:i/>
          <w:iCs/>
        </w:rPr>
        <w:t xml:space="preserve">Posun k nízkouhlíkovému hospodářství. </w:t>
      </w:r>
      <w:r w:rsidRPr="00401340">
        <w:rPr>
          <w:rFonts w:ascii="Calibri" w:eastAsia="Calibri" w:hAnsi="Calibri" w:cs="Calibri"/>
        </w:rPr>
        <w:t xml:space="preserve">Tato priorita je realizována prostřednictvím specifických cílů 4.1 </w:t>
      </w:r>
      <w:r w:rsidRPr="00401340">
        <w:rPr>
          <w:rFonts w:ascii="Calibri" w:eastAsia="Calibri" w:hAnsi="Calibri" w:cs="Calibri"/>
          <w:i/>
          <w:iCs/>
        </w:rPr>
        <w:t xml:space="preserve">Podpora energetické účinnosti a snižování emisí skleníkových </w:t>
      </w:r>
      <w:r w:rsidRPr="00401340">
        <w:rPr>
          <w:rFonts w:ascii="Calibri" w:eastAsia="Calibri" w:hAnsi="Calibri" w:cs="Calibri"/>
        </w:rPr>
        <w:t xml:space="preserve">plynů a 4.2 </w:t>
      </w:r>
      <w:r w:rsidRPr="00401340">
        <w:rPr>
          <w:rFonts w:ascii="Calibri" w:eastAsia="Calibri" w:hAnsi="Calibri" w:cs="Calibri"/>
          <w:i/>
          <w:iCs/>
        </w:rPr>
        <w:t xml:space="preserve">Podpora energie z obnovitelných zdrojů. </w:t>
      </w:r>
      <w:r w:rsidRPr="00401340">
        <w:rPr>
          <w:rFonts w:ascii="Calibri" w:eastAsia="Calibri" w:hAnsi="Calibri" w:cs="Calibri"/>
        </w:rPr>
        <w:t>Podpora je poskytována podnikům bez ohledu na velikost jak formou dotací, tak i prostřednictvím finančních nástrojů.</w:t>
      </w:r>
    </w:p>
    <w:p w14:paraId="5BE7A6E6" w14:textId="77777777" w:rsidR="005C6FB4" w:rsidRDefault="005C6FB4" w:rsidP="002D24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0FAAB9B" w14:textId="1CE7C87E" w:rsidR="005C6FB4" w:rsidRPr="00A15456" w:rsidRDefault="005C6FB4" w:rsidP="005A1CCF">
      <w:pPr>
        <w:spacing w:after="40" w:line="240" w:lineRule="auto"/>
        <w:ind w:left="1418" w:hanging="1418"/>
        <w:jc w:val="both"/>
        <w:rPr>
          <w:rFonts w:ascii="Calibri" w:eastAsia="Calibri" w:hAnsi="Calibri" w:cs="Calibri"/>
          <w:b/>
          <w:bCs/>
        </w:rPr>
      </w:pPr>
      <w:r w:rsidRPr="00A15456">
        <w:rPr>
          <w:rFonts w:ascii="Calibri" w:eastAsia="Calibri" w:hAnsi="Calibri" w:cs="Calibri"/>
          <w:b/>
          <w:bCs/>
        </w:rPr>
        <w:t xml:space="preserve">Tabulka č. </w:t>
      </w:r>
      <w:r w:rsidR="005C6355" w:rsidRPr="00A15456">
        <w:rPr>
          <w:rFonts w:ascii="Calibri" w:eastAsia="Calibri" w:hAnsi="Calibri" w:cs="Calibri"/>
          <w:b/>
          <w:bCs/>
        </w:rPr>
        <w:t>2:</w:t>
      </w:r>
      <w:r w:rsidRPr="00A15456">
        <w:rPr>
          <w:rFonts w:ascii="Calibri" w:eastAsia="Calibri" w:hAnsi="Calibri" w:cs="Calibri"/>
          <w:b/>
          <w:bCs/>
        </w:rPr>
        <w:t xml:space="preserve"> Specifické cíle </w:t>
      </w:r>
      <w:r w:rsidR="00153853" w:rsidRPr="00A15456">
        <w:rPr>
          <w:rFonts w:ascii="Calibri" w:eastAsia="Calibri" w:hAnsi="Calibri" w:cs="Calibri"/>
          <w:b/>
          <w:bCs/>
        </w:rPr>
        <w:t>OP TAK</w:t>
      </w:r>
      <w:r w:rsidRPr="00A15456">
        <w:rPr>
          <w:rFonts w:ascii="Calibri" w:eastAsia="Calibri" w:hAnsi="Calibri" w:cs="Calibri"/>
          <w:b/>
          <w:bCs/>
        </w:rPr>
        <w:t xml:space="preserve">* </w:t>
      </w:r>
      <w:r w:rsidR="00C84303" w:rsidRPr="00A15456">
        <w:rPr>
          <w:rFonts w:ascii="Calibri" w:eastAsia="Calibri" w:hAnsi="Calibri" w:cs="Calibri"/>
          <w:b/>
          <w:bCs/>
        </w:rPr>
        <w:t>zahrnuté do kontrolní akce</w:t>
      </w:r>
      <w:r w:rsidRPr="00A15456">
        <w:rPr>
          <w:rFonts w:ascii="Calibri" w:eastAsia="Calibri" w:hAnsi="Calibri" w:cs="Calibri"/>
          <w:b/>
          <w:bCs/>
        </w:rPr>
        <w:t xml:space="preserve"> NKÚ</w:t>
      </w:r>
      <w:r w:rsidR="00C84303" w:rsidRPr="00A15456">
        <w:rPr>
          <w:rFonts w:ascii="Calibri" w:eastAsia="Calibri" w:hAnsi="Calibri" w:cs="Calibri"/>
          <w:b/>
          <w:bCs/>
        </w:rPr>
        <w:t xml:space="preserve"> (stav k 19. květnu 2025)</w:t>
      </w:r>
    </w:p>
    <w:tbl>
      <w:tblPr>
        <w:tblStyle w:val="Mkatabulky"/>
        <w:tblW w:w="906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2181"/>
        <w:gridCol w:w="1134"/>
        <w:gridCol w:w="1134"/>
        <w:gridCol w:w="1984"/>
        <w:gridCol w:w="2124"/>
      </w:tblGrid>
      <w:tr w:rsidR="00DF1F78" w:rsidRPr="00646ACA" w14:paraId="502D6607" w14:textId="77777777" w:rsidTr="002D24D9">
        <w:trPr>
          <w:trHeight w:val="283"/>
        </w:trPr>
        <w:tc>
          <w:tcPr>
            <w:tcW w:w="2691" w:type="dxa"/>
            <w:gridSpan w:val="2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0B964249" w14:textId="77777777" w:rsidR="00DF1F78" w:rsidRPr="00646ACA" w:rsidRDefault="00DF1F78" w:rsidP="002D24D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Specifický cíl</w:t>
            </w:r>
          </w:p>
        </w:tc>
        <w:tc>
          <w:tcPr>
            <w:tcW w:w="1134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1E79B05B" w14:textId="77777777" w:rsidR="00DF1F78" w:rsidRPr="00646ACA" w:rsidRDefault="00DF1F78" w:rsidP="002D24D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Typ podpory</w:t>
            </w:r>
          </w:p>
        </w:tc>
        <w:tc>
          <w:tcPr>
            <w:tcW w:w="1134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3D6F51A0" w14:textId="017CE9DE" w:rsidR="00DF1F78" w:rsidRPr="00646ACA" w:rsidRDefault="00DF1F78" w:rsidP="005A1CC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Alokace SC (v</w:t>
            </w:r>
            <w:r w:rsidR="005A1CCF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mil.</w:t>
            </w:r>
            <w:r w:rsidR="005A1CCF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Kč)</w:t>
            </w:r>
          </w:p>
        </w:tc>
        <w:tc>
          <w:tcPr>
            <w:tcW w:w="1984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729B344C" w14:textId="77777777" w:rsidR="00DF1F78" w:rsidRPr="00646ACA" w:rsidRDefault="00DF1F78" w:rsidP="002D24D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Počet podpořených projektů s </w:t>
            </w:r>
            <w:proofErr w:type="spellStart"/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RoPD</w:t>
            </w:r>
            <w:proofErr w:type="spellEnd"/>
          </w:p>
        </w:tc>
        <w:tc>
          <w:tcPr>
            <w:tcW w:w="2124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6F7E025C" w14:textId="77777777" w:rsidR="00DF1F78" w:rsidRPr="00646ACA" w:rsidRDefault="00DF1F78" w:rsidP="002D24D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Skutečně proplacené prostředky (v mil. Kč)*</w:t>
            </w:r>
          </w:p>
        </w:tc>
      </w:tr>
      <w:tr w:rsidR="00DF1F78" w:rsidRPr="00646ACA" w14:paraId="4C15E99C" w14:textId="77777777" w:rsidTr="002D24D9">
        <w:trPr>
          <w:trHeight w:val="283"/>
        </w:trPr>
        <w:tc>
          <w:tcPr>
            <w:tcW w:w="510" w:type="dxa"/>
            <w:tcMar>
              <w:left w:w="108" w:type="dxa"/>
              <w:right w:w="108" w:type="dxa"/>
            </w:tcMar>
            <w:vAlign w:val="center"/>
          </w:tcPr>
          <w:p w14:paraId="78AFF5E1" w14:textId="77777777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4.1</w:t>
            </w:r>
          </w:p>
        </w:tc>
        <w:tc>
          <w:tcPr>
            <w:tcW w:w="2181" w:type="dxa"/>
            <w:tcMar>
              <w:left w:w="108" w:type="dxa"/>
              <w:right w:w="108" w:type="dxa"/>
            </w:tcMar>
            <w:vAlign w:val="center"/>
          </w:tcPr>
          <w:p w14:paraId="1178A2B1" w14:textId="77777777" w:rsidR="00DF1F78" w:rsidRPr="00646ACA" w:rsidRDefault="00DF1F78" w:rsidP="002D24D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Podpora energetické účinnosti a snižování emisí skleníkových plynů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C060DC8" w14:textId="77777777" w:rsidR="00DF1F78" w:rsidRPr="00646ACA" w:rsidRDefault="00DF1F78" w:rsidP="002D24D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Dotace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F4B954F" w14:textId="0998B9FA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10 590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41ABE7DE" w14:textId="77777777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761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55F1784" w14:textId="77777777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1 513</w:t>
            </w:r>
          </w:p>
        </w:tc>
      </w:tr>
      <w:tr w:rsidR="00DF1F78" w:rsidRPr="00646ACA" w14:paraId="11CE26C5" w14:textId="77777777" w:rsidTr="002D24D9">
        <w:trPr>
          <w:trHeight w:val="283"/>
        </w:trPr>
        <w:tc>
          <w:tcPr>
            <w:tcW w:w="510" w:type="dxa"/>
            <w:tcMar>
              <w:left w:w="108" w:type="dxa"/>
              <w:right w:w="108" w:type="dxa"/>
            </w:tcMar>
            <w:vAlign w:val="center"/>
          </w:tcPr>
          <w:p w14:paraId="2D86A231" w14:textId="77777777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4.2</w:t>
            </w:r>
          </w:p>
        </w:tc>
        <w:tc>
          <w:tcPr>
            <w:tcW w:w="2181" w:type="dxa"/>
            <w:tcMar>
              <w:left w:w="108" w:type="dxa"/>
              <w:right w:w="108" w:type="dxa"/>
            </w:tcMar>
            <w:vAlign w:val="center"/>
          </w:tcPr>
          <w:p w14:paraId="2109019A" w14:textId="7B1C7785" w:rsidR="00DF1F78" w:rsidRPr="00646ACA" w:rsidRDefault="00DF1F78" w:rsidP="002D24D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Podpora energie z</w:t>
            </w:r>
            <w:r w:rsidR="00F47044" w:rsidRPr="00646ACA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646ACA">
              <w:rPr>
                <w:rFonts w:ascii="Calibri" w:eastAsia="Calibri" w:hAnsi="Calibri" w:cs="Calibri"/>
                <w:sz w:val="18"/>
                <w:szCs w:val="18"/>
              </w:rPr>
              <w:t>obnovitelných zdrojů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718F3594" w14:textId="77777777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Dotace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E07574B" w14:textId="3FF0F63D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5 147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1AAC9AB6" w14:textId="77777777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D7F9043" w14:textId="77777777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</w:tr>
      <w:tr w:rsidR="00C71A00" w:rsidRPr="00646ACA" w14:paraId="5DDF7651" w14:textId="77777777" w:rsidTr="002D24D9">
        <w:trPr>
          <w:trHeight w:val="283"/>
        </w:trPr>
        <w:tc>
          <w:tcPr>
            <w:tcW w:w="382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AF4D333" w14:textId="799403EF" w:rsidR="00C71A00" w:rsidRPr="00646ACA" w:rsidRDefault="00C71A00" w:rsidP="002D24D9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Celkem dotace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D574356" w14:textId="7032BBB6" w:rsidR="00C71A00" w:rsidRPr="00646ACA" w:rsidRDefault="00C71A00" w:rsidP="007A6BCF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15 737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27BF252B" w14:textId="650699D6" w:rsidR="00C71A00" w:rsidRPr="00646ACA" w:rsidRDefault="00C71A00" w:rsidP="007A6BCF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771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3810216F" w14:textId="19811966" w:rsidR="00C71A00" w:rsidRPr="00646ACA" w:rsidRDefault="00C71A00" w:rsidP="007A6BCF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082099"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597</w:t>
            </w:r>
          </w:p>
        </w:tc>
      </w:tr>
      <w:tr w:rsidR="00DF1F78" w:rsidRPr="00646ACA" w14:paraId="2EC4150C" w14:textId="77777777" w:rsidTr="002D24D9">
        <w:trPr>
          <w:trHeight w:val="283"/>
        </w:trPr>
        <w:tc>
          <w:tcPr>
            <w:tcW w:w="510" w:type="dxa"/>
            <w:tcMar>
              <w:left w:w="108" w:type="dxa"/>
              <w:right w:w="108" w:type="dxa"/>
            </w:tcMar>
            <w:vAlign w:val="center"/>
          </w:tcPr>
          <w:p w14:paraId="14CD4DB6" w14:textId="77777777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81" w:type="dxa"/>
            <w:tcMar>
              <w:left w:w="108" w:type="dxa"/>
              <w:right w:w="108" w:type="dxa"/>
            </w:tcMar>
            <w:vAlign w:val="center"/>
          </w:tcPr>
          <w:p w14:paraId="232B0028" w14:textId="77777777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3B1CB7C" w14:textId="77777777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16D81C6E" w14:textId="77777777" w:rsidR="00DF1F78" w:rsidRPr="00646ACA" w:rsidRDefault="00DF1F78" w:rsidP="002D24D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7BC76D44" w14:textId="218AF6CF" w:rsidR="00DF1F78" w:rsidRPr="00646ACA" w:rsidRDefault="00DF1F78" w:rsidP="00DF78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Počet projektů podpořených finančním nástrojem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1E379CB" w14:textId="37011FAD" w:rsidR="00DF1F78" w:rsidRPr="00646ACA" w:rsidRDefault="00DF1F78" w:rsidP="00DF78E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Výše proplacených peněžních prostředků (čerpání úvěrů)</w:t>
            </w:r>
          </w:p>
        </w:tc>
      </w:tr>
      <w:tr w:rsidR="00DF1F78" w:rsidRPr="00646ACA" w14:paraId="59364353" w14:textId="77777777" w:rsidTr="002D24D9">
        <w:trPr>
          <w:trHeight w:val="283"/>
        </w:trPr>
        <w:tc>
          <w:tcPr>
            <w:tcW w:w="510" w:type="dxa"/>
            <w:tcMar>
              <w:left w:w="108" w:type="dxa"/>
              <w:right w:w="108" w:type="dxa"/>
            </w:tcMar>
            <w:vAlign w:val="center"/>
          </w:tcPr>
          <w:p w14:paraId="3F8656F9" w14:textId="77034690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4.1</w:t>
            </w:r>
          </w:p>
        </w:tc>
        <w:tc>
          <w:tcPr>
            <w:tcW w:w="2181" w:type="dxa"/>
            <w:tcMar>
              <w:left w:w="108" w:type="dxa"/>
              <w:right w:w="108" w:type="dxa"/>
            </w:tcMar>
            <w:vAlign w:val="center"/>
          </w:tcPr>
          <w:p w14:paraId="1FC36DEB" w14:textId="53B6EDC2" w:rsidR="00DF1F78" w:rsidRPr="00646ACA" w:rsidRDefault="00DF1F78" w:rsidP="002D24D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Podpora energetické účinnosti a snižování emisí skleníkových plynů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75C9395" w14:textId="2BCC179A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Finanční nástroj</w:t>
            </w:r>
            <w:r w:rsidRPr="00646ACA">
              <w:rPr>
                <w:rFonts w:ascii="Calibri" w:hAnsi="Calibri" w:cs="Calibri"/>
                <w:sz w:val="18"/>
                <w:szCs w:val="18"/>
              </w:rPr>
              <w:br/>
            </w:r>
            <w:r w:rsidRPr="00646ACA">
              <w:rPr>
                <w:rFonts w:ascii="Calibri" w:eastAsia="Calibri" w:hAnsi="Calibri" w:cs="Calibri"/>
                <w:sz w:val="18"/>
                <w:szCs w:val="18"/>
              </w:rPr>
              <w:t>E 2023**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5969259" w14:textId="4FB2268B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1 771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1C79244B" w14:textId="007D73CC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B78ED59" w14:textId="33F582DD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328</w:t>
            </w:r>
          </w:p>
        </w:tc>
      </w:tr>
      <w:tr w:rsidR="00DF1F78" w:rsidRPr="00646ACA" w14:paraId="38244F53" w14:textId="77777777" w:rsidTr="002D24D9">
        <w:trPr>
          <w:trHeight w:val="283"/>
        </w:trPr>
        <w:tc>
          <w:tcPr>
            <w:tcW w:w="510" w:type="dxa"/>
            <w:tcMar>
              <w:left w:w="108" w:type="dxa"/>
              <w:right w:w="108" w:type="dxa"/>
            </w:tcMar>
            <w:vAlign w:val="center"/>
          </w:tcPr>
          <w:p w14:paraId="5FA415C8" w14:textId="31CDF661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4.2</w:t>
            </w:r>
          </w:p>
        </w:tc>
        <w:tc>
          <w:tcPr>
            <w:tcW w:w="2181" w:type="dxa"/>
            <w:tcMar>
              <w:left w:w="108" w:type="dxa"/>
              <w:right w:w="108" w:type="dxa"/>
            </w:tcMar>
            <w:vAlign w:val="center"/>
          </w:tcPr>
          <w:p w14:paraId="34E47B10" w14:textId="46F5EF2C" w:rsidR="00DF1F78" w:rsidRPr="00646ACA" w:rsidRDefault="00DF1F78" w:rsidP="002D24D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Podpora energie z</w:t>
            </w:r>
            <w:r w:rsidR="002D24D9" w:rsidRPr="00646ACA">
              <w:rPr>
                <w:rFonts w:ascii="Calibri" w:eastAsia="Calibri" w:hAnsi="Calibri" w:cs="Calibri"/>
                <w:sz w:val="18"/>
                <w:szCs w:val="18"/>
              </w:rPr>
              <w:t> </w:t>
            </w:r>
            <w:r w:rsidRPr="00646ACA">
              <w:rPr>
                <w:rFonts w:ascii="Calibri" w:eastAsia="Calibri" w:hAnsi="Calibri" w:cs="Calibri"/>
                <w:sz w:val="18"/>
                <w:szCs w:val="18"/>
              </w:rPr>
              <w:t>obnovitelných zdrojů</w:t>
            </w:r>
            <w:r w:rsidRPr="00646ACA" w:rsidDel="006C4FD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3C51F3BF" w14:textId="345178BF" w:rsidR="00DF1F78" w:rsidRPr="00646ACA" w:rsidRDefault="00DF1F78" w:rsidP="002D24D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Finanční nástroj</w:t>
            </w:r>
            <w:r w:rsidRPr="00646ACA">
              <w:rPr>
                <w:rFonts w:ascii="Calibri" w:hAnsi="Calibri" w:cs="Calibri"/>
                <w:sz w:val="18"/>
                <w:szCs w:val="18"/>
              </w:rPr>
              <w:br/>
            </w:r>
            <w:r w:rsidRPr="00646ACA">
              <w:rPr>
                <w:rFonts w:ascii="Calibri" w:eastAsia="Calibri" w:hAnsi="Calibri" w:cs="Calibri"/>
                <w:sz w:val="18"/>
                <w:szCs w:val="18"/>
              </w:rPr>
              <w:t>FV 2024**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2F00C58C" w14:textId="3491FFC5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2 043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4BA7598F" w14:textId="600DEDE0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69568B21" w14:textId="64D5E27D" w:rsidR="00DF1F78" w:rsidRPr="00646ACA" w:rsidRDefault="00DF1F78" w:rsidP="007A6BCF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</w:tr>
      <w:tr w:rsidR="00C71A00" w:rsidRPr="00646ACA" w14:paraId="1DA14B86" w14:textId="77777777" w:rsidTr="002D24D9">
        <w:trPr>
          <w:trHeight w:val="283"/>
        </w:trPr>
        <w:tc>
          <w:tcPr>
            <w:tcW w:w="382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A7D81B8" w14:textId="2448832F" w:rsidR="00C71A00" w:rsidRPr="00646ACA" w:rsidRDefault="00C71A00" w:rsidP="002D24D9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Celkem finanční nástroj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BE627F7" w14:textId="30C4C1A6" w:rsidR="00C71A00" w:rsidRPr="00646ACA" w:rsidRDefault="00C71A00" w:rsidP="007A6BCF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3 814</w:t>
            </w: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27980A72" w14:textId="5D58E679" w:rsidR="00C71A00" w:rsidRPr="00646ACA" w:rsidRDefault="00C71A00" w:rsidP="007A6BCF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246</w:t>
            </w:r>
          </w:p>
        </w:tc>
        <w:tc>
          <w:tcPr>
            <w:tcW w:w="2124" w:type="dxa"/>
            <w:tcMar>
              <w:left w:w="108" w:type="dxa"/>
              <w:right w:w="108" w:type="dxa"/>
            </w:tcMar>
            <w:vAlign w:val="center"/>
          </w:tcPr>
          <w:p w14:paraId="2E5568C6" w14:textId="60C599B5" w:rsidR="00C71A00" w:rsidRPr="00646ACA" w:rsidRDefault="00C71A00" w:rsidP="007A6BCF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389</w:t>
            </w:r>
          </w:p>
        </w:tc>
      </w:tr>
    </w:tbl>
    <w:p w14:paraId="4FDB141E" w14:textId="3127BB79" w:rsidR="005C6FB4" w:rsidRDefault="005C6FB4" w:rsidP="002D24D9">
      <w:pPr>
        <w:spacing w:before="40"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65B0FA3B">
        <w:rPr>
          <w:rFonts w:ascii="Calibri" w:eastAsia="Calibri" w:hAnsi="Calibri" w:cs="Calibri"/>
          <w:sz w:val="20"/>
          <w:szCs w:val="20"/>
        </w:rPr>
        <w:t xml:space="preserve">* </w:t>
      </w:r>
      <w:r w:rsidR="00F47044">
        <w:rPr>
          <w:rFonts w:ascii="Calibri" w:eastAsia="Calibri" w:hAnsi="Calibri" w:cs="Calibri"/>
          <w:sz w:val="20"/>
          <w:szCs w:val="20"/>
        </w:rPr>
        <w:tab/>
      </w:r>
      <w:r w:rsidRPr="65B0FA3B">
        <w:rPr>
          <w:rFonts w:ascii="Calibri" w:eastAsia="Calibri" w:hAnsi="Calibri" w:cs="Calibri"/>
          <w:sz w:val="20"/>
          <w:szCs w:val="20"/>
        </w:rPr>
        <w:t xml:space="preserve">U </w:t>
      </w:r>
      <w:r w:rsidR="00153853">
        <w:rPr>
          <w:rFonts w:ascii="Calibri" w:eastAsia="Calibri" w:hAnsi="Calibri" w:cs="Calibri"/>
          <w:sz w:val="20"/>
          <w:szCs w:val="20"/>
        </w:rPr>
        <w:t>OP TAK</w:t>
      </w:r>
      <w:r w:rsidRPr="65B0FA3B">
        <w:rPr>
          <w:rFonts w:ascii="Calibri" w:eastAsia="Calibri" w:hAnsi="Calibri" w:cs="Calibri"/>
          <w:sz w:val="20"/>
          <w:szCs w:val="20"/>
        </w:rPr>
        <w:t xml:space="preserve"> stále probíhá příjem žádostí o podporu i realizace projektů</w:t>
      </w:r>
      <w:r w:rsidR="005A1CCF">
        <w:rPr>
          <w:rFonts w:ascii="Calibri" w:eastAsia="Calibri" w:hAnsi="Calibri" w:cs="Calibri"/>
          <w:sz w:val="20"/>
          <w:szCs w:val="20"/>
        </w:rPr>
        <w:t>.</w:t>
      </w:r>
    </w:p>
    <w:p w14:paraId="65B14B50" w14:textId="48758F30" w:rsidR="00401340" w:rsidRDefault="005C6FB4" w:rsidP="002D24D9">
      <w:pPr>
        <w:spacing w:after="0" w:line="240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65B0FA3B">
        <w:rPr>
          <w:rFonts w:ascii="Calibri" w:eastAsia="Calibri" w:hAnsi="Calibri" w:cs="Calibri"/>
          <w:sz w:val="20"/>
          <w:szCs w:val="20"/>
        </w:rPr>
        <w:t xml:space="preserve">** </w:t>
      </w:r>
      <w:r w:rsidR="00575B91" w:rsidRPr="004B0360">
        <w:rPr>
          <w:rFonts w:ascii="Calibri" w:eastAsia="Calibri" w:hAnsi="Calibri" w:cs="Calibri"/>
          <w:sz w:val="20"/>
          <w:szCs w:val="20"/>
        </w:rPr>
        <w:t>NKÚ u finančního nástroje podrobil kontrole pouze související činnost MPO, kterou je schvalování výze</w:t>
      </w:r>
      <w:r w:rsidR="00575B91">
        <w:rPr>
          <w:rFonts w:ascii="Calibri" w:eastAsia="Calibri" w:hAnsi="Calibri" w:cs="Calibri"/>
          <w:sz w:val="20"/>
          <w:szCs w:val="20"/>
        </w:rPr>
        <w:t>v a</w:t>
      </w:r>
      <w:r w:rsidR="00F47044">
        <w:rPr>
          <w:rFonts w:ascii="Calibri" w:eastAsia="Calibri" w:hAnsi="Calibri" w:cs="Calibri"/>
          <w:sz w:val="20"/>
          <w:szCs w:val="20"/>
        </w:rPr>
        <w:t> </w:t>
      </w:r>
      <w:r w:rsidR="00575B91">
        <w:rPr>
          <w:rFonts w:ascii="Calibri" w:eastAsia="Calibri" w:hAnsi="Calibri" w:cs="Calibri"/>
          <w:sz w:val="20"/>
          <w:szCs w:val="20"/>
        </w:rPr>
        <w:t>smluvní ujednání mezi MPO a NPO.</w:t>
      </w:r>
      <w:r w:rsidR="00575B91" w:rsidRPr="65B0FA3B" w:rsidDel="00575B91">
        <w:rPr>
          <w:rFonts w:ascii="Calibri" w:eastAsia="Calibri" w:hAnsi="Calibri" w:cs="Calibri"/>
          <w:sz w:val="20"/>
          <w:szCs w:val="20"/>
        </w:rPr>
        <w:t xml:space="preserve"> </w:t>
      </w:r>
    </w:p>
    <w:p w14:paraId="2474FE0E" w14:textId="15602362" w:rsidR="002D24D9" w:rsidRDefault="00BE66B6" w:rsidP="002D24D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2D24D9">
        <w:rPr>
          <w:rFonts w:ascii="Calibri" w:eastAsia="Calibri" w:hAnsi="Calibri" w:cs="Calibri"/>
          <w:b/>
          <w:bCs/>
          <w:sz w:val="20"/>
          <w:szCs w:val="20"/>
        </w:rPr>
        <w:t xml:space="preserve">Zdroj: </w:t>
      </w:r>
      <w:r w:rsidRPr="65B0FA3B">
        <w:rPr>
          <w:rFonts w:ascii="Calibri" w:eastAsia="Calibri" w:hAnsi="Calibri" w:cs="Calibri"/>
          <w:sz w:val="20"/>
          <w:szCs w:val="20"/>
        </w:rPr>
        <w:t xml:space="preserve">texty jednotlivých výzev SC 4.1 a SC 4.2, programový dokument </w:t>
      </w:r>
      <w:r w:rsidR="00153853">
        <w:rPr>
          <w:rFonts w:ascii="Calibri" w:eastAsia="Calibri" w:hAnsi="Calibri" w:cs="Calibri"/>
          <w:sz w:val="20"/>
          <w:szCs w:val="20"/>
        </w:rPr>
        <w:t>OP TAK</w:t>
      </w:r>
      <w:r w:rsidRPr="65B0FA3B">
        <w:rPr>
          <w:rFonts w:ascii="Calibri" w:eastAsia="Calibri" w:hAnsi="Calibri" w:cs="Calibri"/>
          <w:sz w:val="20"/>
          <w:szCs w:val="20"/>
        </w:rPr>
        <w:t>, MS 2021+ ke dni 19. května 2025</w:t>
      </w:r>
      <w:r w:rsidR="00114F51">
        <w:rPr>
          <w:rFonts w:ascii="Calibri" w:eastAsia="Calibri" w:hAnsi="Calibri" w:cs="Calibri"/>
          <w:sz w:val="20"/>
          <w:szCs w:val="20"/>
        </w:rPr>
        <w:t>.</w:t>
      </w:r>
    </w:p>
    <w:p w14:paraId="549D4FD0" w14:textId="374319FB" w:rsidR="00401340" w:rsidRDefault="00401340" w:rsidP="002D24D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99B2CC4" w14:textId="6D8B27A5" w:rsidR="00401340" w:rsidRPr="00A07F21" w:rsidRDefault="005C6FB4" w:rsidP="002D24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1340">
        <w:rPr>
          <w:rFonts w:ascii="Calibri" w:eastAsia="Calibri" w:hAnsi="Calibri" w:cs="Calibri"/>
          <w:b/>
          <w:bCs/>
        </w:rPr>
        <w:lastRenderedPageBreak/>
        <w:t xml:space="preserve">Specifický cíl 4.1 </w:t>
      </w:r>
      <w:r w:rsidRPr="00401340">
        <w:rPr>
          <w:rFonts w:ascii="Calibri" w:eastAsia="Calibri" w:hAnsi="Calibri" w:cs="Calibri"/>
        </w:rPr>
        <w:t>je zaměřen na snížení energetické náročnosti českého hospodářství a</w:t>
      </w:r>
      <w:r w:rsidR="007A6BCF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snížení emisí skleníkových plynů. Podpora má přispět k plnění energeticko-</w:t>
      </w:r>
      <w:r w:rsidR="003E0AC9">
        <w:rPr>
          <w:rFonts w:ascii="Calibri" w:eastAsia="Calibri" w:hAnsi="Calibri" w:cs="Calibri"/>
        </w:rPr>
        <w:br/>
        <w:t>-</w:t>
      </w:r>
      <w:r w:rsidRPr="00401340">
        <w:rPr>
          <w:rFonts w:ascii="Calibri" w:eastAsia="Calibri" w:hAnsi="Calibri" w:cs="Calibri"/>
        </w:rPr>
        <w:t xml:space="preserve">klimatických cílů </w:t>
      </w:r>
      <w:r w:rsidR="005157ED">
        <w:rPr>
          <w:rFonts w:ascii="Calibri" w:eastAsia="Calibri" w:hAnsi="Calibri"/>
        </w:rPr>
        <w:t>a zajištění nových úspor energie</w:t>
      </w:r>
      <w:r>
        <w:rPr>
          <w:rStyle w:val="Znakapoznpodarou"/>
          <w:rFonts w:ascii="Calibri" w:eastAsia="Calibri" w:hAnsi="Calibri"/>
        </w:rPr>
        <w:footnoteReference w:id="20"/>
      </w:r>
      <w:r w:rsidRPr="00401340">
        <w:rPr>
          <w:rFonts w:ascii="Calibri" w:eastAsia="Calibri" w:hAnsi="Calibri"/>
        </w:rPr>
        <w:t>.</w:t>
      </w:r>
    </w:p>
    <w:p w14:paraId="52B24151" w14:textId="77777777" w:rsidR="00A07F21" w:rsidRPr="00401340" w:rsidRDefault="00A07F21" w:rsidP="002D24D9">
      <w:pPr>
        <w:pStyle w:val="Odstavecseseznamem"/>
        <w:spacing w:after="0" w:line="240" w:lineRule="auto"/>
        <w:ind w:left="624"/>
        <w:jc w:val="both"/>
        <w:rPr>
          <w:rFonts w:ascii="Calibri" w:eastAsia="Calibri" w:hAnsi="Calibri" w:cs="Calibri"/>
          <w:sz w:val="20"/>
          <w:szCs w:val="20"/>
        </w:rPr>
      </w:pPr>
    </w:p>
    <w:p w14:paraId="4C2C883E" w14:textId="7703F879" w:rsidR="00401340" w:rsidRPr="00A07F21" w:rsidRDefault="005C6FB4" w:rsidP="002D24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1340">
        <w:rPr>
          <w:rFonts w:ascii="Calibri" w:eastAsia="Calibri" w:hAnsi="Calibri" w:cs="Calibri"/>
          <w:b/>
          <w:bCs/>
        </w:rPr>
        <w:t xml:space="preserve">Specifický cíl 4.2 </w:t>
      </w:r>
      <w:r w:rsidRPr="00401340">
        <w:rPr>
          <w:rFonts w:ascii="Calibri" w:eastAsia="Calibri" w:hAnsi="Calibri" w:cs="Calibri"/>
        </w:rPr>
        <w:t xml:space="preserve">je zaměřen na efektivní a šetrné využívání obnovitelných zdrojů energie a zvyšování energetické účinnosti obnovitelných zdrojů energie. Podpora má směřovat k plnění cílů dle směrnice </w:t>
      </w:r>
      <w:r w:rsidR="005157ED">
        <w:rPr>
          <w:rFonts w:ascii="Calibri" w:eastAsia="Calibri" w:hAnsi="Calibri" w:cs="Calibri"/>
        </w:rPr>
        <w:t xml:space="preserve">Evropského parlamentu a Rady (EU) </w:t>
      </w:r>
      <w:r w:rsidRPr="00401340">
        <w:rPr>
          <w:rFonts w:ascii="Calibri" w:eastAsia="Calibri" w:hAnsi="Calibri" w:cs="Calibri"/>
        </w:rPr>
        <w:t>2018/2001</w:t>
      </w:r>
      <w:r>
        <w:rPr>
          <w:rStyle w:val="Znakapoznpodarou"/>
          <w:rFonts w:ascii="Calibri" w:eastAsia="Calibri" w:hAnsi="Calibri" w:cs="Calibri"/>
        </w:rPr>
        <w:footnoteReference w:id="21"/>
      </w:r>
      <w:r w:rsidRPr="00401340">
        <w:rPr>
          <w:rFonts w:ascii="Calibri" w:eastAsia="Calibri" w:hAnsi="Calibri" w:cs="Calibri"/>
        </w:rPr>
        <w:t>.</w:t>
      </w:r>
    </w:p>
    <w:p w14:paraId="2F7456D5" w14:textId="77777777" w:rsidR="00A07F21" w:rsidRPr="00401340" w:rsidRDefault="00A07F21" w:rsidP="002D24D9">
      <w:pPr>
        <w:pStyle w:val="Odstavecseseznamem"/>
        <w:spacing w:after="0" w:line="240" w:lineRule="auto"/>
        <w:ind w:left="624"/>
        <w:jc w:val="both"/>
        <w:rPr>
          <w:rFonts w:ascii="Calibri" w:eastAsia="Calibri" w:hAnsi="Calibri" w:cs="Calibri"/>
          <w:sz w:val="20"/>
          <w:szCs w:val="20"/>
        </w:rPr>
      </w:pPr>
    </w:p>
    <w:p w14:paraId="33B4F763" w14:textId="7C4828E4" w:rsidR="005C6FB4" w:rsidRPr="00401340" w:rsidRDefault="005C6FB4" w:rsidP="002D24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1340">
        <w:rPr>
          <w:rFonts w:ascii="Calibri" w:eastAsia="Calibri" w:hAnsi="Calibri" w:cs="Calibri"/>
        </w:rPr>
        <w:t xml:space="preserve">Vláda ČR schválila </w:t>
      </w:r>
      <w:r w:rsidRPr="00A15456">
        <w:rPr>
          <w:rFonts w:ascii="Calibri" w:eastAsia="Calibri" w:hAnsi="Calibri" w:cs="Calibri"/>
          <w:b/>
          <w:bCs/>
          <w:i/>
          <w:iCs/>
        </w:rPr>
        <w:t>Národní plán obnovy</w:t>
      </w:r>
      <w:r w:rsidRPr="00401340">
        <w:rPr>
          <w:rFonts w:ascii="Calibri" w:eastAsia="Calibri" w:hAnsi="Calibri" w:cs="Calibri"/>
        </w:rPr>
        <w:t xml:space="preserve"> svým usnesením ze dne 17. května 2021 č.</w:t>
      </w:r>
      <w:r w:rsidR="002D24D9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467</w:t>
      </w:r>
      <w:r w:rsidRPr="0CAD4326">
        <w:rPr>
          <w:rStyle w:val="Znakapoznpodarou"/>
          <w:rFonts w:ascii="Calibri" w:eastAsia="Calibri" w:hAnsi="Calibri" w:cs="Calibri"/>
        </w:rPr>
        <w:footnoteReference w:id="22"/>
      </w:r>
      <w:r w:rsidRPr="00401340">
        <w:rPr>
          <w:rFonts w:ascii="Calibri" w:eastAsia="Calibri" w:hAnsi="Calibri" w:cs="Calibri"/>
        </w:rPr>
        <w:t xml:space="preserve">, Rada </w:t>
      </w:r>
      <w:r w:rsidR="005157ED" w:rsidRPr="00082099">
        <w:rPr>
          <w:rFonts w:ascii="Calibri" w:eastAsia="Calibri" w:hAnsi="Calibri" w:cs="Calibri"/>
        </w:rPr>
        <w:t>EU následně schválila posouzení plánu</w:t>
      </w:r>
      <w:r w:rsidR="005157ED" w:rsidRPr="00082099">
        <w:rPr>
          <w:rFonts w:ascii="Calibri" w:eastAsia="Calibri" w:hAnsi="Calibri" w:cs="Calibri"/>
          <w:vertAlign w:val="superscript"/>
        </w:rPr>
        <w:footnoteReference w:id="23"/>
      </w:r>
      <w:r w:rsidR="005157ED" w:rsidRPr="00082099">
        <w:rPr>
          <w:rFonts w:ascii="Calibri" w:eastAsia="Calibri" w:hAnsi="Calibri" w:cs="Calibri"/>
        </w:rPr>
        <w:t xml:space="preserve"> provedené Evropskou komisí na základě kritérií stanovených v čl. 19 odst. 3 nařízení Evropského parlamentu a Rady (EU) 2021/241 ze dne 12. února 2021, kterým se zřizuje </w:t>
      </w:r>
      <w:r w:rsidR="005157ED" w:rsidRPr="00A15456">
        <w:rPr>
          <w:rFonts w:ascii="Calibri" w:eastAsia="Calibri" w:hAnsi="Calibri" w:cs="Calibri"/>
          <w:i/>
          <w:iCs/>
        </w:rPr>
        <w:t>Nástroj pro oživení a odolnost</w:t>
      </w:r>
      <w:r w:rsidR="005157ED" w:rsidRPr="00082099">
        <w:rPr>
          <w:rFonts w:ascii="Calibri" w:eastAsia="Calibri" w:hAnsi="Calibri" w:cs="Calibri"/>
        </w:rPr>
        <w:t>.</w:t>
      </w:r>
      <w:r w:rsidRPr="00082099">
        <w:rPr>
          <w:rFonts w:ascii="Calibri" w:eastAsia="Calibri" w:hAnsi="Calibri" w:cs="Calibri"/>
        </w:rPr>
        <w:t xml:space="preserve"> </w:t>
      </w:r>
      <w:r w:rsidRPr="00401340">
        <w:rPr>
          <w:rFonts w:ascii="Calibri" w:eastAsia="Calibri" w:hAnsi="Calibri" w:cs="Calibri"/>
        </w:rPr>
        <w:t>Podpora v oblasti energetické účinnosti a obnovitelných zdrojů energie je poskytována v NPO v pilíři 2</w:t>
      </w:r>
      <w:r w:rsidR="003E0AC9">
        <w:rPr>
          <w:rFonts w:ascii="Calibri" w:eastAsia="Calibri" w:hAnsi="Calibri" w:cs="Calibri"/>
        </w:rPr>
        <w:t> –</w:t>
      </w:r>
      <w:r w:rsidRPr="00401340">
        <w:rPr>
          <w:rFonts w:ascii="Calibri" w:eastAsia="Calibri" w:hAnsi="Calibri" w:cs="Calibri"/>
        </w:rPr>
        <w:t xml:space="preserve"> </w:t>
      </w:r>
      <w:r w:rsidRPr="00401340">
        <w:rPr>
          <w:rFonts w:ascii="Calibri" w:eastAsia="Calibri" w:hAnsi="Calibri" w:cs="Calibri"/>
          <w:i/>
          <w:iCs/>
        </w:rPr>
        <w:t>Fyzická infrastruktura a zelená tranzice</w:t>
      </w:r>
      <w:r w:rsidRPr="00401340">
        <w:rPr>
          <w:rFonts w:ascii="Calibri" w:eastAsia="Calibri" w:hAnsi="Calibri" w:cs="Calibri"/>
        </w:rPr>
        <w:t xml:space="preserve">, </w:t>
      </w:r>
      <w:r w:rsidR="003E0AC9">
        <w:rPr>
          <w:rFonts w:ascii="Calibri" w:eastAsia="Calibri" w:hAnsi="Calibri" w:cs="Calibri"/>
        </w:rPr>
        <w:t xml:space="preserve">a to </w:t>
      </w:r>
      <w:r w:rsidRPr="00401340">
        <w:rPr>
          <w:rFonts w:ascii="Calibri" w:eastAsia="Calibri" w:hAnsi="Calibri" w:cs="Calibri"/>
        </w:rPr>
        <w:t xml:space="preserve">v jeho komponentách 2.2 </w:t>
      </w:r>
      <w:r w:rsidRPr="00401340">
        <w:rPr>
          <w:rFonts w:ascii="Calibri" w:eastAsia="Calibri" w:hAnsi="Calibri" w:cs="Calibri"/>
          <w:i/>
          <w:iCs/>
        </w:rPr>
        <w:t>Snižování spotřeby energie ve veřejném sektoru</w:t>
      </w:r>
      <w:r w:rsidRPr="00401340">
        <w:rPr>
          <w:rFonts w:ascii="Calibri" w:eastAsia="Calibri" w:hAnsi="Calibri" w:cs="Calibri"/>
        </w:rPr>
        <w:t xml:space="preserve"> a 2.3. </w:t>
      </w:r>
      <w:r w:rsidRPr="00401340">
        <w:rPr>
          <w:rFonts w:ascii="Calibri" w:eastAsia="Calibri" w:hAnsi="Calibri" w:cs="Calibri"/>
          <w:i/>
          <w:iCs/>
        </w:rPr>
        <w:t>Přechod na čistší zdroje energie</w:t>
      </w:r>
      <w:r w:rsidRPr="00401340">
        <w:rPr>
          <w:rFonts w:ascii="Calibri" w:eastAsia="Calibri" w:hAnsi="Calibri" w:cs="Calibri"/>
        </w:rPr>
        <w:t>. Podpora byla poskytována formou dotace, která byla proplácena</w:t>
      </w:r>
      <w:r w:rsidR="00E61716" w:rsidRPr="00401340">
        <w:rPr>
          <w:rFonts w:ascii="Calibri" w:eastAsia="Calibri" w:hAnsi="Calibri" w:cs="Calibri"/>
        </w:rPr>
        <w:t xml:space="preserve"> v pilíři 2.2 </w:t>
      </w:r>
      <w:r w:rsidRPr="00401340">
        <w:rPr>
          <w:rFonts w:ascii="Calibri" w:eastAsia="Calibri" w:hAnsi="Calibri" w:cs="Calibri"/>
        </w:rPr>
        <w:t>ex-ante</w:t>
      </w:r>
      <w:r w:rsidR="00E61716" w:rsidRPr="00401340">
        <w:rPr>
          <w:rFonts w:ascii="Calibri" w:eastAsia="Calibri" w:hAnsi="Calibri" w:cs="Calibri"/>
        </w:rPr>
        <w:t xml:space="preserve"> a</w:t>
      </w:r>
      <w:r w:rsidR="002D24D9">
        <w:rPr>
          <w:rFonts w:ascii="Calibri" w:eastAsia="Calibri" w:hAnsi="Calibri" w:cs="Calibri"/>
        </w:rPr>
        <w:t> </w:t>
      </w:r>
      <w:r w:rsidR="00E61716" w:rsidRPr="00401340">
        <w:rPr>
          <w:rFonts w:ascii="Calibri" w:eastAsia="Calibri" w:hAnsi="Calibri" w:cs="Calibri"/>
        </w:rPr>
        <w:t>v pilíři 2.3 ex-post.</w:t>
      </w:r>
    </w:p>
    <w:p w14:paraId="40834F9B" w14:textId="77777777" w:rsidR="005C6FB4" w:rsidRDefault="005C6FB4" w:rsidP="002D24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891C175" w14:textId="42E12811" w:rsidR="005C6FB4" w:rsidRPr="00A15456" w:rsidRDefault="005C6FB4" w:rsidP="005A1CCF">
      <w:pPr>
        <w:spacing w:after="40" w:line="240" w:lineRule="auto"/>
        <w:ind w:left="1276" w:hanging="1276"/>
        <w:jc w:val="both"/>
        <w:rPr>
          <w:rFonts w:ascii="Calibri" w:eastAsia="Calibri" w:hAnsi="Calibri" w:cs="Calibri"/>
          <w:b/>
          <w:bCs/>
        </w:rPr>
      </w:pPr>
      <w:r w:rsidRPr="00A15456">
        <w:rPr>
          <w:rFonts w:ascii="Calibri" w:eastAsia="Calibri" w:hAnsi="Calibri" w:cs="Calibri"/>
          <w:b/>
          <w:bCs/>
        </w:rPr>
        <w:t xml:space="preserve">Tabulka č. </w:t>
      </w:r>
      <w:r w:rsidR="005C6355" w:rsidRPr="00A15456">
        <w:rPr>
          <w:rFonts w:ascii="Calibri" w:eastAsia="Calibri" w:hAnsi="Calibri" w:cs="Calibri"/>
          <w:b/>
          <w:bCs/>
        </w:rPr>
        <w:t>3:</w:t>
      </w:r>
      <w:r w:rsidR="005A1CCF" w:rsidRPr="005A1CCF">
        <w:rPr>
          <w:rFonts w:ascii="Calibri" w:eastAsia="Calibri" w:hAnsi="Calibri" w:cs="Calibri"/>
          <w:b/>
          <w:bCs/>
        </w:rPr>
        <w:tab/>
      </w:r>
      <w:r w:rsidRPr="00A15456">
        <w:rPr>
          <w:rFonts w:ascii="Calibri" w:eastAsia="Calibri" w:hAnsi="Calibri" w:cs="Calibri"/>
          <w:b/>
          <w:bCs/>
        </w:rPr>
        <w:t>Komponenty NPO podrobené kontrole NKÚ</w:t>
      </w:r>
      <w:r w:rsidR="00C84303" w:rsidRPr="00A15456">
        <w:rPr>
          <w:rFonts w:ascii="Calibri" w:eastAsia="Calibri" w:hAnsi="Calibri" w:cs="Calibri"/>
          <w:b/>
          <w:bCs/>
        </w:rPr>
        <w:t xml:space="preserve"> zahrnuté do kontrolní akce NKÚ (stav k 31. březnu 2025)</w:t>
      </w:r>
    </w:p>
    <w:tbl>
      <w:tblPr>
        <w:tblStyle w:val="Mkatabulky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276"/>
        <w:gridCol w:w="1276"/>
        <w:gridCol w:w="1275"/>
        <w:gridCol w:w="1134"/>
      </w:tblGrid>
      <w:tr w:rsidR="00646ACA" w:rsidRPr="00646ACA" w14:paraId="276C6E1A" w14:textId="77777777" w:rsidTr="00646ACA">
        <w:trPr>
          <w:trHeight w:val="300"/>
        </w:trPr>
        <w:tc>
          <w:tcPr>
            <w:tcW w:w="2830" w:type="dxa"/>
            <w:gridSpan w:val="2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5AB7584E" w14:textId="15BBDA33" w:rsidR="005C6FB4" w:rsidRPr="00646ACA" w:rsidRDefault="00EB14DB" w:rsidP="00646AC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5C6FB4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ktivita</w:t>
            </w:r>
          </w:p>
        </w:tc>
        <w:tc>
          <w:tcPr>
            <w:tcW w:w="1276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46C38805" w14:textId="77777777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Alokace aktivit komponenty</w:t>
            </w:r>
          </w:p>
          <w:p w14:paraId="5645FFEE" w14:textId="77777777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(v mil. Kč)</w:t>
            </w:r>
          </w:p>
        </w:tc>
        <w:tc>
          <w:tcPr>
            <w:tcW w:w="1276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56783EAD" w14:textId="02F982EF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Počet podpořených projektů s</w:t>
            </w:r>
            <w:r w:rsidR="006A2AA0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RoPD</w:t>
            </w:r>
            <w:proofErr w:type="spellEnd"/>
            <w:r w:rsidR="006A2AA0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276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5E095E4B" w14:textId="77777777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Výše podpory dle </w:t>
            </w:r>
            <w:proofErr w:type="spellStart"/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RoPD</w:t>
            </w:r>
            <w:proofErr w:type="spellEnd"/>
          </w:p>
          <w:p w14:paraId="28734F38" w14:textId="77777777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(v mil. Kč)</w:t>
            </w:r>
          </w:p>
        </w:tc>
        <w:tc>
          <w:tcPr>
            <w:tcW w:w="1275" w:type="dxa"/>
            <w:shd w:val="clear" w:color="auto" w:fill="E2F1EE"/>
            <w:vAlign w:val="center"/>
          </w:tcPr>
          <w:p w14:paraId="6AB2E75D" w14:textId="3711EE95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Počet </w:t>
            </w:r>
            <w:r w:rsidR="006A2AA0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realizovaných</w:t>
            </w:r>
            <w:r w:rsidR="00190466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projektů</w:t>
            </w:r>
          </w:p>
        </w:tc>
        <w:tc>
          <w:tcPr>
            <w:tcW w:w="1134" w:type="dxa"/>
            <w:shd w:val="clear" w:color="auto" w:fill="E2F1EE"/>
            <w:tcMar>
              <w:left w:w="108" w:type="dxa"/>
              <w:right w:w="108" w:type="dxa"/>
            </w:tcMar>
            <w:vAlign w:val="center"/>
          </w:tcPr>
          <w:p w14:paraId="6C62DAAF" w14:textId="6B7BEE3A" w:rsidR="005C6FB4" w:rsidRPr="00646ACA" w:rsidRDefault="005C6FB4" w:rsidP="00646ACA">
            <w:pPr>
              <w:ind w:left="-57" w:right="-57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Proplacené </w:t>
            </w:r>
            <w:r w:rsidR="00190466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peněžní </w:t>
            </w: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prostředky (v</w:t>
            </w:r>
            <w:r w:rsidR="007A6BCF"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 </w:t>
            </w:r>
            <w:r w:rsidRPr="00646AC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mil. Kč)</w:t>
            </w:r>
          </w:p>
        </w:tc>
      </w:tr>
      <w:tr w:rsidR="00646ACA" w:rsidRPr="00646ACA" w14:paraId="55597986" w14:textId="77777777" w:rsidTr="00646ACA">
        <w:trPr>
          <w:trHeight w:val="300"/>
        </w:trPr>
        <w:tc>
          <w:tcPr>
            <w:tcW w:w="704" w:type="dxa"/>
            <w:tcMar>
              <w:left w:w="108" w:type="dxa"/>
              <w:right w:w="108" w:type="dxa"/>
            </w:tcMar>
            <w:vAlign w:val="center"/>
          </w:tcPr>
          <w:p w14:paraId="05C89F1C" w14:textId="17F94F4A" w:rsidR="005C6FB4" w:rsidRPr="00646ACA" w:rsidRDefault="005C6FB4" w:rsidP="00646AC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2.2</w:t>
            </w:r>
            <w:r w:rsidR="005C4EB3" w:rsidRPr="00646ACA">
              <w:rPr>
                <w:rFonts w:ascii="Calibri" w:eastAsia="Calibri" w:hAnsi="Calibri" w:cs="Calibri"/>
                <w:sz w:val="18"/>
                <w:szCs w:val="18"/>
              </w:rPr>
              <w:t>.1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  <w:vAlign w:val="center"/>
          </w:tcPr>
          <w:p w14:paraId="7C8CA978" w14:textId="77777777" w:rsidR="005C6FB4" w:rsidRPr="00646ACA" w:rsidRDefault="005C6FB4" w:rsidP="00646AC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Snížení energetické náročnosti budov ve vlastnictví OSS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B4E588E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2 893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7A81215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15CA88F2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268</w:t>
            </w:r>
          </w:p>
        </w:tc>
        <w:tc>
          <w:tcPr>
            <w:tcW w:w="1275" w:type="dxa"/>
            <w:vAlign w:val="center"/>
          </w:tcPr>
          <w:p w14:paraId="15F4732C" w14:textId="37973F20" w:rsidR="005C6FB4" w:rsidRPr="00646ACA" w:rsidRDefault="00190466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DF32EDB" w14:textId="0ADAB1BF" w:rsidR="005C6FB4" w:rsidRPr="00646ACA" w:rsidRDefault="00190466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 268,3</w:t>
            </w:r>
          </w:p>
        </w:tc>
      </w:tr>
      <w:tr w:rsidR="00646ACA" w:rsidRPr="00646ACA" w14:paraId="60BE2079" w14:textId="77777777" w:rsidTr="00646ACA">
        <w:trPr>
          <w:trHeight w:val="300"/>
        </w:trPr>
        <w:tc>
          <w:tcPr>
            <w:tcW w:w="704" w:type="dxa"/>
            <w:tcMar>
              <w:left w:w="108" w:type="dxa"/>
              <w:right w:w="108" w:type="dxa"/>
            </w:tcMar>
            <w:vAlign w:val="center"/>
          </w:tcPr>
          <w:p w14:paraId="6497EE15" w14:textId="00177D4A" w:rsidR="005C6FB4" w:rsidRPr="00646ACA" w:rsidRDefault="005C4EB3" w:rsidP="00646AC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2.2.2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  <w:vAlign w:val="center"/>
          </w:tcPr>
          <w:p w14:paraId="339584C1" w14:textId="77777777" w:rsidR="005C6FB4" w:rsidRPr="00646ACA" w:rsidRDefault="005C6FB4" w:rsidP="00646AC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Zvýšení energetické účinnosti systémů veřejného osvětlení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A12B3E3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2 087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A8BC1CB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926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2E96304F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1 862</w:t>
            </w:r>
          </w:p>
        </w:tc>
        <w:tc>
          <w:tcPr>
            <w:tcW w:w="1275" w:type="dxa"/>
            <w:vAlign w:val="center"/>
          </w:tcPr>
          <w:p w14:paraId="52C81CF1" w14:textId="736C6499" w:rsidR="005C6FB4" w:rsidRPr="00646ACA" w:rsidRDefault="00190466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926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620B2603" w14:textId="205C3CB1" w:rsidR="005C6FB4" w:rsidRPr="00646ACA" w:rsidRDefault="00190466" w:rsidP="00B454A2">
            <w:pPr>
              <w:ind w:right="19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1 862</w:t>
            </w:r>
          </w:p>
        </w:tc>
      </w:tr>
      <w:tr w:rsidR="00646ACA" w:rsidRPr="00646ACA" w14:paraId="2E51340D" w14:textId="77777777" w:rsidTr="00646ACA">
        <w:trPr>
          <w:trHeight w:val="405"/>
        </w:trPr>
        <w:tc>
          <w:tcPr>
            <w:tcW w:w="704" w:type="dxa"/>
            <w:tcMar>
              <w:left w:w="108" w:type="dxa"/>
              <w:right w:w="108" w:type="dxa"/>
            </w:tcMar>
            <w:vAlign w:val="center"/>
          </w:tcPr>
          <w:p w14:paraId="78F0A48F" w14:textId="20B5DF1D" w:rsidR="005C6FB4" w:rsidRPr="00646ACA" w:rsidRDefault="005C6FB4" w:rsidP="00646AC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2.3</w:t>
            </w:r>
            <w:r w:rsidR="005C4EB3" w:rsidRPr="00646ACA">
              <w:rPr>
                <w:rFonts w:ascii="Calibri" w:eastAsia="Calibri" w:hAnsi="Calibri" w:cs="Calibri"/>
                <w:sz w:val="18"/>
                <w:szCs w:val="18"/>
              </w:rPr>
              <w:t>.1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  <w:vAlign w:val="center"/>
          </w:tcPr>
          <w:p w14:paraId="42E603A6" w14:textId="77777777" w:rsidR="005C6FB4" w:rsidRPr="00646ACA" w:rsidRDefault="005C6FB4" w:rsidP="00646AC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Výstavba nových fotovoltaických zdrojů</w:t>
            </w:r>
            <w:r w:rsidRPr="00646AC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0D26E155" w14:textId="5616B033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5</w:t>
            </w:r>
            <w:r w:rsidR="00CE6E79">
              <w:rPr>
                <w:rFonts w:ascii="Calibri" w:hAnsi="Calibri" w:cs="Calibri"/>
                <w:sz w:val="18"/>
                <w:szCs w:val="18"/>
              </w:rPr>
              <w:t> </w:t>
            </w:r>
            <w:r w:rsidRPr="00646ACA">
              <w:rPr>
                <w:rFonts w:ascii="Calibri" w:hAnsi="Calibri" w:cs="Calibri"/>
                <w:sz w:val="18"/>
                <w:szCs w:val="18"/>
              </w:rPr>
              <w:t>000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279F2E2E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4 653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20BB6C4F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6 228</w:t>
            </w:r>
          </w:p>
        </w:tc>
        <w:tc>
          <w:tcPr>
            <w:tcW w:w="1275" w:type="dxa"/>
            <w:vAlign w:val="center"/>
          </w:tcPr>
          <w:p w14:paraId="5136E51F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3 093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4200A89C" w14:textId="77777777" w:rsidR="005C6FB4" w:rsidRPr="00646ACA" w:rsidRDefault="005C6FB4" w:rsidP="00B454A2">
            <w:pPr>
              <w:ind w:right="19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3 209</w:t>
            </w:r>
          </w:p>
        </w:tc>
      </w:tr>
      <w:tr w:rsidR="00646ACA" w:rsidRPr="00646ACA" w14:paraId="2C0C4BB9" w14:textId="77777777" w:rsidTr="00646ACA">
        <w:trPr>
          <w:trHeight w:val="405"/>
        </w:trPr>
        <w:tc>
          <w:tcPr>
            <w:tcW w:w="704" w:type="dxa"/>
            <w:tcMar>
              <w:left w:w="108" w:type="dxa"/>
              <w:right w:w="108" w:type="dxa"/>
            </w:tcMar>
            <w:vAlign w:val="center"/>
          </w:tcPr>
          <w:p w14:paraId="7C46A638" w14:textId="2DB91F00" w:rsidR="005C6FB4" w:rsidRPr="00646ACA" w:rsidRDefault="005C4EB3" w:rsidP="00646AC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sz w:val="18"/>
                <w:szCs w:val="18"/>
              </w:rPr>
              <w:t>2.3.2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  <w:vAlign w:val="center"/>
          </w:tcPr>
          <w:p w14:paraId="3D63A7D5" w14:textId="77777777" w:rsidR="005C6FB4" w:rsidRPr="00646ACA" w:rsidRDefault="005C6FB4" w:rsidP="00646AC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Modernizace distribuce tepla v rámci soustav zásobování teplem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332A6907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1 660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7D0BF26D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4E604B57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2 046</w:t>
            </w:r>
          </w:p>
        </w:tc>
        <w:tc>
          <w:tcPr>
            <w:tcW w:w="1275" w:type="dxa"/>
            <w:vAlign w:val="center"/>
          </w:tcPr>
          <w:p w14:paraId="5F37194D" w14:textId="77777777" w:rsidR="005C6FB4" w:rsidRPr="00646ACA" w:rsidRDefault="005C6FB4" w:rsidP="00646ACA">
            <w:pPr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5FD290DD" w14:textId="77777777" w:rsidR="005C6FB4" w:rsidRPr="00646ACA" w:rsidRDefault="005C6FB4" w:rsidP="00B454A2">
            <w:pPr>
              <w:ind w:right="198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646ACA">
              <w:rPr>
                <w:rFonts w:ascii="Calibri" w:hAnsi="Calibri" w:cs="Calibri"/>
                <w:sz w:val="18"/>
                <w:szCs w:val="18"/>
              </w:rPr>
              <w:t>179</w:t>
            </w:r>
          </w:p>
        </w:tc>
      </w:tr>
      <w:tr w:rsidR="00646ACA" w:rsidRPr="00646ACA" w14:paraId="4B9079C0" w14:textId="77777777" w:rsidTr="00646ACA">
        <w:trPr>
          <w:trHeight w:val="300"/>
        </w:trPr>
        <w:tc>
          <w:tcPr>
            <w:tcW w:w="2830" w:type="dxa"/>
            <w:gridSpan w:val="2"/>
            <w:tcMar>
              <w:left w:w="108" w:type="dxa"/>
              <w:right w:w="108" w:type="dxa"/>
            </w:tcMar>
            <w:vAlign w:val="center"/>
          </w:tcPr>
          <w:p w14:paraId="19CCA8C1" w14:textId="0202A8C1" w:rsidR="00C71A00" w:rsidRPr="00646ACA" w:rsidRDefault="00C71A00" w:rsidP="00646ACA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5B72AE08" w14:textId="77777777" w:rsidR="00C71A00" w:rsidRPr="00646ACA" w:rsidRDefault="00C71A00" w:rsidP="00646ACA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11 640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598B5267" w14:textId="77777777" w:rsidR="00C71A00" w:rsidRPr="00646ACA" w:rsidRDefault="00C71A00" w:rsidP="00646ACA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5 659</w:t>
            </w:r>
          </w:p>
        </w:tc>
        <w:tc>
          <w:tcPr>
            <w:tcW w:w="1276" w:type="dxa"/>
            <w:tcMar>
              <w:left w:w="108" w:type="dxa"/>
              <w:right w:w="108" w:type="dxa"/>
            </w:tcMar>
            <w:vAlign w:val="center"/>
          </w:tcPr>
          <w:p w14:paraId="50E53007" w14:textId="77777777" w:rsidR="00C71A00" w:rsidRPr="00646ACA" w:rsidRDefault="00C71A00" w:rsidP="00646ACA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10 404</w:t>
            </w:r>
          </w:p>
        </w:tc>
        <w:tc>
          <w:tcPr>
            <w:tcW w:w="1275" w:type="dxa"/>
            <w:vAlign w:val="center"/>
          </w:tcPr>
          <w:p w14:paraId="03706AFE" w14:textId="0D911690" w:rsidR="00C71A00" w:rsidRPr="00646ACA" w:rsidRDefault="00C71A00" w:rsidP="00646ACA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4 055</w:t>
            </w:r>
          </w:p>
        </w:tc>
        <w:tc>
          <w:tcPr>
            <w:tcW w:w="1134" w:type="dxa"/>
            <w:tcMar>
              <w:left w:w="108" w:type="dxa"/>
              <w:right w:w="108" w:type="dxa"/>
            </w:tcMar>
            <w:vAlign w:val="center"/>
          </w:tcPr>
          <w:p w14:paraId="0AC53BB6" w14:textId="121B5800" w:rsidR="00C71A00" w:rsidRPr="00646ACA" w:rsidRDefault="00C71A00" w:rsidP="00646ACA">
            <w:pPr>
              <w:ind w:right="57"/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46ACA">
              <w:rPr>
                <w:rFonts w:ascii="Calibri" w:hAnsi="Calibri" w:cs="Calibri"/>
                <w:b/>
                <w:bCs/>
                <w:sz w:val="18"/>
                <w:szCs w:val="18"/>
              </w:rPr>
              <w:t>5 818,3</w:t>
            </w:r>
          </w:p>
        </w:tc>
      </w:tr>
    </w:tbl>
    <w:p w14:paraId="6DD39D2D" w14:textId="2F20711A" w:rsidR="005C6FB4" w:rsidRPr="00B973ED" w:rsidRDefault="005C6FB4" w:rsidP="007A6BCF">
      <w:pPr>
        <w:spacing w:after="0" w:line="240" w:lineRule="auto"/>
        <w:ind w:left="142" w:hanging="142"/>
        <w:jc w:val="both"/>
        <w:rPr>
          <w:rFonts w:ascii="Calibri" w:eastAsia="Calibri" w:hAnsi="Calibri" w:cs="Calibri"/>
          <w:sz w:val="20"/>
          <w:szCs w:val="20"/>
        </w:rPr>
      </w:pPr>
      <w:r w:rsidRPr="00B973ED">
        <w:rPr>
          <w:rFonts w:ascii="Calibri" w:eastAsia="Calibri" w:hAnsi="Calibri" w:cs="Calibri"/>
          <w:sz w:val="20"/>
          <w:szCs w:val="20"/>
        </w:rPr>
        <w:t xml:space="preserve">* </w:t>
      </w:r>
      <w:r w:rsidR="006A2AA0">
        <w:rPr>
          <w:rFonts w:ascii="Calibri" w:eastAsia="Calibri" w:hAnsi="Calibri" w:cs="Calibri"/>
          <w:sz w:val="20"/>
          <w:szCs w:val="20"/>
        </w:rPr>
        <w:t xml:space="preserve">Hodnoty ve sloupcích </w:t>
      </w:r>
      <w:r w:rsidR="00252A7C">
        <w:rPr>
          <w:rFonts w:ascii="Calibri" w:eastAsia="Calibri" w:hAnsi="Calibri" w:cs="Calibri"/>
          <w:sz w:val="20"/>
          <w:szCs w:val="20"/>
        </w:rPr>
        <w:t>„</w:t>
      </w:r>
      <w:r w:rsidR="006A2AA0">
        <w:rPr>
          <w:rFonts w:ascii="Calibri" w:eastAsia="Calibri" w:hAnsi="Calibri" w:cs="Calibri"/>
          <w:sz w:val="20"/>
          <w:szCs w:val="20"/>
        </w:rPr>
        <w:t>Počet podpořených projektů s </w:t>
      </w:r>
      <w:proofErr w:type="spellStart"/>
      <w:r w:rsidR="006A2AA0">
        <w:rPr>
          <w:rFonts w:ascii="Calibri" w:eastAsia="Calibri" w:hAnsi="Calibri" w:cs="Calibri"/>
          <w:sz w:val="20"/>
          <w:szCs w:val="20"/>
        </w:rPr>
        <w:t>RoPD</w:t>
      </w:r>
      <w:proofErr w:type="spellEnd"/>
      <w:r w:rsidR="00252A7C">
        <w:rPr>
          <w:rFonts w:ascii="Calibri" w:eastAsia="Calibri" w:hAnsi="Calibri" w:cs="Calibri"/>
          <w:sz w:val="20"/>
          <w:szCs w:val="20"/>
        </w:rPr>
        <w:t>“</w:t>
      </w:r>
      <w:r w:rsidR="006A2AA0">
        <w:rPr>
          <w:rFonts w:ascii="Calibri" w:eastAsia="Calibri" w:hAnsi="Calibri" w:cs="Calibri"/>
          <w:sz w:val="20"/>
          <w:szCs w:val="20"/>
        </w:rPr>
        <w:t xml:space="preserve"> a </w:t>
      </w:r>
      <w:r w:rsidR="00252A7C">
        <w:rPr>
          <w:rFonts w:ascii="Calibri" w:eastAsia="Calibri" w:hAnsi="Calibri" w:cs="Calibri"/>
          <w:sz w:val="20"/>
          <w:szCs w:val="20"/>
        </w:rPr>
        <w:t>„</w:t>
      </w:r>
      <w:r w:rsidR="006A2AA0">
        <w:rPr>
          <w:rFonts w:ascii="Calibri" w:eastAsia="Calibri" w:hAnsi="Calibri" w:cs="Calibri"/>
          <w:sz w:val="20"/>
          <w:szCs w:val="20"/>
        </w:rPr>
        <w:t>Počet realizovaných projektů</w:t>
      </w:r>
      <w:r w:rsidR="00252A7C">
        <w:rPr>
          <w:rFonts w:ascii="Calibri" w:eastAsia="Calibri" w:hAnsi="Calibri" w:cs="Calibri"/>
          <w:sz w:val="20"/>
          <w:szCs w:val="20"/>
        </w:rPr>
        <w:t>“</w:t>
      </w:r>
      <w:r w:rsidR="006A2AA0">
        <w:rPr>
          <w:rFonts w:ascii="Calibri" w:eastAsia="Calibri" w:hAnsi="Calibri" w:cs="Calibri"/>
          <w:sz w:val="20"/>
          <w:szCs w:val="20"/>
        </w:rPr>
        <w:t xml:space="preserve"> </w:t>
      </w:r>
      <w:r w:rsidR="00DF1F78">
        <w:rPr>
          <w:rFonts w:ascii="Calibri" w:eastAsia="Calibri" w:hAnsi="Calibri" w:cs="Calibri"/>
          <w:sz w:val="20"/>
          <w:szCs w:val="20"/>
        </w:rPr>
        <w:t xml:space="preserve">u komponenty 2.2 </w:t>
      </w:r>
      <w:r w:rsidR="006A2AA0">
        <w:rPr>
          <w:rFonts w:ascii="Calibri" w:eastAsia="Calibri" w:hAnsi="Calibri" w:cs="Calibri"/>
          <w:sz w:val="20"/>
          <w:szCs w:val="20"/>
        </w:rPr>
        <w:t xml:space="preserve">jsou stejné, protože je financována ex-ante, tedy příjemce podpory obdrží celou podporu hned po vydání </w:t>
      </w:r>
      <w:proofErr w:type="spellStart"/>
      <w:r w:rsidR="006A2AA0">
        <w:rPr>
          <w:rFonts w:ascii="Calibri" w:eastAsia="Calibri" w:hAnsi="Calibri" w:cs="Calibri"/>
          <w:sz w:val="20"/>
          <w:szCs w:val="20"/>
        </w:rPr>
        <w:t>RoPD</w:t>
      </w:r>
      <w:proofErr w:type="spellEnd"/>
      <w:r w:rsidR="006A2AA0">
        <w:rPr>
          <w:rFonts w:ascii="Calibri" w:eastAsia="Calibri" w:hAnsi="Calibri" w:cs="Calibri"/>
          <w:sz w:val="20"/>
          <w:szCs w:val="20"/>
        </w:rPr>
        <w:t>, kdežto v případě financování ex-post u komponenty 2.3 je podpora proplacena až po ukončení realizace projektu.</w:t>
      </w:r>
    </w:p>
    <w:p w14:paraId="26244E5F" w14:textId="71833094" w:rsidR="006A2AA0" w:rsidRDefault="006A2AA0" w:rsidP="002D24D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6BCF">
        <w:rPr>
          <w:rFonts w:ascii="Calibri" w:eastAsia="Calibri" w:hAnsi="Calibri" w:cs="Calibri"/>
          <w:b/>
          <w:bCs/>
          <w:sz w:val="20"/>
          <w:szCs w:val="20"/>
        </w:rPr>
        <w:t xml:space="preserve">Zdroj: </w:t>
      </w:r>
      <w:r w:rsidRPr="00B973ED">
        <w:rPr>
          <w:rFonts w:ascii="Calibri" w:eastAsia="Calibri" w:hAnsi="Calibri" w:cs="Calibri"/>
          <w:sz w:val="20"/>
          <w:szCs w:val="20"/>
        </w:rPr>
        <w:t>dokumentace výzev MPO, odpovědi MPO</w:t>
      </w:r>
      <w:r w:rsidR="00252A7C">
        <w:rPr>
          <w:rFonts w:ascii="Calibri" w:eastAsia="Calibri" w:hAnsi="Calibri" w:cs="Calibri"/>
          <w:sz w:val="20"/>
          <w:szCs w:val="20"/>
        </w:rPr>
        <w:t>.</w:t>
      </w:r>
    </w:p>
    <w:p w14:paraId="6A41C500" w14:textId="77777777" w:rsidR="005C6FB4" w:rsidRDefault="005C6FB4" w:rsidP="002D24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411F47" w14:textId="76A63FE2" w:rsidR="00401340" w:rsidRDefault="005C6FB4" w:rsidP="002D24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lastRenderedPageBreak/>
        <w:t>Cílem komponenty 2.2</w:t>
      </w:r>
      <w:r>
        <w:rPr>
          <w:rStyle w:val="Znakapoznpodarou"/>
          <w:rFonts w:ascii="Calibri" w:eastAsia="Calibri" w:hAnsi="Calibri" w:cs="Calibri"/>
        </w:rPr>
        <w:footnoteReference w:id="24"/>
      </w:r>
      <w:r w:rsidRPr="00401340">
        <w:rPr>
          <w:rFonts w:ascii="Calibri" w:eastAsia="Calibri" w:hAnsi="Calibri" w:cs="Calibri"/>
          <w:b/>
          <w:bCs/>
        </w:rPr>
        <w:t xml:space="preserve"> </w:t>
      </w:r>
      <w:r w:rsidRPr="00401340">
        <w:rPr>
          <w:rFonts w:ascii="Calibri" w:eastAsia="Calibri" w:hAnsi="Calibri" w:cs="Calibri"/>
        </w:rPr>
        <w:t xml:space="preserve">NPO je snížení spotřeby energie ve veřejném sektoru, realizuje </w:t>
      </w:r>
      <w:r w:rsidR="004D7967">
        <w:rPr>
          <w:rFonts w:ascii="Calibri" w:eastAsia="Calibri" w:hAnsi="Calibri" w:cs="Calibri"/>
        </w:rPr>
        <w:t>aktivitu</w:t>
      </w:r>
      <w:r w:rsidRPr="00401340">
        <w:rPr>
          <w:rFonts w:ascii="Calibri" w:eastAsia="Calibri" w:hAnsi="Calibri" w:cs="Calibri"/>
        </w:rPr>
        <w:t xml:space="preserve"> související se snížením energetické náročnosti budov ve vlastnictví organizačních složek státu (dále také „OSS“) a </w:t>
      </w:r>
      <w:r w:rsidR="004D7967">
        <w:rPr>
          <w:rFonts w:ascii="Calibri" w:eastAsia="Calibri" w:hAnsi="Calibri" w:cs="Calibri"/>
        </w:rPr>
        <w:t xml:space="preserve">aktivitu související se zvýšením energetické účinnosti systémů </w:t>
      </w:r>
      <w:r w:rsidRPr="00401340">
        <w:rPr>
          <w:rFonts w:ascii="Calibri" w:eastAsia="Calibri" w:hAnsi="Calibri" w:cs="Calibri"/>
        </w:rPr>
        <w:t xml:space="preserve">veřejného osvětlení. </w:t>
      </w:r>
    </w:p>
    <w:p w14:paraId="1E7DDA52" w14:textId="77777777" w:rsidR="00401340" w:rsidRDefault="00401340" w:rsidP="002D24D9">
      <w:pPr>
        <w:pStyle w:val="Odstavecseseznamem"/>
        <w:spacing w:after="0" w:line="240" w:lineRule="auto"/>
        <w:ind w:left="624"/>
        <w:jc w:val="both"/>
        <w:rPr>
          <w:rFonts w:ascii="Calibri" w:eastAsia="Calibri" w:hAnsi="Calibri" w:cs="Calibri"/>
        </w:rPr>
      </w:pPr>
    </w:p>
    <w:p w14:paraId="3712BFAA" w14:textId="38B52D43" w:rsidR="005C6FB4" w:rsidRPr="00401340" w:rsidRDefault="005C6FB4" w:rsidP="002D24D9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 xml:space="preserve">Cílem komponenty 2.3 </w:t>
      </w:r>
      <w:r w:rsidRPr="00401340">
        <w:rPr>
          <w:rFonts w:ascii="Calibri" w:eastAsia="Calibri" w:hAnsi="Calibri" w:cs="Calibri"/>
        </w:rPr>
        <w:t>NPO je modernizace rozvodů tepelné energie a rozvoj fotovoltaických zdrojů se záměrem přejít na čistší zdroje energie</w:t>
      </w:r>
      <w:r w:rsidR="004D7967">
        <w:rPr>
          <w:rFonts w:ascii="Calibri" w:eastAsia="Calibri" w:hAnsi="Calibri" w:cs="Calibri"/>
        </w:rPr>
        <w:t>.</w:t>
      </w:r>
      <w:r w:rsidRPr="00401340">
        <w:rPr>
          <w:rFonts w:ascii="Calibri" w:eastAsia="Calibri" w:hAnsi="Calibri" w:cs="Calibri"/>
        </w:rPr>
        <w:t xml:space="preserve"> </w:t>
      </w:r>
      <w:r w:rsidR="004D7967">
        <w:rPr>
          <w:rFonts w:ascii="Calibri" w:eastAsia="Calibri" w:hAnsi="Calibri" w:cs="Calibri"/>
        </w:rPr>
        <w:t>R</w:t>
      </w:r>
      <w:r w:rsidRPr="00401340">
        <w:rPr>
          <w:rFonts w:ascii="Calibri" w:eastAsia="Calibri" w:hAnsi="Calibri" w:cs="Calibri"/>
        </w:rPr>
        <w:t>ealizuje aktivit</w:t>
      </w:r>
      <w:r w:rsidR="004D7967">
        <w:rPr>
          <w:rFonts w:ascii="Calibri" w:eastAsia="Calibri" w:hAnsi="Calibri" w:cs="Calibri"/>
        </w:rPr>
        <w:t>u</w:t>
      </w:r>
      <w:r w:rsidRPr="00401340">
        <w:rPr>
          <w:rFonts w:ascii="Calibri" w:eastAsia="Calibri" w:hAnsi="Calibri" w:cs="Calibri"/>
        </w:rPr>
        <w:t xml:space="preserve"> související s výstavbou nových fotovoltaických zdrojů na přístřešcích, střechách budov a</w:t>
      </w:r>
      <w:r w:rsidR="006C472F">
        <w:rPr>
          <w:rFonts w:ascii="Calibri" w:eastAsia="Calibri" w:hAnsi="Calibri" w:cs="Calibri"/>
        </w:rPr>
        <w:t> </w:t>
      </w:r>
      <w:r w:rsidR="00177D7D">
        <w:rPr>
          <w:rFonts w:ascii="Calibri" w:eastAsia="Calibri" w:hAnsi="Calibri" w:cs="Calibri"/>
        </w:rPr>
        <w:t>aktivitu související s</w:t>
      </w:r>
      <w:r w:rsidR="00177D7D" w:rsidRPr="00401340">
        <w:rPr>
          <w:rFonts w:ascii="Calibri" w:eastAsia="Calibri" w:hAnsi="Calibri" w:cs="Calibri"/>
        </w:rPr>
        <w:t xml:space="preserve"> </w:t>
      </w:r>
      <w:r w:rsidRPr="00401340">
        <w:rPr>
          <w:rFonts w:ascii="Calibri" w:eastAsia="Calibri" w:hAnsi="Calibri" w:cs="Calibri"/>
        </w:rPr>
        <w:t>modernizací rozvodů a předávacích stanic distribuce tepla v</w:t>
      </w:r>
      <w:r w:rsidR="00CE6E79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rámci SZT.</w:t>
      </w:r>
    </w:p>
    <w:p w14:paraId="654FA86F" w14:textId="77777777" w:rsidR="005C6FB4" w:rsidRDefault="005C6FB4" w:rsidP="002D24D9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A64B2AC" w14:textId="46AD80CE" w:rsidR="005C6FB4" w:rsidRPr="00401340" w:rsidRDefault="005C6FB4" w:rsidP="007A6BCF">
      <w:pPr>
        <w:pStyle w:val="Odstavecseseznamem"/>
        <w:numPr>
          <w:ilvl w:val="0"/>
          <w:numId w:val="2"/>
        </w:numPr>
        <w:spacing w:before="480" w:after="0" w:line="240" w:lineRule="auto"/>
        <w:contextualSpacing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01340">
        <w:rPr>
          <w:rFonts w:ascii="Calibri" w:eastAsia="Calibri" w:hAnsi="Calibri" w:cs="Calibri"/>
          <w:b/>
          <w:bCs/>
          <w:sz w:val="28"/>
          <w:szCs w:val="28"/>
        </w:rPr>
        <w:t>Rozsah kontroly</w:t>
      </w:r>
    </w:p>
    <w:p w14:paraId="54271E44" w14:textId="77777777" w:rsidR="005C6FB4" w:rsidRDefault="005C6FB4" w:rsidP="006C472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BC0EFDD" w14:textId="513DC61C" w:rsidR="005C6FB4" w:rsidRPr="00401340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</w:rPr>
        <w:t xml:space="preserve">Cílem kontroly bylo </w:t>
      </w:r>
      <w:r w:rsidR="00177D7D">
        <w:rPr>
          <w:rFonts w:ascii="Calibri" w:eastAsia="Calibri" w:hAnsi="Calibri" w:cs="Calibri"/>
        </w:rPr>
        <w:t>p</w:t>
      </w:r>
      <w:r w:rsidR="00177D7D" w:rsidRPr="00C704E0">
        <w:rPr>
          <w:rFonts w:ascii="Calibri" w:eastAsia="Calibri" w:hAnsi="Calibri" w:cs="Calibri"/>
        </w:rPr>
        <w:t>rověřit, zda peněžní prostředky poskytované Ministerstvem průmyslu a obchodu na zvyšování energetické účinnosti a obnovitelné zdroje energie byly vynakládány účelně a v souladu s právními předpisy</w:t>
      </w:r>
      <w:r w:rsidR="00B30E23">
        <w:rPr>
          <w:rFonts w:ascii="Calibri" w:eastAsia="Calibri" w:hAnsi="Calibri" w:cs="Calibri"/>
        </w:rPr>
        <w:t>.</w:t>
      </w:r>
    </w:p>
    <w:p w14:paraId="33BEF755" w14:textId="77777777" w:rsidR="005C6FB4" w:rsidRDefault="005C6FB4" w:rsidP="006C472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235012" w14:textId="4D6D6411" w:rsidR="005C6FB4" w:rsidRPr="00401340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>U MPO</w:t>
      </w:r>
      <w:r w:rsidRPr="00401340">
        <w:rPr>
          <w:rFonts w:ascii="Calibri" w:eastAsia="Calibri" w:hAnsi="Calibri" w:cs="Calibri"/>
        </w:rPr>
        <w:t xml:space="preserve"> byl kontrole podroben postup MPO jako řídicího orgánu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, </w:t>
      </w:r>
      <w:r w:rsidR="00153853">
        <w:rPr>
          <w:rFonts w:ascii="Calibri" w:eastAsia="Calibri" w:hAnsi="Calibri" w:cs="Calibri"/>
        </w:rPr>
        <w:t>OP TAK</w:t>
      </w:r>
      <w:r w:rsidRPr="00401340">
        <w:rPr>
          <w:rFonts w:ascii="Calibri" w:eastAsia="Calibri" w:hAnsi="Calibri" w:cs="Calibri"/>
        </w:rPr>
        <w:t xml:space="preserve"> a jako vlastníka komponent NPO při přípravě a poskytování podpory na </w:t>
      </w:r>
      <w:r w:rsidR="00177D7D">
        <w:rPr>
          <w:rFonts w:ascii="Calibri" w:eastAsia="Calibri" w:hAnsi="Calibri" w:cs="Calibri"/>
        </w:rPr>
        <w:t>zvýšení energetické účinnosti</w:t>
      </w:r>
      <w:r w:rsidRPr="00401340">
        <w:rPr>
          <w:rFonts w:ascii="Calibri" w:eastAsia="Calibri" w:hAnsi="Calibri" w:cs="Calibri"/>
        </w:rPr>
        <w:t xml:space="preserve"> a obnovitelné zdroje energie prostřednictvím prioritní osy 3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, priority 4 </w:t>
      </w:r>
      <w:r w:rsidR="00153853">
        <w:rPr>
          <w:rFonts w:ascii="Calibri" w:eastAsia="Calibri" w:hAnsi="Calibri" w:cs="Calibri"/>
        </w:rPr>
        <w:t>OP TAK</w:t>
      </w:r>
      <w:r w:rsidRPr="00401340">
        <w:rPr>
          <w:rFonts w:ascii="Calibri" w:eastAsia="Calibri" w:hAnsi="Calibri" w:cs="Calibri"/>
        </w:rPr>
        <w:t xml:space="preserve"> a podpory, která je součástí druhého pilíře NPO. U MPO prověřil NKÚ poskytování podpory z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 v rámci jeho specifických cílů 3.1, 3.2, 3.4</w:t>
      </w:r>
      <w:r w:rsidRPr="78DDFF71">
        <w:rPr>
          <w:rStyle w:val="Znakapoznpodarou"/>
          <w:rFonts w:ascii="Calibri" w:eastAsia="Calibri" w:hAnsi="Calibri" w:cs="Calibri"/>
        </w:rPr>
        <w:footnoteReference w:id="25"/>
      </w:r>
      <w:r w:rsidRPr="00401340">
        <w:rPr>
          <w:rFonts w:ascii="Calibri" w:eastAsia="Calibri" w:hAnsi="Calibri" w:cs="Calibri"/>
        </w:rPr>
        <w:t xml:space="preserve"> a 3.5. NKÚ prověřil poskytování podpory z </w:t>
      </w:r>
      <w:r w:rsidR="00153853">
        <w:rPr>
          <w:rFonts w:ascii="Calibri" w:eastAsia="Calibri" w:hAnsi="Calibri" w:cs="Calibri"/>
        </w:rPr>
        <w:t>OP TAK</w:t>
      </w:r>
      <w:r w:rsidRPr="00401340">
        <w:rPr>
          <w:rFonts w:ascii="Calibri" w:eastAsia="Calibri" w:hAnsi="Calibri" w:cs="Calibri"/>
        </w:rPr>
        <w:t xml:space="preserve"> v rámci jeho specifických cílů 4.1 a 4.2, a</w:t>
      </w:r>
      <w:r w:rsidR="006C472F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poskytování podpory z komponent 2.2 a 2.3 NPO prostřednictvím aktivit 2.2.1, 2.2.2., 2.3.1 a 2.3.2.</w:t>
      </w:r>
    </w:p>
    <w:p w14:paraId="7CC0A932" w14:textId="77777777" w:rsidR="00401340" w:rsidRDefault="00401340" w:rsidP="006C472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B5BFCB1" w14:textId="3DF499AC" w:rsidR="00401340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</w:rPr>
        <w:t>Celkový kontrolovaný objem na úrovni systému činil u MPO 26 399 mil. Kč. Zahrnoval výši proplacených peněžních prostředků v 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 v SC 3.1, 3.2, 3.4 a 3.5, výši proplacených peněžních prostředků v </w:t>
      </w:r>
      <w:r w:rsidR="00153853">
        <w:rPr>
          <w:rFonts w:ascii="Calibri" w:eastAsia="Calibri" w:hAnsi="Calibri" w:cs="Calibri"/>
        </w:rPr>
        <w:t>OP TAK</w:t>
      </w:r>
      <w:r w:rsidRPr="00401340">
        <w:rPr>
          <w:rFonts w:ascii="Calibri" w:eastAsia="Calibri" w:hAnsi="Calibri" w:cs="Calibri"/>
        </w:rPr>
        <w:t xml:space="preserve"> v SC 4.1 a 4.2 a výši proplacených peněžních prostředků v komponentách 2.2 a 2.3 NPO. </w:t>
      </w:r>
    </w:p>
    <w:p w14:paraId="42FA0DEF" w14:textId="77777777" w:rsidR="00401340" w:rsidRPr="00B30E23" w:rsidRDefault="00401340" w:rsidP="00B30E23">
      <w:pPr>
        <w:pStyle w:val="Odstavecseseznamem"/>
        <w:spacing w:after="0" w:line="240" w:lineRule="auto"/>
        <w:ind w:left="0"/>
        <w:contextualSpacing w:val="0"/>
        <w:rPr>
          <w:rFonts w:ascii="Calibri" w:eastAsia="Calibri" w:hAnsi="Calibri" w:cs="Calibri"/>
        </w:rPr>
      </w:pPr>
    </w:p>
    <w:p w14:paraId="07560CA0" w14:textId="3E3AA073" w:rsidR="00401340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>U API</w:t>
      </w:r>
      <w:r w:rsidRPr="00401340">
        <w:rPr>
          <w:rFonts w:ascii="Calibri" w:eastAsia="Calibri" w:hAnsi="Calibri" w:cs="Calibri"/>
        </w:rPr>
        <w:t xml:space="preserve"> byl kontrole podroben postup API jako zprostředkujícího subjektu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 a</w:t>
      </w:r>
      <w:r w:rsidR="006703F0">
        <w:rPr>
          <w:rFonts w:ascii="Calibri" w:eastAsia="Calibri" w:hAnsi="Calibri" w:cs="Calibri"/>
        </w:rPr>
        <w:t> </w:t>
      </w:r>
      <w:r w:rsidR="00153853">
        <w:rPr>
          <w:rFonts w:ascii="Calibri" w:eastAsia="Calibri" w:hAnsi="Calibri" w:cs="Calibri"/>
        </w:rPr>
        <w:t>OP</w:t>
      </w:r>
      <w:r w:rsidR="006C472F">
        <w:rPr>
          <w:rFonts w:ascii="Calibri" w:eastAsia="Calibri" w:hAnsi="Calibri" w:cs="Calibri"/>
        </w:rPr>
        <w:t> </w:t>
      </w:r>
      <w:r w:rsidR="00153853">
        <w:rPr>
          <w:rFonts w:ascii="Calibri" w:eastAsia="Calibri" w:hAnsi="Calibri" w:cs="Calibri"/>
        </w:rPr>
        <w:t>TAK</w:t>
      </w:r>
      <w:r w:rsidRPr="00401340">
        <w:rPr>
          <w:rFonts w:ascii="Calibri" w:eastAsia="Calibri" w:hAnsi="Calibri" w:cs="Calibri"/>
        </w:rPr>
        <w:t>, který zejména zajišťoval první stupeň hodnocení projektů, kontrolu žádostí o</w:t>
      </w:r>
      <w:r w:rsidR="006C472F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platbu, monitoring projektů v rámci realizace a doby udržitelnosti a dodržování stanovených podmínek příjemci podpory. Kontrole byl podroben postup API při administraci 61 projektů v celkovém objemu peněžních prostředků 493,6</w:t>
      </w:r>
      <w:r w:rsidR="00CE6E79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mil.</w:t>
      </w:r>
      <w:r w:rsidR="00CE6E79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Kč.</w:t>
      </w:r>
    </w:p>
    <w:p w14:paraId="0B2EFA18" w14:textId="77777777" w:rsidR="00401340" w:rsidRPr="006C472F" w:rsidRDefault="00401340" w:rsidP="006C472F">
      <w:pPr>
        <w:pStyle w:val="Odstavecseseznamem"/>
        <w:spacing w:after="0" w:line="240" w:lineRule="auto"/>
        <w:ind w:left="0"/>
        <w:contextualSpacing w:val="0"/>
        <w:rPr>
          <w:rFonts w:ascii="Calibri" w:eastAsia="Calibri" w:hAnsi="Calibri" w:cs="Calibri"/>
        </w:rPr>
      </w:pPr>
    </w:p>
    <w:p w14:paraId="38AE3067" w14:textId="195DE907" w:rsidR="00401340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401340">
        <w:rPr>
          <w:rFonts w:ascii="Calibri" w:eastAsia="Calibri" w:hAnsi="Calibri" w:cs="Calibri"/>
          <w:b/>
          <w:bCs/>
        </w:rPr>
        <w:t>U 16 vybraných příjemců podpory</w:t>
      </w:r>
      <w:r w:rsidRPr="00401340">
        <w:rPr>
          <w:rFonts w:ascii="Calibri" w:eastAsia="Calibri" w:hAnsi="Calibri" w:cs="Calibri"/>
        </w:rPr>
        <w:t xml:space="preserve"> v rámci programu podpory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401340">
        <w:rPr>
          <w:rFonts w:ascii="Calibri" w:eastAsia="Calibri" w:hAnsi="Calibri" w:cs="Calibri"/>
        </w:rPr>
        <w:t xml:space="preserve"> </w:t>
      </w:r>
      <w:r w:rsidR="00153853">
        <w:rPr>
          <w:rFonts w:ascii="Calibri" w:eastAsia="Calibri" w:hAnsi="Calibri" w:cs="Calibri"/>
        </w:rPr>
        <w:t>OP PIK</w:t>
      </w:r>
      <w:r w:rsidRPr="00401340">
        <w:rPr>
          <w:rFonts w:ascii="Calibri" w:eastAsia="Calibri" w:hAnsi="Calibri" w:cs="Calibri"/>
        </w:rPr>
        <w:t xml:space="preserve"> prověřil NKÚ, zda příjemci realizovali projekty v souladu s </w:t>
      </w:r>
      <w:r w:rsidR="00081CAE">
        <w:rPr>
          <w:rFonts w:ascii="Calibri" w:eastAsia="Calibri" w:hAnsi="Calibri" w:cs="Calibri"/>
        </w:rPr>
        <w:t>rozhodnutím o poskytnutí podpory a jeho případnými změnami</w:t>
      </w:r>
      <w:r w:rsidRPr="00401340">
        <w:rPr>
          <w:rFonts w:ascii="Calibri" w:eastAsia="Calibri" w:hAnsi="Calibri" w:cs="Calibri"/>
        </w:rPr>
        <w:t xml:space="preserve">, zda příjemci po ukončení realizace projektu </w:t>
      </w:r>
      <w:r w:rsidRPr="00401340">
        <w:rPr>
          <w:rFonts w:ascii="Calibri" w:eastAsia="Calibri" w:hAnsi="Calibri" w:cs="Calibri"/>
        </w:rPr>
        <w:lastRenderedPageBreak/>
        <w:t xml:space="preserve">dosáhli očekávaných přínosů projektu a zda plní podmínky udržitelnosti stanovené </w:t>
      </w:r>
      <w:proofErr w:type="spellStart"/>
      <w:r w:rsidRPr="00401340">
        <w:rPr>
          <w:rFonts w:ascii="Calibri" w:eastAsia="Calibri" w:hAnsi="Calibri" w:cs="Calibri"/>
        </w:rPr>
        <w:t>RoPD</w:t>
      </w:r>
      <w:proofErr w:type="spellEnd"/>
      <w:r w:rsidRPr="00401340">
        <w:rPr>
          <w:rFonts w:ascii="Calibri" w:eastAsia="Calibri" w:hAnsi="Calibri" w:cs="Calibri"/>
        </w:rPr>
        <w:t>. NKÚ při výběru projektů zohlednil stav realizace projektu, výši podpory, případné kontroly provedené jiným orgánem</w:t>
      </w:r>
      <w:r w:rsidR="00081CAE">
        <w:rPr>
          <w:rFonts w:ascii="Calibri" w:eastAsia="Calibri" w:hAnsi="Calibri" w:cs="Calibri"/>
        </w:rPr>
        <w:t>.</w:t>
      </w:r>
      <w:r w:rsidRPr="00401340">
        <w:rPr>
          <w:rFonts w:ascii="Calibri" w:eastAsia="Calibri" w:hAnsi="Calibri" w:cs="Calibri"/>
        </w:rPr>
        <w:t xml:space="preserve"> </w:t>
      </w:r>
      <w:r w:rsidR="00081CAE">
        <w:rPr>
          <w:rFonts w:ascii="Calibri" w:eastAsia="Calibri" w:hAnsi="Calibri" w:cs="Calibri"/>
        </w:rPr>
        <w:t>Mezi kontrolované projekty nebyly zařazeny projekty realizované v oblastech zasažen</w:t>
      </w:r>
      <w:r w:rsidR="00E2490E">
        <w:rPr>
          <w:rFonts w:ascii="Calibri" w:eastAsia="Calibri" w:hAnsi="Calibri" w:cs="Calibri"/>
        </w:rPr>
        <w:t>ýc</w:t>
      </w:r>
      <w:r w:rsidR="00081CAE">
        <w:rPr>
          <w:rFonts w:ascii="Calibri" w:eastAsia="Calibri" w:hAnsi="Calibri" w:cs="Calibri"/>
        </w:rPr>
        <w:t>h povodněmi v září roku 2024.</w:t>
      </w:r>
      <w:r w:rsidRPr="00401340">
        <w:rPr>
          <w:rFonts w:ascii="Calibri" w:eastAsia="Calibri" w:hAnsi="Calibri" w:cs="Calibri"/>
        </w:rPr>
        <w:t xml:space="preserve"> Celková výše proplacených peněžních prostředků činila 194,3</w:t>
      </w:r>
      <w:r w:rsidR="00CE6E79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>mil.</w:t>
      </w:r>
      <w:r w:rsidR="00CE6E79">
        <w:rPr>
          <w:rFonts w:ascii="Calibri" w:eastAsia="Calibri" w:hAnsi="Calibri" w:cs="Calibri"/>
        </w:rPr>
        <w:t> </w:t>
      </w:r>
      <w:r w:rsidRPr="00401340">
        <w:rPr>
          <w:rFonts w:ascii="Calibri" w:eastAsia="Calibri" w:hAnsi="Calibri" w:cs="Calibri"/>
        </w:rPr>
        <w:t xml:space="preserve">Kč. </w:t>
      </w:r>
    </w:p>
    <w:p w14:paraId="0D83A721" w14:textId="77777777" w:rsidR="00401340" w:rsidRPr="00401340" w:rsidRDefault="00401340" w:rsidP="007A6BCF">
      <w:pPr>
        <w:pStyle w:val="Odstavecseseznamem"/>
        <w:spacing w:after="0" w:line="240" w:lineRule="auto"/>
        <w:ind w:left="0"/>
        <w:contextualSpacing w:val="0"/>
        <w:rPr>
          <w:rFonts w:ascii="Calibri" w:eastAsia="Calibri" w:hAnsi="Calibri" w:cs="Calibri"/>
        </w:rPr>
      </w:pPr>
    </w:p>
    <w:p w14:paraId="49440D87" w14:textId="77777777" w:rsidR="00F7672F" w:rsidRDefault="00F7672F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6C6D664" w14:textId="11470E8A" w:rsidR="007F1EC5" w:rsidRPr="00401340" w:rsidRDefault="007D4975" w:rsidP="007A6BCF">
      <w:pPr>
        <w:pStyle w:val="Odstavecseseznamem"/>
        <w:numPr>
          <w:ilvl w:val="0"/>
          <w:numId w:val="2"/>
        </w:numPr>
        <w:spacing w:before="480" w:after="0" w:line="240" w:lineRule="auto"/>
        <w:contextualSpacing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01340">
        <w:rPr>
          <w:rFonts w:ascii="Calibri" w:eastAsia="Calibri" w:hAnsi="Calibri" w:cs="Calibri"/>
          <w:b/>
          <w:bCs/>
          <w:sz w:val="28"/>
          <w:szCs w:val="28"/>
        </w:rPr>
        <w:t>Podrobné skutečnosti zjištěné kontrolou</w:t>
      </w:r>
    </w:p>
    <w:p w14:paraId="2E3AE8E2" w14:textId="77777777" w:rsidR="005C6FB4" w:rsidRDefault="005C6FB4" w:rsidP="006C472F">
      <w:pPr>
        <w:pStyle w:val="Odstavecseseznamem"/>
        <w:spacing w:after="0" w:line="240" w:lineRule="auto"/>
        <w:ind w:left="0"/>
        <w:contextualSpacing w:val="0"/>
        <w:jc w:val="both"/>
        <w:rPr>
          <w:rFonts w:ascii="Calibri" w:eastAsia="Calibri" w:hAnsi="Calibri" w:cs="Calibri"/>
        </w:rPr>
      </w:pPr>
    </w:p>
    <w:p w14:paraId="0271071F" w14:textId="49433280" w:rsidR="005C6FB4" w:rsidRPr="00E82ADD" w:rsidRDefault="005C6FB4" w:rsidP="00C1140E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ČR nesplnila cíle úspor energie</w:t>
      </w:r>
      <w:r w:rsidR="004B538F">
        <w:rPr>
          <w:rFonts w:ascii="Calibri" w:eastAsia="Calibri" w:hAnsi="Calibri" w:cs="Calibri"/>
          <w:b/>
          <w:bCs/>
        </w:rPr>
        <w:t xml:space="preserve"> </w:t>
      </w:r>
      <w:r w:rsidR="005223D8">
        <w:rPr>
          <w:rFonts w:ascii="Calibri" w:eastAsia="Calibri" w:hAnsi="Calibri" w:cs="Calibri"/>
          <w:b/>
          <w:bCs/>
        </w:rPr>
        <w:t xml:space="preserve">mj. </w:t>
      </w:r>
      <w:r w:rsidR="00DC29C6">
        <w:rPr>
          <w:rFonts w:ascii="Calibri" w:eastAsia="Calibri" w:hAnsi="Calibri" w:cs="Calibri"/>
          <w:b/>
          <w:bCs/>
        </w:rPr>
        <w:t>v důsledku</w:t>
      </w:r>
      <w:r w:rsidR="004B538F">
        <w:rPr>
          <w:rFonts w:ascii="Calibri" w:eastAsia="Calibri" w:hAnsi="Calibri" w:cs="Calibri"/>
          <w:b/>
          <w:bCs/>
        </w:rPr>
        <w:t xml:space="preserve"> nízké</w:t>
      </w:r>
      <w:r w:rsidR="00DC29C6">
        <w:rPr>
          <w:rFonts w:ascii="Calibri" w:eastAsia="Calibri" w:hAnsi="Calibri" w:cs="Calibri"/>
          <w:b/>
          <w:bCs/>
        </w:rPr>
        <w:t>ho</w:t>
      </w:r>
      <w:r w:rsidR="004B538F">
        <w:rPr>
          <w:rFonts w:ascii="Calibri" w:eastAsia="Calibri" w:hAnsi="Calibri" w:cs="Calibri"/>
          <w:b/>
          <w:bCs/>
        </w:rPr>
        <w:t xml:space="preserve"> příspěvku </w:t>
      </w:r>
      <w:r w:rsidR="00153853">
        <w:rPr>
          <w:rFonts w:ascii="Calibri" w:eastAsia="Calibri" w:hAnsi="Calibri" w:cs="Calibri"/>
          <w:b/>
          <w:bCs/>
        </w:rPr>
        <w:t>OP PIK</w:t>
      </w:r>
    </w:p>
    <w:p w14:paraId="452AD2BB" w14:textId="77777777" w:rsidR="005C6FB4" w:rsidRPr="00E82ADD" w:rsidRDefault="005C6FB4" w:rsidP="006C472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6E318B2" w14:textId="338BAE2F" w:rsidR="005C6FB4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904982">
        <w:rPr>
          <w:rFonts w:ascii="Calibri" w:eastAsia="Calibri" w:hAnsi="Calibri" w:cs="Calibri"/>
        </w:rPr>
        <w:t>ČR měla do roku 2020 dosáhnout závazného cíle ročních úspor spotřeby energie podle článku 7 směrnice o energetické účinnosti</w:t>
      </w:r>
      <w:r w:rsidR="00324FBE">
        <w:rPr>
          <w:rStyle w:val="Znakapoznpodarou"/>
          <w:rFonts w:ascii="Calibri" w:eastAsia="Calibri" w:hAnsi="Calibri" w:cs="Calibri"/>
        </w:rPr>
        <w:footnoteReference w:id="26"/>
      </w:r>
      <w:r w:rsidRPr="00904982">
        <w:rPr>
          <w:rFonts w:ascii="Calibri" w:eastAsia="Calibri" w:hAnsi="Calibri" w:cs="Calibri"/>
        </w:rPr>
        <w:t xml:space="preserve"> ve výši 50,67 PJ. Plánovaný příspěvek </w:t>
      </w:r>
      <w:r w:rsidR="00153853">
        <w:rPr>
          <w:rFonts w:ascii="Calibri" w:eastAsia="Calibri" w:hAnsi="Calibri" w:cs="Calibri"/>
        </w:rPr>
        <w:t>OP</w:t>
      </w:r>
      <w:r w:rsidR="0017515A">
        <w:rPr>
          <w:rFonts w:ascii="Calibri" w:eastAsia="Calibri" w:hAnsi="Calibri" w:cs="Calibri"/>
        </w:rPr>
        <w:t> </w:t>
      </w:r>
      <w:r w:rsidR="00153853">
        <w:rPr>
          <w:rFonts w:ascii="Calibri" w:eastAsia="Calibri" w:hAnsi="Calibri" w:cs="Calibri"/>
        </w:rPr>
        <w:t>PIK</w:t>
      </w:r>
      <w:r w:rsidRPr="00904982">
        <w:rPr>
          <w:rFonts w:ascii="Calibri" w:eastAsia="Calibri" w:hAnsi="Calibri" w:cs="Calibri"/>
        </w:rPr>
        <w:t xml:space="preserve"> k tomuto cíli podle </w:t>
      </w:r>
      <w:r w:rsidRPr="00A15456">
        <w:rPr>
          <w:rFonts w:ascii="Calibri" w:eastAsia="Calibri" w:hAnsi="Calibri" w:cs="Calibri"/>
          <w:i/>
          <w:iCs/>
        </w:rPr>
        <w:t>Národního akčního plánu energetické účinnosti</w:t>
      </w:r>
      <w:r w:rsidR="00BE36FF">
        <w:rPr>
          <w:rFonts w:ascii="Calibri" w:eastAsia="Calibri" w:hAnsi="Calibri" w:cs="Calibri"/>
          <w:i/>
          <w:iCs/>
        </w:rPr>
        <w:t xml:space="preserve"> III. </w:t>
      </w:r>
      <w:r w:rsidR="0017515A">
        <w:rPr>
          <w:rFonts w:ascii="Calibri" w:eastAsia="Calibri" w:hAnsi="Calibri" w:cs="Calibri"/>
          <w:i/>
          <w:iCs/>
        </w:rPr>
        <w:br/>
      </w:r>
      <w:r w:rsidR="00BE36FF">
        <w:rPr>
          <w:rFonts w:ascii="Calibri" w:eastAsia="Calibri" w:hAnsi="Calibri" w:cs="Calibri"/>
          <w:i/>
          <w:iCs/>
        </w:rPr>
        <w:t>(2014–2020)</w:t>
      </w:r>
      <w:r w:rsidRPr="00904982">
        <w:rPr>
          <w:rFonts w:ascii="Calibri" w:eastAsia="Calibri" w:hAnsi="Calibri" w:cs="Calibri"/>
        </w:rPr>
        <w:t xml:space="preserve"> z roku 2014, který schválila vláda</w:t>
      </w:r>
      <w:r w:rsidR="00546047">
        <w:rPr>
          <w:rFonts w:ascii="Calibri" w:eastAsia="Calibri" w:hAnsi="Calibri" w:cs="Calibri"/>
        </w:rPr>
        <w:t xml:space="preserve"> ČR</w:t>
      </w:r>
      <w:r w:rsidRPr="00E82ADD">
        <w:rPr>
          <w:vertAlign w:val="superscript"/>
        </w:rPr>
        <w:footnoteReference w:id="27"/>
      </w:r>
      <w:r w:rsidRPr="00904982">
        <w:rPr>
          <w:rFonts w:ascii="Calibri" w:eastAsia="Calibri" w:hAnsi="Calibri" w:cs="Calibri"/>
        </w:rPr>
        <w:t xml:space="preserve">, měl </w:t>
      </w:r>
      <w:r w:rsidR="009D3355">
        <w:rPr>
          <w:rFonts w:ascii="Calibri" w:eastAsia="Calibri" w:hAnsi="Calibri" w:cs="Calibri"/>
        </w:rPr>
        <w:t xml:space="preserve">činit za období let </w:t>
      </w:r>
      <w:r w:rsidR="00DF1F78">
        <w:rPr>
          <w:rFonts w:ascii="Calibri" w:eastAsia="Calibri" w:hAnsi="Calibri" w:cs="Calibri"/>
        </w:rPr>
        <w:t>2014–2020</w:t>
      </w:r>
      <w:r w:rsidR="009D3355" w:rsidRPr="00904982">
        <w:rPr>
          <w:rFonts w:ascii="Calibri" w:eastAsia="Calibri" w:hAnsi="Calibri" w:cs="Calibri"/>
        </w:rPr>
        <w:t xml:space="preserve"> </w:t>
      </w:r>
      <w:r w:rsidRPr="00904982">
        <w:rPr>
          <w:rFonts w:ascii="Calibri" w:eastAsia="Calibri" w:hAnsi="Calibri" w:cs="Calibri"/>
        </w:rPr>
        <w:t xml:space="preserve">celkem 20 PJ (39,5 %). </w:t>
      </w:r>
    </w:p>
    <w:p w14:paraId="77079364" w14:textId="77777777" w:rsidR="00FD0094" w:rsidRPr="00904982" w:rsidRDefault="00FD0094" w:rsidP="006C472F">
      <w:pPr>
        <w:pStyle w:val="Odstavecseseznamem"/>
        <w:spacing w:after="0" w:line="240" w:lineRule="auto"/>
        <w:ind w:left="624"/>
        <w:contextualSpacing w:val="0"/>
        <w:jc w:val="both"/>
        <w:rPr>
          <w:rFonts w:ascii="Calibri" w:eastAsia="Calibri" w:hAnsi="Calibri" w:cs="Calibri"/>
        </w:rPr>
      </w:pPr>
    </w:p>
    <w:p w14:paraId="21371718" w14:textId="392EBC9E" w:rsidR="005C6FB4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904982">
        <w:rPr>
          <w:rFonts w:ascii="Calibri" w:eastAsia="Calibri" w:hAnsi="Calibri" w:cs="Calibri"/>
        </w:rPr>
        <w:t>V roce 2017 vláda</w:t>
      </w:r>
      <w:r w:rsidR="003B2141">
        <w:rPr>
          <w:rFonts w:ascii="Calibri" w:eastAsia="Calibri" w:hAnsi="Calibri" w:cs="Calibri"/>
        </w:rPr>
        <w:t xml:space="preserve"> </w:t>
      </w:r>
      <w:r w:rsidR="00546047">
        <w:rPr>
          <w:rFonts w:ascii="Calibri" w:eastAsia="Calibri" w:hAnsi="Calibri" w:cs="Calibri"/>
        </w:rPr>
        <w:t>ČR</w:t>
      </w:r>
      <w:r w:rsidRPr="00904982">
        <w:rPr>
          <w:rFonts w:ascii="Calibri" w:eastAsia="Calibri" w:hAnsi="Calibri" w:cs="Calibri"/>
        </w:rPr>
        <w:t xml:space="preserve"> svým usnesením</w:t>
      </w:r>
      <w:r w:rsidRPr="00E82ADD">
        <w:rPr>
          <w:vertAlign w:val="superscript"/>
        </w:rPr>
        <w:footnoteReference w:id="28"/>
      </w:r>
      <w:r w:rsidRPr="00904982">
        <w:rPr>
          <w:rFonts w:ascii="Calibri" w:eastAsia="Calibri" w:hAnsi="Calibri" w:cs="Calibri"/>
        </w:rPr>
        <w:t xml:space="preserve"> </w:t>
      </w:r>
      <w:r w:rsidR="006B0BD3">
        <w:rPr>
          <w:rFonts w:ascii="Calibri" w:eastAsia="Calibri" w:hAnsi="Calibri" w:cs="Calibri"/>
        </w:rPr>
        <w:t xml:space="preserve">schválila aktualizaci </w:t>
      </w:r>
      <w:r w:rsidR="00BE36FF">
        <w:rPr>
          <w:rFonts w:ascii="Calibri" w:eastAsia="Calibri" w:hAnsi="Calibri" w:cs="Calibri"/>
        </w:rPr>
        <w:t>n</w:t>
      </w:r>
      <w:r w:rsidR="006B0BD3">
        <w:rPr>
          <w:rFonts w:ascii="Calibri" w:eastAsia="Calibri" w:hAnsi="Calibri" w:cs="Calibri"/>
        </w:rPr>
        <w:t xml:space="preserve">árodního akčního plánu energetické účinnosti ČR. Aktualizace navýšila cílovou hodnotu </w:t>
      </w:r>
      <w:r w:rsidRPr="00904982">
        <w:rPr>
          <w:rFonts w:ascii="Calibri" w:eastAsia="Calibri" w:hAnsi="Calibri" w:cs="Calibri"/>
        </w:rPr>
        <w:t xml:space="preserve">podle článku 7 směrnice o energetické účinnosti na 51,5 PJ a zároveň snížila příspěvek </w:t>
      </w:r>
      <w:r w:rsidR="00153853">
        <w:rPr>
          <w:rFonts w:ascii="Calibri" w:eastAsia="Calibri" w:hAnsi="Calibri" w:cs="Calibri"/>
        </w:rPr>
        <w:t>OP PIK</w:t>
      </w:r>
      <w:r w:rsidRPr="00904982">
        <w:rPr>
          <w:rFonts w:ascii="Calibri" w:eastAsia="Calibri" w:hAnsi="Calibri" w:cs="Calibri"/>
        </w:rPr>
        <w:t xml:space="preserve"> k </w:t>
      </w:r>
      <w:r w:rsidR="006B0BD3">
        <w:rPr>
          <w:rFonts w:ascii="Calibri" w:eastAsia="Calibri" w:hAnsi="Calibri" w:cs="Calibri"/>
        </w:rPr>
        <w:t>této cílové hodnotě</w:t>
      </w:r>
      <w:r w:rsidRPr="00904982">
        <w:rPr>
          <w:rFonts w:ascii="Calibri" w:eastAsia="Calibri" w:hAnsi="Calibri" w:cs="Calibri"/>
        </w:rPr>
        <w:t xml:space="preserve"> na 9,62 PJ (18,7 %). Důvodem pro snížení příspěvku </w:t>
      </w:r>
      <w:r w:rsidR="00153853">
        <w:rPr>
          <w:rFonts w:ascii="Calibri" w:eastAsia="Calibri" w:hAnsi="Calibri" w:cs="Calibri"/>
        </w:rPr>
        <w:t>OP PIK</w:t>
      </w:r>
      <w:r w:rsidRPr="00904982">
        <w:rPr>
          <w:rFonts w:ascii="Calibri" w:eastAsia="Calibri" w:hAnsi="Calibri" w:cs="Calibri"/>
        </w:rPr>
        <w:t xml:space="preserve"> k </w:t>
      </w:r>
      <w:r w:rsidR="006B0BD3">
        <w:rPr>
          <w:rFonts w:ascii="Calibri" w:eastAsia="Calibri" w:hAnsi="Calibri" w:cs="Calibri"/>
        </w:rPr>
        <w:t>navýšené cílové hodnotě</w:t>
      </w:r>
      <w:r w:rsidRPr="00904982">
        <w:rPr>
          <w:rFonts w:ascii="Calibri" w:eastAsia="Calibri" w:hAnsi="Calibri" w:cs="Calibri"/>
        </w:rPr>
        <w:t xml:space="preserve"> byl stav realizace </w:t>
      </w:r>
      <w:r w:rsidR="00153853">
        <w:rPr>
          <w:rFonts w:ascii="Calibri" w:eastAsia="Calibri" w:hAnsi="Calibri" w:cs="Calibri"/>
        </w:rPr>
        <w:t>OP PIK</w:t>
      </w:r>
      <w:r w:rsidRPr="00904982">
        <w:rPr>
          <w:rFonts w:ascii="Calibri" w:eastAsia="Calibri" w:hAnsi="Calibri" w:cs="Calibri"/>
        </w:rPr>
        <w:t xml:space="preserve">, kdy byly v programu podpory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904982">
        <w:rPr>
          <w:rFonts w:ascii="Calibri" w:eastAsia="Calibri" w:hAnsi="Calibri" w:cs="Calibri"/>
        </w:rPr>
        <w:t xml:space="preserve"> realizovány teprve projekty z prvních výzev, které ještě nevykazovaly úspory energie. </w:t>
      </w:r>
    </w:p>
    <w:p w14:paraId="7EA93B58" w14:textId="77777777" w:rsidR="00FD0094" w:rsidRPr="00904982" w:rsidRDefault="00FD0094" w:rsidP="005D024F">
      <w:pPr>
        <w:pStyle w:val="Odstavecseseznamem"/>
        <w:spacing w:after="0" w:line="240" w:lineRule="auto"/>
        <w:ind w:left="0"/>
        <w:contextualSpacing w:val="0"/>
        <w:jc w:val="both"/>
        <w:rPr>
          <w:rFonts w:ascii="Calibri" w:eastAsia="Calibri" w:hAnsi="Calibri" w:cs="Calibri"/>
        </w:rPr>
      </w:pPr>
    </w:p>
    <w:p w14:paraId="597DB08F" w14:textId="5106C7B3" w:rsidR="005C6FB4" w:rsidRDefault="005C6FB4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904982">
        <w:rPr>
          <w:rFonts w:ascii="Calibri" w:eastAsia="Calibri" w:hAnsi="Calibri" w:cs="Calibri"/>
        </w:rPr>
        <w:t xml:space="preserve">V roce 2020 dosáhly roční úspory energie 48,5 PJ a závazný cíl tak </w:t>
      </w:r>
      <w:r w:rsidR="004A0879">
        <w:rPr>
          <w:rFonts w:ascii="Calibri" w:eastAsia="Calibri" w:hAnsi="Calibri" w:cs="Calibri"/>
        </w:rPr>
        <w:t>nebyl splněn</w:t>
      </w:r>
      <w:r w:rsidRPr="00904982">
        <w:rPr>
          <w:rFonts w:ascii="Calibri" w:eastAsia="Calibri" w:hAnsi="Calibri" w:cs="Calibri"/>
        </w:rPr>
        <w:t xml:space="preserve">. Jedním z důvodů byl nízký příspěvek </w:t>
      </w:r>
      <w:r w:rsidR="00153853">
        <w:rPr>
          <w:rFonts w:ascii="Calibri" w:eastAsia="Calibri" w:hAnsi="Calibri" w:cs="Calibri"/>
        </w:rPr>
        <w:t>OP PIK</w:t>
      </w:r>
      <w:r w:rsidRPr="00904982">
        <w:rPr>
          <w:rFonts w:ascii="Calibri" w:eastAsia="Calibri" w:hAnsi="Calibri" w:cs="Calibri"/>
        </w:rPr>
        <w:t xml:space="preserve"> k tomuto cíli, který koncem roku 2020 dosáhl 3,09</w:t>
      </w:r>
      <w:r w:rsidR="007A6BCF">
        <w:rPr>
          <w:rFonts w:ascii="Calibri" w:eastAsia="Calibri" w:hAnsi="Calibri" w:cs="Calibri"/>
        </w:rPr>
        <w:t> </w:t>
      </w:r>
      <w:r w:rsidRPr="00904982">
        <w:rPr>
          <w:rFonts w:ascii="Calibri" w:eastAsia="Calibri" w:hAnsi="Calibri" w:cs="Calibri"/>
        </w:rPr>
        <w:t>PJ</w:t>
      </w:r>
      <w:r w:rsidR="00692D80">
        <w:rPr>
          <w:rFonts w:ascii="Calibri" w:eastAsia="Calibri" w:hAnsi="Calibri" w:cs="Calibri"/>
        </w:rPr>
        <w:t xml:space="preserve"> (6 % z plánovaných úspor)</w:t>
      </w:r>
      <w:r w:rsidRPr="00904982">
        <w:rPr>
          <w:rFonts w:ascii="Calibri" w:eastAsia="Calibri" w:hAnsi="Calibri" w:cs="Calibri"/>
        </w:rPr>
        <w:t xml:space="preserve">, </w:t>
      </w:r>
      <w:r w:rsidR="00692D80">
        <w:rPr>
          <w:rFonts w:ascii="Calibri" w:eastAsia="Calibri" w:hAnsi="Calibri" w:cs="Calibri"/>
        </w:rPr>
        <w:t>což činilo</w:t>
      </w:r>
      <w:r w:rsidRPr="00904982">
        <w:rPr>
          <w:rFonts w:ascii="Calibri" w:eastAsia="Calibri" w:hAnsi="Calibri" w:cs="Calibri"/>
        </w:rPr>
        <w:t xml:space="preserve"> cca </w:t>
      </w:r>
      <w:r w:rsidR="005D024F">
        <w:rPr>
          <w:rFonts w:ascii="Calibri" w:eastAsia="Calibri" w:hAnsi="Calibri" w:cs="Calibri"/>
        </w:rPr>
        <w:t>⅓</w:t>
      </w:r>
      <w:r w:rsidRPr="00904982">
        <w:rPr>
          <w:rFonts w:ascii="Calibri" w:eastAsia="Calibri" w:hAnsi="Calibri" w:cs="Calibri"/>
        </w:rPr>
        <w:t xml:space="preserve"> již sníženého plánovaného příspěvku</w:t>
      </w:r>
      <w:r w:rsidRPr="00E82ADD">
        <w:rPr>
          <w:vertAlign w:val="superscript"/>
        </w:rPr>
        <w:footnoteReference w:id="29"/>
      </w:r>
      <w:r w:rsidRPr="00904982">
        <w:rPr>
          <w:rFonts w:ascii="Calibri" w:eastAsia="Calibri" w:hAnsi="Calibri" w:cs="Calibri"/>
        </w:rPr>
        <w:t xml:space="preserve">. </w:t>
      </w:r>
    </w:p>
    <w:p w14:paraId="2CB8A30E" w14:textId="77777777" w:rsidR="00693CD7" w:rsidRDefault="00693CD7" w:rsidP="006C472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661C14DD" w14:textId="26D2B360" w:rsidR="00874808" w:rsidRPr="00874808" w:rsidRDefault="00874808" w:rsidP="00C1140E">
      <w:pPr>
        <w:keepNext/>
        <w:spacing w:after="0" w:line="240" w:lineRule="auto"/>
        <w:rPr>
          <w:rFonts w:ascii="Calibri" w:eastAsia="Calibri" w:hAnsi="Calibri" w:cs="Calibri"/>
          <w:b/>
          <w:bCs/>
        </w:rPr>
      </w:pPr>
      <w:r w:rsidRPr="00874808">
        <w:rPr>
          <w:rFonts w:ascii="Calibri" w:eastAsia="Calibri" w:hAnsi="Calibri" w:cs="Calibri"/>
          <w:b/>
          <w:bCs/>
        </w:rPr>
        <w:t xml:space="preserve">Nízký zájem o podporu </w:t>
      </w:r>
      <w:r w:rsidR="004E0025">
        <w:rPr>
          <w:rFonts w:ascii="Calibri" w:eastAsia="Calibri" w:hAnsi="Calibri" w:cs="Calibri"/>
          <w:b/>
          <w:bCs/>
        </w:rPr>
        <w:t xml:space="preserve">opatření </w:t>
      </w:r>
      <w:r w:rsidRPr="00874808">
        <w:rPr>
          <w:rFonts w:ascii="Calibri" w:eastAsia="Calibri" w:hAnsi="Calibri" w:cs="Calibri"/>
          <w:b/>
          <w:bCs/>
        </w:rPr>
        <w:t xml:space="preserve">na úspory energie z </w:t>
      </w:r>
      <w:r w:rsidR="00153853">
        <w:rPr>
          <w:rFonts w:ascii="Calibri" w:eastAsia="Calibri" w:hAnsi="Calibri" w:cs="Calibri"/>
          <w:b/>
          <w:bCs/>
        </w:rPr>
        <w:t>OP PIK</w:t>
      </w:r>
    </w:p>
    <w:p w14:paraId="2E22C189" w14:textId="77777777" w:rsidR="00904982" w:rsidRPr="00904982" w:rsidRDefault="00904982" w:rsidP="00646ACA">
      <w:pPr>
        <w:pStyle w:val="Odstavecseseznamem"/>
        <w:keepNext/>
        <w:spacing w:after="0" w:line="240" w:lineRule="auto"/>
        <w:ind w:left="0"/>
        <w:contextualSpacing w:val="0"/>
        <w:rPr>
          <w:rFonts w:ascii="Calibri" w:eastAsia="Calibri" w:hAnsi="Calibri" w:cs="Calibri"/>
        </w:rPr>
      </w:pPr>
    </w:p>
    <w:p w14:paraId="16D98ED6" w14:textId="5CCA3F7A" w:rsidR="00874808" w:rsidRDefault="00874808" w:rsidP="006C472F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874808">
        <w:rPr>
          <w:rFonts w:ascii="Calibri" w:eastAsia="Calibri" w:hAnsi="Calibri" w:cs="Calibri"/>
        </w:rPr>
        <w:t xml:space="preserve">Program podpory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874808">
        <w:rPr>
          <w:rFonts w:ascii="Calibri" w:eastAsia="Calibri" w:hAnsi="Calibri" w:cs="Calibri"/>
        </w:rPr>
        <w:t xml:space="preserve"> </w:t>
      </w:r>
      <w:r w:rsidR="00153853">
        <w:rPr>
          <w:rFonts w:ascii="Calibri" w:eastAsia="Calibri" w:hAnsi="Calibri" w:cs="Calibri"/>
        </w:rPr>
        <w:t>OP PIK</w:t>
      </w:r>
      <w:r w:rsidRPr="00874808">
        <w:rPr>
          <w:rFonts w:ascii="Calibri" w:eastAsia="Calibri" w:hAnsi="Calibri" w:cs="Calibri"/>
        </w:rPr>
        <w:t xml:space="preserve"> podporoval snížení energetické náročnosti podnikatelského sektoru</w:t>
      </w:r>
      <w:r w:rsidRPr="00A90BF2">
        <w:rPr>
          <w:rFonts w:ascii="Calibri" w:eastAsia="Calibri" w:hAnsi="Calibri" w:cs="Calibri"/>
        </w:rPr>
        <w:t xml:space="preserve">. </w:t>
      </w:r>
      <w:r w:rsidR="00066F94" w:rsidRPr="00A90BF2">
        <w:rPr>
          <w:rFonts w:ascii="Calibri" w:eastAsia="Calibri" w:hAnsi="Calibri" w:cs="Calibri"/>
        </w:rPr>
        <w:t xml:space="preserve">Původní </w:t>
      </w:r>
      <w:r w:rsidR="007B3B11" w:rsidRPr="00A90BF2">
        <w:rPr>
          <w:rFonts w:ascii="Calibri" w:eastAsia="Calibri" w:hAnsi="Calibri" w:cs="Calibri"/>
        </w:rPr>
        <w:t xml:space="preserve">výše peněžních prostředků vyčleněných na program </w:t>
      </w:r>
      <w:r w:rsidR="007B3B11" w:rsidRPr="00A90BF2">
        <w:rPr>
          <w:rFonts w:ascii="Calibri" w:eastAsia="Calibri" w:hAnsi="Calibri" w:cs="Calibri"/>
        </w:rPr>
        <w:lastRenderedPageBreak/>
        <w:t>činila 20,5</w:t>
      </w:r>
      <w:r w:rsidR="005D024F">
        <w:rPr>
          <w:rFonts w:ascii="Calibri" w:eastAsia="Calibri" w:hAnsi="Calibri" w:cs="Calibri"/>
        </w:rPr>
        <w:t> </w:t>
      </w:r>
      <w:r w:rsidR="007B3B11" w:rsidRPr="00A90BF2">
        <w:rPr>
          <w:rFonts w:ascii="Calibri" w:eastAsia="Calibri" w:hAnsi="Calibri" w:cs="Calibri"/>
        </w:rPr>
        <w:t>mld.</w:t>
      </w:r>
      <w:r w:rsidR="005D024F">
        <w:rPr>
          <w:rFonts w:ascii="Calibri" w:eastAsia="Calibri" w:hAnsi="Calibri" w:cs="Calibri"/>
        </w:rPr>
        <w:t> </w:t>
      </w:r>
      <w:r w:rsidR="007B3B11" w:rsidRPr="00A90BF2">
        <w:rPr>
          <w:rFonts w:ascii="Calibri" w:eastAsia="Calibri" w:hAnsi="Calibri" w:cs="Calibri"/>
        </w:rPr>
        <w:t xml:space="preserve">Kč. </w:t>
      </w:r>
      <w:r w:rsidRPr="00A90BF2">
        <w:rPr>
          <w:rFonts w:ascii="Calibri" w:eastAsia="Calibri" w:hAnsi="Calibri" w:cs="Calibri"/>
        </w:rPr>
        <w:t>Do poloviny roku 2018 bylo vyhlášeno celkem pět výzev</w:t>
      </w:r>
      <w:r w:rsidRPr="00A90BF2">
        <w:rPr>
          <w:vertAlign w:val="superscript"/>
        </w:rPr>
        <w:footnoteReference w:id="30"/>
      </w:r>
      <w:r w:rsidRPr="00A90BF2">
        <w:rPr>
          <w:rFonts w:ascii="Calibri" w:eastAsia="Calibri" w:hAnsi="Calibri" w:cs="Calibri"/>
        </w:rPr>
        <w:t>, které ale provázel nízký zájem o podporu,</w:t>
      </w:r>
      <w:r w:rsidRPr="00874808">
        <w:rPr>
          <w:rFonts w:ascii="Calibri" w:eastAsia="Calibri" w:hAnsi="Calibri" w:cs="Calibri"/>
        </w:rPr>
        <w:t xml:space="preserve"> v jehož důsledku snížilo MPO alokaci programu o</w:t>
      </w:r>
      <w:r w:rsidR="005D024F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cca</w:t>
      </w:r>
      <w:r w:rsidR="005D024F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3</w:t>
      </w:r>
      <w:r w:rsidR="007A6BCF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mld.</w:t>
      </w:r>
      <w:r w:rsidR="005D024F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 xml:space="preserve">Kč. </w:t>
      </w:r>
      <w:r w:rsidR="007B3B11">
        <w:rPr>
          <w:rFonts w:ascii="Calibri" w:eastAsia="Calibri" w:hAnsi="Calibri" w:cs="Calibri"/>
        </w:rPr>
        <w:t xml:space="preserve">Dalším důvodem nízkého čerpání </w:t>
      </w:r>
      <w:r w:rsidR="00186F82">
        <w:rPr>
          <w:rFonts w:ascii="Calibri" w:eastAsia="Calibri" w:hAnsi="Calibri" w:cs="Calibri"/>
        </w:rPr>
        <w:t>alokovaných prostředků byla skutečnost, že více než 50</w:t>
      </w:r>
      <w:r w:rsidR="005D024F">
        <w:rPr>
          <w:rFonts w:ascii="Calibri" w:eastAsia="Calibri" w:hAnsi="Calibri" w:cs="Calibri"/>
        </w:rPr>
        <w:t> </w:t>
      </w:r>
      <w:r w:rsidR="00186F82">
        <w:rPr>
          <w:rFonts w:ascii="Calibri" w:eastAsia="Calibri" w:hAnsi="Calibri" w:cs="Calibri"/>
        </w:rPr>
        <w:t>% projektů nesplnilo věcná kritéria</w:t>
      </w:r>
      <w:r w:rsidR="00F13B06">
        <w:rPr>
          <w:rFonts w:ascii="Calibri" w:eastAsia="Calibri" w:hAnsi="Calibri" w:cs="Calibri"/>
        </w:rPr>
        <w:t xml:space="preserve"> hodnocení žádostí. </w:t>
      </w:r>
      <w:r w:rsidRPr="00874808">
        <w:rPr>
          <w:rFonts w:ascii="Calibri" w:eastAsia="Calibri" w:hAnsi="Calibri" w:cs="Calibri"/>
        </w:rPr>
        <w:t>Pro zvýšení zájmu o</w:t>
      </w:r>
      <w:r w:rsidR="007A6BCF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 xml:space="preserve">podporu </w:t>
      </w:r>
      <w:r w:rsidR="005D024F" w:rsidRPr="00874808">
        <w:rPr>
          <w:rFonts w:ascii="Calibri" w:eastAsia="Calibri" w:hAnsi="Calibri" w:cs="Calibri"/>
        </w:rPr>
        <w:t xml:space="preserve">přistoupilo </w:t>
      </w:r>
      <w:r w:rsidRPr="00874808">
        <w:rPr>
          <w:rFonts w:ascii="Calibri" w:eastAsia="Calibri" w:hAnsi="Calibri" w:cs="Calibri"/>
        </w:rPr>
        <w:t>MPO pro další tři výzvy</w:t>
      </w:r>
      <w:r w:rsidRPr="00E82ADD">
        <w:rPr>
          <w:vertAlign w:val="superscript"/>
        </w:rPr>
        <w:footnoteReference w:id="31"/>
      </w:r>
      <w:r w:rsidRPr="00874808">
        <w:rPr>
          <w:rFonts w:ascii="Calibri" w:eastAsia="Calibri" w:hAnsi="Calibri" w:cs="Calibri"/>
        </w:rPr>
        <w:t xml:space="preserve"> ke snížení bodové hranice přijatelnosti projektů k podpoře ze 60 bodů na 50. Mezi hlavní kritéria pro výběr projektů patřilo</w:t>
      </w:r>
      <w:r w:rsidR="003718D8">
        <w:rPr>
          <w:rFonts w:ascii="Calibri" w:eastAsia="Calibri" w:hAnsi="Calibri" w:cs="Calibri"/>
        </w:rPr>
        <w:t>:</w:t>
      </w:r>
      <w:r w:rsidRPr="00874808">
        <w:rPr>
          <w:rFonts w:ascii="Calibri" w:eastAsia="Calibri" w:hAnsi="Calibri" w:cs="Calibri"/>
          <w:i/>
          <w:iCs/>
        </w:rPr>
        <w:t xml:space="preserve"> </w:t>
      </w:r>
      <w:r w:rsidR="003718D8" w:rsidRPr="003718D8">
        <w:rPr>
          <w:rFonts w:ascii="Calibri" w:eastAsia="Calibri" w:hAnsi="Calibri" w:cs="Calibri"/>
        </w:rPr>
        <w:t>„…</w:t>
      </w:r>
      <w:r w:rsidR="003718D8">
        <w:rPr>
          <w:rFonts w:ascii="Calibri" w:eastAsia="Calibri" w:hAnsi="Calibri" w:cs="Calibri"/>
          <w:i/>
          <w:iCs/>
        </w:rPr>
        <w:t> </w:t>
      </w:r>
      <w:r w:rsidRPr="00874808">
        <w:rPr>
          <w:rFonts w:ascii="Calibri" w:eastAsia="Calibri" w:hAnsi="Calibri" w:cs="Calibri"/>
          <w:i/>
          <w:iCs/>
        </w:rPr>
        <w:t xml:space="preserve">prokázání trvalé úspory spotřeby energie, </w:t>
      </w:r>
      <w:proofErr w:type="spellStart"/>
      <w:r w:rsidRPr="00874808">
        <w:rPr>
          <w:rFonts w:ascii="Calibri" w:eastAsia="Calibri" w:hAnsi="Calibri" w:cs="Calibri"/>
          <w:i/>
          <w:iCs/>
        </w:rPr>
        <w:t>klimaticko</w:t>
      </w:r>
      <w:proofErr w:type="spellEnd"/>
      <w:r w:rsidRPr="00874808">
        <w:rPr>
          <w:rFonts w:ascii="Calibri" w:eastAsia="Calibri" w:hAnsi="Calibri" w:cs="Calibri"/>
          <w:i/>
          <w:iCs/>
        </w:rPr>
        <w:t xml:space="preserve"> – energetické přínosy a měrný způsobilý výdaj na roční úsporu 1</w:t>
      </w:r>
      <w:r w:rsidR="00F51E8B">
        <w:rPr>
          <w:rFonts w:ascii="Calibri" w:eastAsia="Calibri" w:hAnsi="Calibri" w:cs="Calibri"/>
          <w:i/>
          <w:iCs/>
        </w:rPr>
        <w:t> </w:t>
      </w:r>
      <w:r w:rsidRPr="00874808">
        <w:rPr>
          <w:rFonts w:ascii="Calibri" w:eastAsia="Calibri" w:hAnsi="Calibri" w:cs="Calibri"/>
          <w:i/>
          <w:iCs/>
        </w:rPr>
        <w:t>GJ</w:t>
      </w:r>
      <w:r w:rsidR="003718D8">
        <w:rPr>
          <w:rFonts w:ascii="Calibri" w:eastAsia="Calibri" w:hAnsi="Calibri" w:cs="Calibri"/>
        </w:rPr>
        <w:t>“</w:t>
      </w:r>
      <w:r w:rsidRPr="00E82ADD">
        <w:rPr>
          <w:vertAlign w:val="superscript"/>
        </w:rPr>
        <w:footnoteReference w:id="32"/>
      </w:r>
      <w:r w:rsidRPr="00874808">
        <w:rPr>
          <w:rFonts w:ascii="Calibri" w:eastAsia="Calibri" w:hAnsi="Calibri" w:cs="Calibri"/>
        </w:rPr>
        <w:t>.</w:t>
      </w:r>
      <w:r w:rsidR="005C4EB3">
        <w:rPr>
          <w:rFonts w:ascii="Calibri" w:eastAsia="Calibri" w:hAnsi="Calibri" w:cs="Calibri"/>
        </w:rPr>
        <w:t>Tato h</w:t>
      </w:r>
      <w:r w:rsidRPr="00874808">
        <w:rPr>
          <w:rFonts w:ascii="Calibri" w:eastAsia="Calibri" w:hAnsi="Calibri" w:cs="Calibri"/>
        </w:rPr>
        <w:t>odnot</w:t>
      </w:r>
      <w:r w:rsidR="005D024F">
        <w:rPr>
          <w:rFonts w:ascii="Calibri" w:eastAsia="Calibri" w:hAnsi="Calibri" w:cs="Calibri"/>
        </w:rPr>
        <w:t>i</w:t>
      </w:r>
      <w:r w:rsidRPr="00874808">
        <w:rPr>
          <w:rFonts w:ascii="Calibri" w:eastAsia="Calibri" w:hAnsi="Calibri" w:cs="Calibri"/>
        </w:rPr>
        <w:t>cí kritéri</w:t>
      </w:r>
      <w:r w:rsidR="005C4EB3">
        <w:rPr>
          <w:rFonts w:ascii="Calibri" w:eastAsia="Calibri" w:hAnsi="Calibri" w:cs="Calibri"/>
        </w:rPr>
        <w:t>a</w:t>
      </w:r>
      <w:r w:rsidRPr="00874808">
        <w:rPr>
          <w:rFonts w:ascii="Calibri" w:eastAsia="Calibri" w:hAnsi="Calibri" w:cs="Calibri"/>
        </w:rPr>
        <w:t xml:space="preserve"> MPO nijak neupravovalo. Snížením bodové hranice přijatelnosti bylo podpořeno celkem 1 031</w:t>
      </w:r>
      <w:r w:rsidR="0017515A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projektů, což je více než 50 % všech projektů v těchto třech výzvách (2 017</w:t>
      </w:r>
      <w:r w:rsidR="0017515A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projektů). Snížením bodové hranice MPO zajistilo vyšší realizovaný počet projektů, které však přinášely nižší úspory než projekty s vyšším bodovým hodnocením.</w:t>
      </w:r>
    </w:p>
    <w:p w14:paraId="63603D2F" w14:textId="77777777" w:rsidR="00FD0094" w:rsidRPr="00874808" w:rsidRDefault="00FD0094" w:rsidP="006C472F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33495DFE" w14:textId="4CDBC70B" w:rsidR="00874808" w:rsidRDefault="00874808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4808">
        <w:rPr>
          <w:rFonts w:ascii="Calibri" w:eastAsia="Calibri" w:hAnsi="Calibri" w:cs="Calibri"/>
        </w:rPr>
        <w:t xml:space="preserve">V roce 2021 dosáhla úspora spotřeby energie u podpořených projektů celkem </w:t>
      </w:r>
      <w:r w:rsidR="00182BCB">
        <w:rPr>
          <w:rFonts w:ascii="Calibri" w:eastAsia="Calibri" w:hAnsi="Calibri" w:cs="Calibri"/>
        </w:rPr>
        <w:t>2,1</w:t>
      </w:r>
      <w:r w:rsidR="003718D8">
        <w:rPr>
          <w:rFonts w:ascii="Calibri" w:eastAsia="Calibri" w:hAnsi="Calibri" w:cs="Calibri"/>
        </w:rPr>
        <w:t> </w:t>
      </w:r>
      <w:r w:rsidR="00182BCB">
        <w:rPr>
          <w:rFonts w:ascii="Calibri" w:eastAsia="Calibri" w:hAnsi="Calibri" w:cs="Calibri"/>
        </w:rPr>
        <w:t>PJ</w:t>
      </w:r>
      <w:r w:rsidRPr="00874808">
        <w:rPr>
          <w:rFonts w:ascii="Calibri" w:eastAsia="Calibri" w:hAnsi="Calibri" w:cs="Calibri"/>
        </w:rPr>
        <w:t>, což činí 0,5</w:t>
      </w:r>
      <w:r w:rsidR="003718D8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% z celkové čisté konečné spotřeb</w:t>
      </w:r>
      <w:r w:rsidR="005223D8">
        <w:rPr>
          <w:rFonts w:ascii="Calibri" w:eastAsia="Calibri" w:hAnsi="Calibri" w:cs="Calibri"/>
        </w:rPr>
        <w:t>y</w:t>
      </w:r>
      <w:r w:rsidRPr="00874808">
        <w:rPr>
          <w:rFonts w:ascii="Calibri" w:eastAsia="Calibri" w:hAnsi="Calibri" w:cs="Calibri"/>
        </w:rPr>
        <w:t xml:space="preserve"> energie v průmyslu a ve službách ve výši </w:t>
      </w:r>
      <w:r w:rsidR="00182BCB">
        <w:rPr>
          <w:rFonts w:ascii="Calibri" w:eastAsia="Calibri" w:hAnsi="Calibri" w:cs="Calibri"/>
        </w:rPr>
        <w:t>417,7</w:t>
      </w:r>
      <w:r w:rsidR="003718D8">
        <w:rPr>
          <w:rFonts w:ascii="Calibri" w:eastAsia="Calibri" w:hAnsi="Calibri" w:cs="Calibri"/>
        </w:rPr>
        <w:t> </w:t>
      </w:r>
      <w:r w:rsidR="00182BCB">
        <w:rPr>
          <w:rFonts w:ascii="Calibri" w:eastAsia="Calibri" w:hAnsi="Calibri" w:cs="Calibri"/>
        </w:rPr>
        <w:t>PJ</w:t>
      </w:r>
      <w:r w:rsidRPr="00874808">
        <w:rPr>
          <w:rFonts w:ascii="Calibri" w:eastAsia="Calibri" w:hAnsi="Calibri" w:cs="Calibri"/>
        </w:rPr>
        <w:t>. Ke dni 20.</w:t>
      </w:r>
      <w:r w:rsidR="00C1140E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 xml:space="preserve">května 2025 tato hodnota vzrostla na </w:t>
      </w:r>
      <w:r w:rsidR="00182BCB">
        <w:rPr>
          <w:rFonts w:ascii="Calibri" w:eastAsia="Calibri" w:hAnsi="Calibri" w:cs="Calibri"/>
        </w:rPr>
        <w:t>4,6</w:t>
      </w:r>
      <w:r w:rsidR="003718D8">
        <w:rPr>
          <w:rFonts w:ascii="Calibri" w:eastAsia="Calibri" w:hAnsi="Calibri" w:cs="Calibri"/>
        </w:rPr>
        <w:t> </w:t>
      </w:r>
      <w:r w:rsidR="00182BCB">
        <w:rPr>
          <w:rFonts w:ascii="Calibri" w:eastAsia="Calibri" w:hAnsi="Calibri" w:cs="Calibri"/>
        </w:rPr>
        <w:t>PJ</w:t>
      </w:r>
      <w:r w:rsidRPr="00874808">
        <w:rPr>
          <w:rFonts w:ascii="Calibri" w:eastAsia="Calibri" w:hAnsi="Calibri" w:cs="Calibri"/>
        </w:rPr>
        <w:t xml:space="preserve">, a to z důvodu </w:t>
      </w:r>
      <w:r w:rsidR="001D00B1">
        <w:rPr>
          <w:rFonts w:ascii="Calibri" w:eastAsia="Calibri" w:hAnsi="Calibri" w:cs="Calibri"/>
        </w:rPr>
        <w:t xml:space="preserve">postupného nabíhání přínosů </w:t>
      </w:r>
      <w:r w:rsidRPr="00874808">
        <w:rPr>
          <w:rFonts w:ascii="Calibri" w:eastAsia="Calibri" w:hAnsi="Calibri" w:cs="Calibri"/>
        </w:rPr>
        <w:t>projektů</w:t>
      </w:r>
      <w:r w:rsidR="001D00B1">
        <w:rPr>
          <w:rFonts w:ascii="Calibri" w:eastAsia="Calibri" w:hAnsi="Calibri" w:cs="Calibri"/>
        </w:rPr>
        <w:t xml:space="preserve"> v době udržitelnosti</w:t>
      </w:r>
      <w:r w:rsidRPr="00874808">
        <w:rPr>
          <w:rFonts w:ascii="Calibri" w:eastAsia="Calibri" w:hAnsi="Calibri" w:cs="Calibri"/>
        </w:rPr>
        <w:t xml:space="preserve">. Celkově tak podpora </w:t>
      </w:r>
      <w:r w:rsidR="00A90BF2">
        <w:rPr>
          <w:rFonts w:ascii="Calibri" w:eastAsia="Calibri" w:hAnsi="Calibri" w:cs="Calibri"/>
        </w:rPr>
        <w:t xml:space="preserve">poskytnutá </w:t>
      </w:r>
      <w:r w:rsidRPr="00874808">
        <w:rPr>
          <w:rFonts w:ascii="Calibri" w:eastAsia="Calibri" w:hAnsi="Calibri" w:cs="Calibri"/>
        </w:rPr>
        <w:t>v objemu 13,</w:t>
      </w:r>
      <w:r w:rsidR="005223D8">
        <w:rPr>
          <w:rFonts w:ascii="Calibri" w:eastAsia="Calibri" w:hAnsi="Calibri" w:cs="Calibri"/>
        </w:rPr>
        <w:t>9</w:t>
      </w:r>
      <w:r w:rsidR="00C1140E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mld.</w:t>
      </w:r>
      <w:r w:rsidR="00C1140E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Kč měla zanedbatelný vliv na spotřebu energie v průmyslu a ve službách</w:t>
      </w:r>
      <w:r w:rsidR="001218AD">
        <w:rPr>
          <w:rFonts w:ascii="Calibri" w:eastAsia="Calibri" w:hAnsi="Calibri" w:cs="Calibri"/>
        </w:rPr>
        <w:t xml:space="preserve">, protože přinesla úsporu ve výši </w:t>
      </w:r>
      <w:r w:rsidR="001218AD" w:rsidRPr="00874808">
        <w:rPr>
          <w:rFonts w:ascii="Calibri" w:eastAsia="Calibri" w:hAnsi="Calibri" w:cs="Calibri"/>
        </w:rPr>
        <w:t>1</w:t>
      </w:r>
      <w:r w:rsidR="000553E7">
        <w:rPr>
          <w:rFonts w:ascii="Calibri" w:eastAsia="Calibri" w:hAnsi="Calibri" w:cs="Calibri"/>
        </w:rPr>
        <w:t>,1</w:t>
      </w:r>
      <w:r w:rsidR="00C1140E">
        <w:rPr>
          <w:rFonts w:ascii="Calibri" w:eastAsia="Calibri" w:hAnsi="Calibri" w:cs="Calibri"/>
        </w:rPr>
        <w:t> </w:t>
      </w:r>
      <w:r w:rsidR="001218AD" w:rsidRPr="00874808">
        <w:rPr>
          <w:rFonts w:ascii="Calibri" w:eastAsia="Calibri" w:hAnsi="Calibri" w:cs="Calibri"/>
        </w:rPr>
        <w:t xml:space="preserve">% </w:t>
      </w:r>
      <w:r w:rsidR="001218AD">
        <w:rPr>
          <w:rFonts w:ascii="Calibri" w:eastAsia="Calibri" w:hAnsi="Calibri" w:cs="Calibri"/>
        </w:rPr>
        <w:t>z konečné spotřeby ČR v průmyslu a službách v roce 2021.</w:t>
      </w:r>
    </w:p>
    <w:p w14:paraId="1244CE7A" w14:textId="77777777" w:rsidR="00874808" w:rsidRDefault="00874808" w:rsidP="00140DDD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3942EA94" w14:textId="65C5A790" w:rsidR="00874808" w:rsidRDefault="00022FB5" w:rsidP="00C1140E">
      <w:pPr>
        <w:keepNext/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Podpora </w:t>
      </w:r>
      <w:r w:rsidR="00153853">
        <w:rPr>
          <w:rFonts w:ascii="Calibri" w:eastAsia="Calibri" w:hAnsi="Calibri" w:cs="Calibri"/>
          <w:b/>
          <w:bCs/>
        </w:rPr>
        <w:t>OP PIK</w:t>
      </w:r>
      <w:r>
        <w:rPr>
          <w:rFonts w:ascii="Calibri" w:eastAsia="Calibri" w:hAnsi="Calibri" w:cs="Calibri"/>
          <w:b/>
          <w:bCs/>
        </w:rPr>
        <w:t xml:space="preserve"> vedla k dosažení plánovaného instalovaného v</w:t>
      </w:r>
      <w:r w:rsidR="00712314">
        <w:rPr>
          <w:rFonts w:ascii="Calibri" w:eastAsia="Calibri" w:hAnsi="Calibri" w:cs="Calibri"/>
          <w:b/>
          <w:bCs/>
        </w:rPr>
        <w:t>ý</w:t>
      </w:r>
      <w:r>
        <w:rPr>
          <w:rFonts w:ascii="Calibri" w:eastAsia="Calibri" w:hAnsi="Calibri" w:cs="Calibri"/>
          <w:b/>
          <w:bCs/>
        </w:rPr>
        <w:t>konu výroby energie z obnovitelných zdrojů energie</w:t>
      </w:r>
    </w:p>
    <w:p w14:paraId="729AA4BA" w14:textId="77777777" w:rsidR="00082099" w:rsidRPr="00874808" w:rsidRDefault="00082099" w:rsidP="00C1140E">
      <w:pPr>
        <w:keepNext/>
        <w:spacing w:after="0" w:line="240" w:lineRule="auto"/>
        <w:jc w:val="both"/>
        <w:rPr>
          <w:rFonts w:ascii="Calibri" w:eastAsia="Calibri" w:hAnsi="Calibri" w:cs="Calibri"/>
        </w:rPr>
      </w:pPr>
    </w:p>
    <w:p w14:paraId="334627E0" w14:textId="6ACA2147" w:rsidR="00874808" w:rsidRDefault="00874808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4808">
        <w:rPr>
          <w:rFonts w:ascii="Calibri" w:eastAsia="Calibri" w:hAnsi="Calibri" w:cs="Calibri"/>
        </w:rPr>
        <w:t xml:space="preserve">Program podpory </w:t>
      </w:r>
      <w:r w:rsidRPr="00C1140E">
        <w:rPr>
          <w:rFonts w:ascii="Calibri" w:eastAsia="Calibri" w:hAnsi="Calibri" w:cs="Calibri"/>
          <w:i/>
          <w:iCs/>
        </w:rPr>
        <w:t>Obnovitelné zdroje energie</w:t>
      </w:r>
      <w:r w:rsidRPr="00874808">
        <w:rPr>
          <w:rFonts w:ascii="Calibri" w:eastAsia="Calibri" w:hAnsi="Calibri" w:cs="Calibri"/>
        </w:rPr>
        <w:t xml:space="preserve"> měl přinést svojí realizací nový instalovaný výkon výroby energie 60 MW do konce roku 2023. Přestože ex post evaluace</w:t>
      </w:r>
      <w:r w:rsidR="005C6355">
        <w:rPr>
          <w:rStyle w:val="Znakapoznpodarou"/>
          <w:rFonts w:ascii="Calibri" w:eastAsia="Calibri" w:hAnsi="Calibri" w:cs="Calibri"/>
        </w:rPr>
        <w:footnoteReference w:id="33"/>
      </w:r>
      <w:r w:rsidRPr="00874808">
        <w:rPr>
          <w:rFonts w:ascii="Calibri" w:eastAsia="Calibri" w:hAnsi="Calibri" w:cs="Calibri"/>
        </w:rPr>
        <w:t xml:space="preserve"> </w:t>
      </w:r>
      <w:r w:rsidR="005D2FC6">
        <w:rPr>
          <w:rFonts w:ascii="Calibri" w:eastAsia="Calibri" w:hAnsi="Calibri" w:cs="Calibri"/>
        </w:rPr>
        <w:t>uvádí, že</w:t>
      </w:r>
      <w:r w:rsidRPr="00874808">
        <w:rPr>
          <w:rFonts w:ascii="Calibri" w:eastAsia="Calibri" w:hAnsi="Calibri" w:cs="Calibri"/>
        </w:rPr>
        <w:t xml:space="preserve"> výsledků podle ukazatele výsledku </w:t>
      </w:r>
      <w:r w:rsidR="005C6355">
        <w:rPr>
          <w:rFonts w:ascii="Calibri" w:eastAsia="Calibri" w:hAnsi="Calibri" w:cs="Calibri"/>
        </w:rPr>
        <w:t xml:space="preserve">bylo </w:t>
      </w:r>
      <w:r w:rsidRPr="00874808">
        <w:rPr>
          <w:rFonts w:ascii="Calibri" w:eastAsia="Calibri" w:hAnsi="Calibri" w:cs="Calibri"/>
        </w:rPr>
        <w:t xml:space="preserve">dosaženo již v roce 2021, podpořené projekty měly v roce 2021 instalovaný výkon jen 32,54 MW. </w:t>
      </w:r>
      <w:r w:rsidR="00022FB5">
        <w:rPr>
          <w:rFonts w:ascii="Calibri" w:eastAsia="Calibri" w:hAnsi="Calibri" w:cs="Calibri"/>
        </w:rPr>
        <w:t xml:space="preserve">Výsledku bylo dosaženo až v roce 2023 s nově instalovaným výkonem 60,5 MW. </w:t>
      </w:r>
      <w:r w:rsidRPr="00874808">
        <w:rPr>
          <w:rFonts w:ascii="Calibri" w:eastAsia="Calibri" w:hAnsi="Calibri" w:cs="Calibri"/>
        </w:rPr>
        <w:t xml:space="preserve">V době ukončení kontroly NKÚ byly všechny projekty dokončené s celkovým instalovaným výkonem 64,96 MW. Splnění cíle bylo podpořeno částkou 613,7 mil. Kč. Podpořený instalovaný výkon činí </w:t>
      </w:r>
      <w:r w:rsidR="008568EF">
        <w:rPr>
          <w:rFonts w:ascii="Calibri" w:eastAsia="Calibri" w:hAnsi="Calibri" w:cs="Calibri"/>
        </w:rPr>
        <w:t>1</w:t>
      </w:r>
      <w:r w:rsidRPr="00874808">
        <w:rPr>
          <w:rFonts w:ascii="Calibri" w:eastAsia="Calibri" w:hAnsi="Calibri" w:cs="Calibri"/>
        </w:rPr>
        <w:t>,1 % z</w:t>
      </w:r>
      <w:r w:rsidR="007A6BCF">
        <w:rPr>
          <w:rFonts w:ascii="Calibri" w:eastAsia="Calibri" w:hAnsi="Calibri" w:cs="Calibri"/>
        </w:rPr>
        <w:t> </w:t>
      </w:r>
      <w:r w:rsidRPr="00874808">
        <w:rPr>
          <w:rFonts w:ascii="Calibri" w:eastAsia="Calibri" w:hAnsi="Calibri" w:cs="Calibri"/>
        </w:rPr>
        <w:t>celkového instalovaného výkonu obnovitelných zdrojů energie v ČR ve výši 5 903 MW ke dni 31. prosince 2023</w:t>
      </w:r>
      <w:r>
        <w:rPr>
          <w:rStyle w:val="Znakapoznpodarou"/>
          <w:rFonts w:ascii="Calibri" w:eastAsia="Calibri" w:hAnsi="Calibri" w:cs="Calibri"/>
        </w:rPr>
        <w:footnoteReference w:id="34"/>
      </w:r>
      <w:r w:rsidRPr="00874808">
        <w:rPr>
          <w:rFonts w:ascii="Calibri" w:eastAsia="Calibri" w:hAnsi="Calibri" w:cs="Calibri"/>
        </w:rPr>
        <w:t>.</w:t>
      </w:r>
    </w:p>
    <w:p w14:paraId="0E0E3D75" w14:textId="77777777" w:rsidR="00874808" w:rsidRDefault="00874808" w:rsidP="007A6BCF">
      <w:pPr>
        <w:pStyle w:val="Odstavecseseznamem"/>
        <w:spacing w:after="0" w:line="240" w:lineRule="auto"/>
        <w:ind w:left="624"/>
        <w:jc w:val="both"/>
        <w:rPr>
          <w:rFonts w:ascii="Calibri" w:eastAsia="Calibri" w:hAnsi="Calibri" w:cs="Calibri"/>
        </w:rPr>
      </w:pPr>
    </w:p>
    <w:p w14:paraId="2E9EEF60" w14:textId="0CEB13F3" w:rsidR="000A4143" w:rsidRPr="000A4143" w:rsidRDefault="000A4143" w:rsidP="006F7143">
      <w:pPr>
        <w:keepNext/>
        <w:spacing w:after="0" w:line="240" w:lineRule="auto"/>
        <w:rPr>
          <w:rFonts w:ascii="Calibri" w:eastAsia="Calibri" w:hAnsi="Calibri" w:cs="Calibri"/>
        </w:rPr>
      </w:pPr>
      <w:r w:rsidRPr="000A4143">
        <w:rPr>
          <w:rFonts w:ascii="Calibri" w:eastAsia="Calibri" w:hAnsi="Calibri" w:cs="Calibri"/>
          <w:b/>
          <w:bCs/>
        </w:rPr>
        <w:lastRenderedPageBreak/>
        <w:t xml:space="preserve">Ukazatele, kterými MPO hodnotilo přínosy podpory na úrovni programů </w:t>
      </w:r>
      <w:r w:rsidR="00153853">
        <w:rPr>
          <w:rFonts w:ascii="Calibri" w:eastAsia="Calibri" w:hAnsi="Calibri" w:cs="Calibri"/>
          <w:b/>
          <w:bCs/>
        </w:rPr>
        <w:t>OP PIK</w:t>
      </w:r>
      <w:r w:rsidRPr="000A4143">
        <w:rPr>
          <w:rFonts w:ascii="Calibri" w:eastAsia="Calibri" w:hAnsi="Calibri" w:cs="Calibri"/>
          <w:b/>
          <w:bCs/>
        </w:rPr>
        <w:t>, neměly dostatečnou vypovídací schopnost</w:t>
      </w:r>
    </w:p>
    <w:p w14:paraId="3102E629" w14:textId="77777777" w:rsidR="00874808" w:rsidRPr="00874808" w:rsidRDefault="00874808" w:rsidP="006F7143">
      <w:pPr>
        <w:pStyle w:val="Odstavecseseznamem"/>
        <w:keepNext/>
        <w:spacing w:after="0" w:line="240" w:lineRule="auto"/>
        <w:ind w:left="0"/>
        <w:rPr>
          <w:rFonts w:ascii="Calibri" w:eastAsia="Calibri" w:hAnsi="Calibri" w:cs="Calibri"/>
        </w:rPr>
      </w:pPr>
    </w:p>
    <w:p w14:paraId="27C809EF" w14:textId="1E53B2EF" w:rsidR="00874808" w:rsidRDefault="00874808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4808">
        <w:rPr>
          <w:rFonts w:ascii="Calibri" w:eastAsia="Calibri" w:hAnsi="Calibri" w:cs="Calibri"/>
        </w:rPr>
        <w:t>MPO stanovilo pro hodnocení přínosů podpory z </w:t>
      </w:r>
      <w:r w:rsidR="00153853">
        <w:rPr>
          <w:rFonts w:ascii="Calibri" w:eastAsia="Calibri" w:hAnsi="Calibri" w:cs="Calibri"/>
        </w:rPr>
        <w:t>OP PIK</w:t>
      </w:r>
      <w:r w:rsidRPr="00874808">
        <w:rPr>
          <w:rFonts w:ascii="Calibri" w:eastAsia="Calibri" w:hAnsi="Calibri" w:cs="Calibri"/>
        </w:rPr>
        <w:t xml:space="preserve"> výsledkové ukazatele. Výsledky program</w:t>
      </w:r>
      <w:r w:rsidR="008568EF">
        <w:rPr>
          <w:rFonts w:ascii="Calibri" w:eastAsia="Calibri" w:hAnsi="Calibri" w:cs="Calibri"/>
        </w:rPr>
        <w:t>u</w:t>
      </w:r>
      <w:r w:rsidRPr="00874808">
        <w:rPr>
          <w:rFonts w:ascii="Calibri" w:eastAsia="Calibri" w:hAnsi="Calibri" w:cs="Calibri"/>
        </w:rPr>
        <w:t xml:space="preserve"> podpory </w:t>
      </w:r>
      <w:r w:rsidRPr="00A15456">
        <w:rPr>
          <w:rFonts w:ascii="Calibri" w:eastAsia="Calibri" w:hAnsi="Calibri" w:cs="Calibri"/>
          <w:i/>
          <w:iCs/>
        </w:rPr>
        <w:t>Obnovitelné zdroje energie</w:t>
      </w:r>
      <w:r w:rsidRPr="00874808">
        <w:rPr>
          <w:rFonts w:ascii="Calibri" w:eastAsia="Calibri" w:hAnsi="Calibri" w:cs="Calibri"/>
        </w:rPr>
        <w:t xml:space="preserve"> sledovalo pomocí</w:t>
      </w:r>
      <w:r w:rsidR="006F7143">
        <w:rPr>
          <w:rFonts w:ascii="Calibri" w:eastAsia="Calibri" w:hAnsi="Calibri" w:cs="Calibri"/>
        </w:rPr>
        <w:t xml:space="preserve"> ukazatele</w:t>
      </w:r>
      <w:r w:rsidRPr="00874808">
        <w:rPr>
          <w:rFonts w:ascii="Calibri" w:eastAsia="Calibri" w:hAnsi="Calibri" w:cs="Calibri"/>
        </w:rPr>
        <w:t xml:space="preserve"> </w:t>
      </w:r>
      <w:r w:rsidRPr="00874808">
        <w:rPr>
          <w:rFonts w:ascii="Calibri" w:eastAsia="Calibri" w:hAnsi="Calibri" w:cs="Calibri"/>
          <w:i/>
          <w:iCs/>
        </w:rPr>
        <w:t>Celkového instalovaného výkonu z OZE</w:t>
      </w:r>
      <w:r>
        <w:rPr>
          <w:rStyle w:val="Znakapoznpodarou"/>
          <w:rFonts w:ascii="Calibri" w:eastAsia="Calibri" w:hAnsi="Calibri" w:cs="Calibri"/>
        </w:rPr>
        <w:footnoteReference w:id="35"/>
      </w:r>
      <w:r w:rsidRPr="00874808">
        <w:rPr>
          <w:rFonts w:ascii="Calibri" w:eastAsia="Calibri" w:hAnsi="Calibri" w:cs="Calibri"/>
        </w:rPr>
        <w:t xml:space="preserve">, výsledky programu podpory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874808">
        <w:rPr>
          <w:rFonts w:ascii="Calibri" w:eastAsia="Calibri" w:hAnsi="Calibri" w:cs="Calibri"/>
        </w:rPr>
        <w:t xml:space="preserve"> prostřednictvím </w:t>
      </w:r>
      <w:r w:rsidRPr="00874808">
        <w:rPr>
          <w:rFonts w:ascii="Calibri" w:eastAsia="Calibri" w:hAnsi="Calibri" w:cs="Calibri"/>
          <w:i/>
          <w:iCs/>
        </w:rPr>
        <w:t xml:space="preserve">Čisté konečné spotřeby energie v průmyslu </w:t>
      </w:r>
      <w:r w:rsidRPr="00A15456">
        <w:rPr>
          <w:rFonts w:ascii="Calibri" w:eastAsia="Calibri" w:hAnsi="Calibri" w:cs="Calibri"/>
        </w:rPr>
        <w:t>a</w:t>
      </w:r>
      <w:r w:rsidRPr="00874808">
        <w:rPr>
          <w:rFonts w:ascii="Calibri" w:eastAsia="Calibri" w:hAnsi="Calibri" w:cs="Calibri"/>
          <w:i/>
          <w:iCs/>
        </w:rPr>
        <w:t xml:space="preserve"> Čisté konečné spotřeby energie ve službách</w:t>
      </w:r>
      <w:r w:rsidRPr="00874808">
        <w:rPr>
          <w:rFonts w:ascii="Calibri" w:eastAsia="Calibri" w:hAnsi="Calibri" w:cs="Calibri"/>
        </w:rPr>
        <w:t xml:space="preserve"> a výsledky programu podpory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874808">
        <w:rPr>
          <w:rFonts w:ascii="Calibri" w:eastAsia="Calibri" w:hAnsi="Calibri" w:cs="Calibri"/>
        </w:rPr>
        <w:t xml:space="preserve"> v SZT prostřednictvím </w:t>
      </w:r>
      <w:r w:rsidR="006F7143">
        <w:rPr>
          <w:rFonts w:ascii="Calibri" w:eastAsia="Calibri" w:hAnsi="Calibri" w:cs="Calibri"/>
        </w:rPr>
        <w:t xml:space="preserve">ukazatele </w:t>
      </w:r>
      <w:r w:rsidRPr="00874808">
        <w:rPr>
          <w:rFonts w:ascii="Calibri" w:eastAsia="Calibri" w:hAnsi="Calibri" w:cs="Calibri"/>
          <w:i/>
          <w:iCs/>
        </w:rPr>
        <w:t>Vsázky paliva do tepláren a výtopen SZT</w:t>
      </w:r>
      <w:r w:rsidRPr="00874808">
        <w:rPr>
          <w:rFonts w:ascii="Calibri" w:eastAsia="Calibri" w:hAnsi="Calibri" w:cs="Calibri"/>
        </w:rPr>
        <w:t>.</w:t>
      </w:r>
      <w:r w:rsidR="000A4143">
        <w:rPr>
          <w:rFonts w:ascii="Calibri" w:eastAsia="Calibri" w:hAnsi="Calibri" w:cs="Calibri"/>
        </w:rPr>
        <w:t xml:space="preserve"> Hodnoty těchto ukazatelů nemohou prokazovat pouze přínos podpory z </w:t>
      </w:r>
      <w:r w:rsidR="00153853">
        <w:rPr>
          <w:rFonts w:ascii="Calibri" w:eastAsia="Calibri" w:hAnsi="Calibri" w:cs="Calibri"/>
        </w:rPr>
        <w:t>OP PIK</w:t>
      </w:r>
      <w:r w:rsidR="000A4143">
        <w:rPr>
          <w:rFonts w:ascii="Calibri" w:eastAsia="Calibri" w:hAnsi="Calibri" w:cs="Calibri"/>
        </w:rPr>
        <w:t xml:space="preserve">, protože jsou vykazovány Českým statistickým úřadem za celou Českou republiku, a jsou tudíž ovlivněny i jinými faktory. MPO k tomuto nastavení uvedlo, že takto nastavené ukazatele požadovala Evropská komise v rámci vyjednávání </w:t>
      </w:r>
      <w:r w:rsidR="00153853">
        <w:rPr>
          <w:rFonts w:ascii="Calibri" w:eastAsia="Calibri" w:hAnsi="Calibri" w:cs="Calibri"/>
        </w:rPr>
        <w:t>OP PIK</w:t>
      </w:r>
      <w:r w:rsidR="000A4143">
        <w:rPr>
          <w:rFonts w:ascii="Calibri" w:eastAsia="Calibri" w:hAnsi="Calibri" w:cs="Calibri"/>
        </w:rPr>
        <w:t xml:space="preserve"> a bez toho by nebyl </w:t>
      </w:r>
      <w:r w:rsidR="00153853">
        <w:rPr>
          <w:rFonts w:ascii="Calibri" w:eastAsia="Calibri" w:hAnsi="Calibri" w:cs="Calibri"/>
        </w:rPr>
        <w:t>OP PIK</w:t>
      </w:r>
      <w:r w:rsidR="000A4143">
        <w:rPr>
          <w:rFonts w:ascii="Calibri" w:eastAsia="Calibri" w:hAnsi="Calibri" w:cs="Calibri"/>
        </w:rPr>
        <w:t xml:space="preserve"> Evropskou komisí schválen.</w:t>
      </w:r>
    </w:p>
    <w:p w14:paraId="545E3377" w14:textId="77777777" w:rsidR="00FD0094" w:rsidRPr="00874808" w:rsidRDefault="00FD0094" w:rsidP="006F7143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01FFE39E" w14:textId="752C6260" w:rsidR="00F60466" w:rsidRDefault="00031C63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Nedostatečnou vypovídací schopnost ukazatelů na úrovni specifických cílů dokládá i</w:t>
      </w:r>
      <w:r w:rsidR="006C472F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skutečnost, že p</w:t>
      </w:r>
      <w:r w:rsidR="00874808" w:rsidRPr="00874808">
        <w:rPr>
          <w:rFonts w:ascii="Calibri" w:eastAsia="Calibri" w:hAnsi="Calibri" w:cs="Calibri"/>
        </w:rPr>
        <w:t xml:space="preserve">odle výsledkového ukazatele programu podpory </w:t>
      </w:r>
      <w:r w:rsidR="00874808" w:rsidRPr="00A15456">
        <w:rPr>
          <w:rFonts w:ascii="Calibri" w:eastAsia="Calibri" w:hAnsi="Calibri" w:cs="Calibri"/>
          <w:i/>
          <w:iCs/>
        </w:rPr>
        <w:t>Obnovitelné zdroje energie</w:t>
      </w:r>
      <w:r w:rsidR="00874808" w:rsidRPr="00874808">
        <w:rPr>
          <w:rFonts w:ascii="Calibri" w:eastAsia="Calibri" w:hAnsi="Calibri" w:cs="Calibri"/>
        </w:rPr>
        <w:t xml:space="preserve"> vzrostl instalovaný výkon z </w:t>
      </w:r>
      <w:r w:rsidR="00CF0BB5">
        <w:rPr>
          <w:rFonts w:ascii="Calibri" w:eastAsia="Calibri" w:hAnsi="Calibri" w:cs="Calibri"/>
        </w:rPr>
        <w:t xml:space="preserve">obnovitelných zdrojů energie </w:t>
      </w:r>
      <w:r w:rsidR="00CF0BB5" w:rsidRPr="007837A7">
        <w:rPr>
          <w:rFonts w:ascii="Calibri" w:eastAsia="Calibri" w:hAnsi="Calibri" w:cs="Calibri"/>
        </w:rPr>
        <w:t>(dále také „</w:t>
      </w:r>
      <w:r w:rsidR="00874808" w:rsidRPr="00874808">
        <w:rPr>
          <w:rFonts w:ascii="Calibri" w:eastAsia="Calibri" w:hAnsi="Calibri" w:cs="Calibri"/>
        </w:rPr>
        <w:t>OZE</w:t>
      </w:r>
      <w:r w:rsidR="00CF0BB5">
        <w:rPr>
          <w:rFonts w:ascii="Calibri" w:eastAsia="Calibri" w:hAnsi="Calibri" w:cs="Calibri"/>
        </w:rPr>
        <w:t>“)</w:t>
      </w:r>
      <w:r w:rsidR="00874808" w:rsidRPr="00874808">
        <w:rPr>
          <w:rFonts w:ascii="Calibri" w:eastAsia="Calibri" w:hAnsi="Calibri" w:cs="Calibri"/>
        </w:rPr>
        <w:t xml:space="preserve"> v období let 2013 až 2021 o 66,4 MW, přitom podpořené projekty do konce roku 2021 přinesly pouze 32,54 MW.</w:t>
      </w:r>
    </w:p>
    <w:p w14:paraId="337AE220" w14:textId="77777777" w:rsidR="00F60466" w:rsidRPr="00F60466" w:rsidRDefault="00F60466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A6EBDEA" w14:textId="1602B0A7" w:rsidR="00874808" w:rsidRPr="00F60466" w:rsidRDefault="00874808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F60466">
        <w:rPr>
          <w:rFonts w:ascii="Calibri" w:eastAsia="Calibri" w:hAnsi="Calibri" w:cs="Calibri"/>
        </w:rPr>
        <w:t xml:space="preserve">Výsledkové ukazatele programu podpory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F60466">
        <w:rPr>
          <w:rFonts w:ascii="Calibri" w:eastAsia="Calibri" w:hAnsi="Calibri" w:cs="Calibri"/>
        </w:rPr>
        <w:t xml:space="preserve"> byly nastaveny tak, že v</w:t>
      </w:r>
      <w:r w:rsidR="006C472F">
        <w:rPr>
          <w:rFonts w:ascii="Calibri" w:eastAsia="Calibri" w:hAnsi="Calibri" w:cs="Calibri"/>
        </w:rPr>
        <w:t> </w:t>
      </w:r>
      <w:r w:rsidRPr="00F60466">
        <w:rPr>
          <w:rFonts w:ascii="Calibri" w:eastAsia="Calibri" w:hAnsi="Calibri" w:cs="Calibri"/>
        </w:rPr>
        <w:t>cílovém roce</w:t>
      </w:r>
      <w:r w:rsidR="009F708F">
        <w:rPr>
          <w:rFonts w:ascii="Calibri" w:eastAsia="Calibri" w:hAnsi="Calibri" w:cs="Calibri"/>
        </w:rPr>
        <w:t xml:space="preserve"> 2023</w:t>
      </w:r>
      <w:r w:rsidRPr="00F60466">
        <w:rPr>
          <w:rFonts w:ascii="Calibri" w:eastAsia="Calibri" w:hAnsi="Calibri" w:cs="Calibri"/>
        </w:rPr>
        <w:t xml:space="preserve"> měla být celková čistá spotřeba energie v průmyslu </w:t>
      </w:r>
      <w:r w:rsidR="009F708F">
        <w:rPr>
          <w:rFonts w:ascii="Calibri" w:eastAsia="Calibri" w:hAnsi="Calibri" w:cs="Calibri"/>
        </w:rPr>
        <w:t xml:space="preserve">a </w:t>
      </w:r>
      <w:r w:rsidRPr="00F60466">
        <w:rPr>
          <w:rFonts w:ascii="Calibri" w:eastAsia="Calibri" w:hAnsi="Calibri" w:cs="Calibri"/>
        </w:rPr>
        <w:t>ve službách celkem 436 889 TJ, přičemž cílová hodnota reflektuje predikci hospodářského růstu a</w:t>
      </w:r>
      <w:r w:rsidR="006C472F">
        <w:rPr>
          <w:rFonts w:ascii="Calibri" w:eastAsia="Calibri" w:hAnsi="Calibri" w:cs="Calibri"/>
        </w:rPr>
        <w:t> </w:t>
      </w:r>
      <w:r w:rsidRPr="00F60466">
        <w:rPr>
          <w:rFonts w:ascii="Calibri" w:eastAsia="Calibri" w:hAnsi="Calibri" w:cs="Calibri"/>
        </w:rPr>
        <w:t>s</w:t>
      </w:r>
      <w:r w:rsidR="006C472F">
        <w:rPr>
          <w:rFonts w:ascii="Calibri" w:eastAsia="Calibri" w:hAnsi="Calibri" w:cs="Calibri"/>
        </w:rPr>
        <w:t> </w:t>
      </w:r>
      <w:r w:rsidRPr="00F60466">
        <w:rPr>
          <w:rFonts w:ascii="Calibri" w:eastAsia="Calibri" w:hAnsi="Calibri" w:cs="Calibri"/>
        </w:rPr>
        <w:t xml:space="preserve">tím spojený růst spotřeby energie. Z údajů uvedených v odstavci </w:t>
      </w:r>
      <w:r w:rsidR="005C6355">
        <w:rPr>
          <w:rFonts w:ascii="Calibri" w:eastAsia="Calibri" w:hAnsi="Calibri" w:cs="Calibri"/>
        </w:rPr>
        <w:t>4.</w:t>
      </w:r>
      <w:r w:rsidR="008568EF">
        <w:rPr>
          <w:rFonts w:ascii="Calibri" w:eastAsia="Calibri" w:hAnsi="Calibri" w:cs="Calibri"/>
        </w:rPr>
        <w:t>5</w:t>
      </w:r>
      <w:r w:rsidRPr="00F60466">
        <w:rPr>
          <w:rFonts w:ascii="Calibri" w:eastAsia="Calibri" w:hAnsi="Calibri" w:cs="Calibri"/>
        </w:rPr>
        <w:t xml:space="preserve"> vyplývá, že vliv podpory </w:t>
      </w:r>
      <w:r w:rsidR="005C6355">
        <w:rPr>
          <w:rFonts w:ascii="Calibri" w:eastAsia="Calibri" w:hAnsi="Calibri" w:cs="Calibri"/>
        </w:rPr>
        <w:t>n</w:t>
      </w:r>
      <w:r w:rsidRPr="00F60466">
        <w:rPr>
          <w:rFonts w:ascii="Calibri" w:eastAsia="Calibri" w:hAnsi="Calibri" w:cs="Calibri"/>
        </w:rPr>
        <w:t>a celkovou spotřebu energie je marginální.</w:t>
      </w:r>
    </w:p>
    <w:p w14:paraId="6F2EFFB4" w14:textId="77777777" w:rsidR="00F9666E" w:rsidRPr="00F9666E" w:rsidRDefault="00F9666E" w:rsidP="006F7143">
      <w:pPr>
        <w:pStyle w:val="Odstavecseseznamem"/>
        <w:spacing w:line="240" w:lineRule="auto"/>
        <w:ind w:left="0"/>
        <w:rPr>
          <w:rFonts w:ascii="Calibri" w:eastAsia="Calibri" w:hAnsi="Calibri" w:cs="Calibri"/>
        </w:rPr>
      </w:pPr>
    </w:p>
    <w:p w14:paraId="5A157041" w14:textId="1136B4A3" w:rsidR="00FD0094" w:rsidRDefault="00874808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74808">
        <w:rPr>
          <w:rFonts w:ascii="Calibri" w:eastAsia="Calibri" w:hAnsi="Calibri" w:cs="Calibri"/>
        </w:rPr>
        <w:t xml:space="preserve">U vsázky paliva do tepláren (KVET) a výtopen SZT, kterou MPO měřilo výsledky podpory v programu </w:t>
      </w:r>
      <w:r w:rsidRPr="00A15456">
        <w:rPr>
          <w:rFonts w:ascii="Calibri" w:eastAsia="Calibri" w:hAnsi="Calibri" w:cs="Calibri"/>
          <w:i/>
          <w:iCs/>
        </w:rPr>
        <w:t>Úspory energie</w:t>
      </w:r>
      <w:r w:rsidRPr="00874808">
        <w:rPr>
          <w:rFonts w:ascii="Calibri" w:eastAsia="Calibri" w:hAnsi="Calibri" w:cs="Calibri"/>
        </w:rPr>
        <w:t xml:space="preserve"> v SZT mělo dojít v letech 2013 až 2023 ke snížení spotřeby energie o 55</w:t>
      </w:r>
      <w:r w:rsidR="00DC29C6">
        <w:rPr>
          <w:rFonts w:ascii="Calibri" w:eastAsia="Calibri" w:hAnsi="Calibri" w:cs="Calibri"/>
        </w:rPr>
        <w:t xml:space="preserve"> 607</w:t>
      </w:r>
      <w:r w:rsidRPr="00874808">
        <w:rPr>
          <w:rFonts w:ascii="Calibri" w:eastAsia="Calibri" w:hAnsi="Calibri" w:cs="Calibri"/>
        </w:rPr>
        <w:t xml:space="preserve"> TJ. Do konce roku 2021 došlo ke snížení o 37 758 TJ, přičemž podpořené projekty přinesly úsporu pouze 799,74 TJ ročně. Podpořené projekty, jejichž přínosy budou nabíhat až do konce roku 2028, přinesou další úsporu ve výši 2 667,5 TJ ročně. NKÚ nemohl ověřit, zda bylo cíle dosaženo v roce 2023, protože závěrečná zpráva </w:t>
      </w:r>
      <w:r w:rsidR="00153853">
        <w:rPr>
          <w:rFonts w:ascii="Calibri" w:eastAsia="Calibri" w:hAnsi="Calibri" w:cs="Calibri"/>
        </w:rPr>
        <w:t>OP PIK</w:t>
      </w:r>
      <w:r w:rsidRPr="00874808">
        <w:rPr>
          <w:rFonts w:ascii="Calibri" w:eastAsia="Calibri" w:hAnsi="Calibri" w:cs="Calibri"/>
        </w:rPr>
        <w:t xml:space="preserve"> bude zpracována kvůli nařízení STEP</w:t>
      </w:r>
      <w:r>
        <w:rPr>
          <w:rStyle w:val="Znakapoznpodarou"/>
          <w:rFonts w:ascii="Calibri" w:eastAsia="Calibri" w:hAnsi="Calibri" w:cs="Calibri"/>
        </w:rPr>
        <w:footnoteReference w:id="36"/>
      </w:r>
      <w:r w:rsidRPr="00874808">
        <w:rPr>
          <w:rFonts w:ascii="Calibri" w:eastAsia="Calibri" w:hAnsi="Calibri" w:cs="Calibri"/>
        </w:rPr>
        <w:t xml:space="preserve"> až v roce 2026. Pouze podpořenými projekty však cíle nebylo možné dosáhnout</w:t>
      </w:r>
      <w:r w:rsidR="00031C63">
        <w:rPr>
          <w:rFonts w:ascii="Calibri" w:eastAsia="Calibri" w:hAnsi="Calibri" w:cs="Calibri"/>
        </w:rPr>
        <w:t>, protože nemohly vygenerovat dostatečné úspory k jeho splnění.</w:t>
      </w:r>
      <w:r w:rsidR="00A8074B" w:rsidRPr="00A8074B">
        <w:rPr>
          <w:rFonts w:ascii="Calibri" w:eastAsia="Calibri" w:hAnsi="Calibri" w:cs="Calibri"/>
        </w:rPr>
        <w:t xml:space="preserve"> </w:t>
      </w:r>
      <w:r w:rsidR="00A8074B" w:rsidRPr="001E5D9D">
        <w:rPr>
          <w:rFonts w:ascii="Calibri" w:eastAsia="Calibri" w:hAnsi="Calibri" w:cs="Calibri"/>
        </w:rPr>
        <w:t xml:space="preserve">Toto konstatuje i ex post evaluace, kterou si MPO v rámci evaluace </w:t>
      </w:r>
      <w:r w:rsidR="00A8074B">
        <w:rPr>
          <w:rFonts w:ascii="Calibri" w:eastAsia="Calibri" w:hAnsi="Calibri" w:cs="Calibri"/>
        </w:rPr>
        <w:t>OP PIK</w:t>
      </w:r>
      <w:r w:rsidR="00A8074B" w:rsidRPr="001E5D9D">
        <w:rPr>
          <w:rFonts w:ascii="Calibri" w:eastAsia="Calibri" w:hAnsi="Calibri" w:cs="Calibri"/>
        </w:rPr>
        <w:t xml:space="preserve"> nechalo zpracovat.</w:t>
      </w:r>
    </w:p>
    <w:p w14:paraId="73C2B9CA" w14:textId="77777777" w:rsidR="00343FF6" w:rsidRPr="00343FF6" w:rsidRDefault="00343FF6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A5742DD" w14:textId="19A1C170" w:rsidR="00FD0094" w:rsidRPr="006C472F" w:rsidRDefault="003A078C" w:rsidP="00D46FAB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C472F">
        <w:rPr>
          <w:rFonts w:ascii="Calibri" w:eastAsia="Calibri" w:hAnsi="Calibri" w:cs="Calibri"/>
        </w:rPr>
        <w:lastRenderedPageBreak/>
        <w:t xml:space="preserve">V programu podpory </w:t>
      </w:r>
      <w:r w:rsidRPr="00A15456">
        <w:rPr>
          <w:rFonts w:ascii="Calibri" w:eastAsia="Calibri" w:hAnsi="Calibri" w:cs="Calibri"/>
          <w:i/>
          <w:iCs/>
        </w:rPr>
        <w:t>Nízkouhlíkové technologie</w:t>
      </w:r>
      <w:r w:rsidRPr="006C472F">
        <w:rPr>
          <w:rFonts w:ascii="Calibri" w:eastAsia="Calibri" w:hAnsi="Calibri" w:cs="Calibri"/>
        </w:rPr>
        <w:t xml:space="preserve"> MPO nestanovilo výsledkové ukazatele</w:t>
      </w:r>
      <w:r w:rsidR="00A93C32">
        <w:rPr>
          <w:rStyle w:val="Znakapoznpodarou"/>
          <w:rFonts w:ascii="Calibri" w:eastAsia="Calibri" w:hAnsi="Calibri" w:cs="Calibri"/>
        </w:rPr>
        <w:footnoteReference w:id="37"/>
      </w:r>
      <w:r w:rsidRPr="006C472F">
        <w:rPr>
          <w:rFonts w:ascii="Calibri" w:eastAsia="Calibri" w:hAnsi="Calibri" w:cs="Calibri"/>
        </w:rPr>
        <w:t>, pouze sledovalo počet nainstalovaných technologií</w:t>
      </w:r>
      <w:r w:rsidR="00A93C32" w:rsidRPr="006C472F">
        <w:rPr>
          <w:rFonts w:ascii="Calibri" w:eastAsia="Calibri" w:hAnsi="Calibri" w:cs="Calibri"/>
        </w:rPr>
        <w:t>.</w:t>
      </w:r>
      <w:r w:rsidRPr="006C472F">
        <w:rPr>
          <w:rFonts w:ascii="Calibri" w:eastAsia="Calibri" w:hAnsi="Calibri" w:cs="Calibri"/>
        </w:rPr>
        <w:t xml:space="preserve"> </w:t>
      </w:r>
      <w:r w:rsidR="00A93C32" w:rsidRPr="006C472F">
        <w:rPr>
          <w:rFonts w:ascii="Calibri" w:eastAsia="Calibri" w:hAnsi="Calibri" w:cs="Calibri"/>
        </w:rPr>
        <w:t>N</w:t>
      </w:r>
      <w:r w:rsidRPr="006C472F">
        <w:rPr>
          <w:rFonts w:ascii="Calibri" w:eastAsia="Calibri" w:hAnsi="Calibri" w:cs="Calibri"/>
        </w:rPr>
        <w:t>emohlo tedy</w:t>
      </w:r>
      <w:r w:rsidR="00A93C32" w:rsidRPr="006C472F">
        <w:rPr>
          <w:rFonts w:ascii="Calibri" w:eastAsia="Calibri" w:hAnsi="Calibri" w:cs="Calibri"/>
        </w:rPr>
        <w:t xml:space="preserve"> jeho prostřednictvím</w:t>
      </w:r>
      <w:r w:rsidRPr="006C472F">
        <w:rPr>
          <w:rFonts w:ascii="Calibri" w:eastAsia="Calibri" w:hAnsi="Calibri" w:cs="Calibri"/>
        </w:rPr>
        <w:t xml:space="preserve"> hodnotit přínosy jednotlivých podpořených projektů ve vztahu k úsporám energie, resp. zvyšování energetické účinnosti.</w:t>
      </w:r>
    </w:p>
    <w:p w14:paraId="0AC1FA18" w14:textId="77777777" w:rsidR="00082099" w:rsidRPr="006C472F" w:rsidRDefault="00082099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4285855" w14:textId="31AE6769" w:rsidR="00623424" w:rsidRPr="00904982" w:rsidRDefault="00623424" w:rsidP="00855663">
      <w:pPr>
        <w:keepNext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904982">
        <w:rPr>
          <w:rFonts w:ascii="Calibri" w:eastAsia="Calibri" w:hAnsi="Calibri" w:cs="Calibri"/>
          <w:b/>
          <w:bCs/>
        </w:rPr>
        <w:t xml:space="preserve">Přínos </w:t>
      </w:r>
      <w:r w:rsidR="00153853">
        <w:rPr>
          <w:rFonts w:ascii="Calibri" w:eastAsia="Calibri" w:hAnsi="Calibri" w:cs="Calibri"/>
          <w:b/>
          <w:bCs/>
        </w:rPr>
        <w:t>OP TAK</w:t>
      </w:r>
      <w:r w:rsidRPr="00904982">
        <w:rPr>
          <w:rFonts w:ascii="Calibri" w:eastAsia="Calibri" w:hAnsi="Calibri" w:cs="Calibri"/>
          <w:b/>
          <w:bCs/>
        </w:rPr>
        <w:t xml:space="preserve"> k úsporám energie do roku 2030 bude zanedbatelný</w:t>
      </w:r>
    </w:p>
    <w:p w14:paraId="5AD19E9A" w14:textId="77777777" w:rsidR="00623424" w:rsidRDefault="00623424" w:rsidP="00855663">
      <w:pPr>
        <w:pStyle w:val="Odstavecseseznamem"/>
        <w:keepNext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36BE5F19" w14:textId="1D98183D" w:rsidR="00623424" w:rsidRDefault="00623424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04982">
        <w:rPr>
          <w:rFonts w:ascii="Calibri" w:eastAsia="Calibri" w:hAnsi="Calibri" w:cs="Calibri"/>
        </w:rPr>
        <w:t>V roce 2023 vstoupila v platnosti nová směrnice o energetické účinnosti</w:t>
      </w:r>
      <w:r>
        <w:rPr>
          <w:rStyle w:val="Znakapoznpodarou"/>
          <w:rFonts w:ascii="Calibri" w:eastAsia="Calibri" w:hAnsi="Calibri" w:cs="Calibri"/>
        </w:rPr>
        <w:footnoteReference w:id="38"/>
      </w:r>
      <w:r w:rsidRPr="00904982">
        <w:rPr>
          <w:rFonts w:ascii="Calibri" w:eastAsia="Calibri" w:hAnsi="Calibri" w:cs="Calibri"/>
        </w:rPr>
        <w:t xml:space="preserve">, která stanovuje další </w:t>
      </w:r>
      <w:r w:rsidR="00D51019">
        <w:rPr>
          <w:rFonts w:ascii="Calibri" w:eastAsia="Calibri" w:hAnsi="Calibri" w:cs="Calibri"/>
        </w:rPr>
        <w:t>požadavky v oblasti úspory</w:t>
      </w:r>
      <w:r w:rsidR="00D51019" w:rsidRPr="00904982">
        <w:rPr>
          <w:rFonts w:ascii="Calibri" w:eastAsia="Calibri" w:hAnsi="Calibri" w:cs="Calibri"/>
        </w:rPr>
        <w:t xml:space="preserve"> </w:t>
      </w:r>
      <w:r w:rsidRPr="00904982">
        <w:rPr>
          <w:rFonts w:ascii="Calibri" w:eastAsia="Calibri" w:hAnsi="Calibri" w:cs="Calibri"/>
        </w:rPr>
        <w:t xml:space="preserve">energie. Podle této směrnice má ČR od roku 2024 do roku 2030 dosáhnout kumulované úspory energie 669 PJ. Podle </w:t>
      </w:r>
      <w:r w:rsidR="00D51019">
        <w:rPr>
          <w:rFonts w:ascii="Calibri" w:eastAsia="Calibri" w:hAnsi="Calibri" w:cs="Calibri"/>
        </w:rPr>
        <w:t xml:space="preserve">aktualizace </w:t>
      </w:r>
      <w:r w:rsidRPr="00A15456">
        <w:rPr>
          <w:rFonts w:ascii="Calibri" w:eastAsia="Calibri" w:hAnsi="Calibri" w:cs="Calibri"/>
          <w:i/>
          <w:iCs/>
        </w:rPr>
        <w:t xml:space="preserve">Vnitrostátního plánu </w:t>
      </w:r>
      <w:r w:rsidR="00D51019" w:rsidRPr="00A15456">
        <w:rPr>
          <w:rFonts w:ascii="Calibri" w:eastAsia="Calibri" w:hAnsi="Calibri" w:cs="Calibri"/>
          <w:i/>
          <w:iCs/>
        </w:rPr>
        <w:t xml:space="preserve">České republiky </w:t>
      </w:r>
      <w:r w:rsidRPr="00A15456">
        <w:rPr>
          <w:rFonts w:ascii="Calibri" w:eastAsia="Calibri" w:hAnsi="Calibri" w:cs="Calibri"/>
          <w:i/>
          <w:iCs/>
        </w:rPr>
        <w:t>v oblasti energetiky a klimatu</w:t>
      </w:r>
      <w:r w:rsidRPr="00904982">
        <w:rPr>
          <w:rFonts w:ascii="Calibri" w:eastAsia="Calibri" w:hAnsi="Calibri" w:cs="Calibri"/>
        </w:rPr>
        <w:t xml:space="preserve"> z roku 2024 by k této úspoře měl </w:t>
      </w:r>
      <w:r w:rsidR="00153853">
        <w:rPr>
          <w:rFonts w:ascii="Calibri" w:eastAsia="Calibri" w:hAnsi="Calibri" w:cs="Calibri"/>
        </w:rPr>
        <w:t>OP TAK</w:t>
      </w:r>
      <w:r w:rsidRPr="00904982">
        <w:rPr>
          <w:rFonts w:ascii="Calibri" w:eastAsia="Calibri" w:hAnsi="Calibri" w:cs="Calibri"/>
        </w:rPr>
        <w:t xml:space="preserve"> přispět 2,7</w:t>
      </w:r>
      <w:r w:rsidR="00CF0BB5">
        <w:rPr>
          <w:rFonts w:ascii="Calibri" w:eastAsia="Calibri" w:hAnsi="Calibri" w:cs="Calibri"/>
        </w:rPr>
        <w:t> </w:t>
      </w:r>
      <w:r w:rsidRPr="00904982">
        <w:rPr>
          <w:rFonts w:ascii="Calibri" w:eastAsia="Calibri" w:hAnsi="Calibri" w:cs="Calibri"/>
        </w:rPr>
        <w:t>PJ, což činí 0,4</w:t>
      </w:r>
      <w:r w:rsidR="00CF0BB5">
        <w:rPr>
          <w:rFonts w:ascii="Calibri" w:eastAsia="Calibri" w:hAnsi="Calibri" w:cs="Calibri"/>
        </w:rPr>
        <w:t> </w:t>
      </w:r>
      <w:r w:rsidRPr="00904982">
        <w:rPr>
          <w:rFonts w:ascii="Calibri" w:eastAsia="Calibri" w:hAnsi="Calibri" w:cs="Calibri"/>
        </w:rPr>
        <w:t xml:space="preserve">% potřebných úspor. Na </w:t>
      </w:r>
      <w:r>
        <w:rPr>
          <w:rFonts w:ascii="Calibri" w:eastAsia="Calibri" w:hAnsi="Calibri" w:cs="Calibri"/>
        </w:rPr>
        <w:t>ú</w:t>
      </w:r>
      <w:r w:rsidRPr="00904982">
        <w:rPr>
          <w:rFonts w:ascii="Calibri" w:eastAsia="Calibri" w:hAnsi="Calibri" w:cs="Calibri"/>
        </w:rPr>
        <w:t>spory</w:t>
      </w:r>
      <w:r>
        <w:rPr>
          <w:rFonts w:ascii="Calibri" w:eastAsia="Calibri" w:hAnsi="Calibri" w:cs="Calibri"/>
        </w:rPr>
        <w:t xml:space="preserve"> energie je</w:t>
      </w:r>
      <w:r w:rsidRPr="00904982">
        <w:rPr>
          <w:rFonts w:ascii="Calibri" w:eastAsia="Calibri" w:hAnsi="Calibri" w:cs="Calibri"/>
        </w:rPr>
        <w:t xml:space="preserve"> v</w:t>
      </w:r>
      <w:r w:rsidR="00CF0BB5">
        <w:rPr>
          <w:rFonts w:ascii="Calibri" w:eastAsia="Calibri" w:hAnsi="Calibri" w:cs="Calibri"/>
        </w:rPr>
        <w:t> </w:t>
      </w:r>
      <w:r w:rsidR="00153853">
        <w:rPr>
          <w:rFonts w:ascii="Calibri" w:eastAsia="Calibri" w:hAnsi="Calibri" w:cs="Calibri"/>
        </w:rPr>
        <w:t>OP</w:t>
      </w:r>
      <w:r w:rsidR="00CF0BB5">
        <w:rPr>
          <w:rFonts w:ascii="Calibri" w:eastAsia="Calibri" w:hAnsi="Calibri" w:cs="Calibri"/>
        </w:rPr>
        <w:t> </w:t>
      </w:r>
      <w:r w:rsidR="00153853">
        <w:rPr>
          <w:rFonts w:ascii="Calibri" w:eastAsia="Calibri" w:hAnsi="Calibri" w:cs="Calibri"/>
        </w:rPr>
        <w:t>TAK</w:t>
      </w:r>
      <w:r w:rsidRPr="00904982">
        <w:rPr>
          <w:rFonts w:ascii="Calibri" w:eastAsia="Calibri" w:hAnsi="Calibri" w:cs="Calibri"/>
        </w:rPr>
        <w:t xml:space="preserve"> alokováno 12,4</w:t>
      </w:r>
      <w:r w:rsidR="00CF0BB5">
        <w:rPr>
          <w:rFonts w:ascii="Calibri" w:eastAsia="Calibri" w:hAnsi="Calibri" w:cs="Calibri"/>
        </w:rPr>
        <w:t> </w:t>
      </w:r>
      <w:r w:rsidRPr="00904982">
        <w:rPr>
          <w:rFonts w:ascii="Calibri" w:eastAsia="Calibri" w:hAnsi="Calibri" w:cs="Calibri"/>
        </w:rPr>
        <w:t>mld.</w:t>
      </w:r>
      <w:r w:rsidR="00CF0BB5">
        <w:rPr>
          <w:rFonts w:ascii="Calibri" w:eastAsia="Calibri" w:hAnsi="Calibri" w:cs="Calibri"/>
        </w:rPr>
        <w:t> </w:t>
      </w:r>
      <w:r w:rsidRPr="00904982">
        <w:rPr>
          <w:rFonts w:ascii="Calibri" w:eastAsia="Calibri" w:hAnsi="Calibri" w:cs="Calibri"/>
        </w:rPr>
        <w:t>Kč.</w:t>
      </w:r>
    </w:p>
    <w:p w14:paraId="1233F2EB" w14:textId="77777777" w:rsidR="007837A7" w:rsidRDefault="007837A7" w:rsidP="00967F4F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7AF7F592" w14:textId="56477507" w:rsidR="007837A7" w:rsidRDefault="00153853" w:rsidP="006F7143">
      <w:pPr>
        <w:keepNext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OP TAK</w:t>
      </w:r>
      <w:r w:rsidR="00D333A3">
        <w:rPr>
          <w:rFonts w:ascii="Calibri" w:eastAsia="Calibri" w:hAnsi="Calibri" w:cs="Calibri"/>
          <w:b/>
          <w:bCs/>
        </w:rPr>
        <w:t xml:space="preserve"> zatím nepřispívá ke zvyšování instalovaného výkonu</w:t>
      </w:r>
      <w:r w:rsidR="007837A7" w:rsidRPr="007837A7">
        <w:rPr>
          <w:rFonts w:ascii="Calibri" w:eastAsia="Calibri" w:hAnsi="Calibri" w:cs="Calibri"/>
          <w:b/>
          <w:bCs/>
        </w:rPr>
        <w:t xml:space="preserve"> OZE</w:t>
      </w:r>
    </w:p>
    <w:p w14:paraId="4D9E79A8" w14:textId="77777777" w:rsidR="007837A7" w:rsidRPr="007837A7" w:rsidRDefault="007837A7" w:rsidP="006F7143">
      <w:pPr>
        <w:keepNext/>
        <w:spacing w:after="0" w:line="240" w:lineRule="auto"/>
        <w:jc w:val="both"/>
        <w:rPr>
          <w:rFonts w:ascii="Calibri" w:eastAsia="Calibri" w:hAnsi="Calibri" w:cs="Calibri"/>
        </w:rPr>
      </w:pPr>
    </w:p>
    <w:p w14:paraId="74C1F8C5" w14:textId="39DEE387" w:rsidR="007837A7" w:rsidRDefault="007837A7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837A7">
        <w:rPr>
          <w:rFonts w:ascii="Calibri" w:eastAsia="Calibri" w:hAnsi="Calibri" w:cs="Calibri"/>
        </w:rPr>
        <w:t xml:space="preserve">Specifický cíl 4. 2 </w:t>
      </w:r>
      <w:r w:rsidR="00153853">
        <w:rPr>
          <w:rFonts w:ascii="Calibri" w:eastAsia="Calibri" w:hAnsi="Calibri" w:cs="Calibri"/>
        </w:rPr>
        <w:t>OP TAK</w:t>
      </w:r>
      <w:r w:rsidRPr="007837A7">
        <w:rPr>
          <w:rFonts w:ascii="Calibri" w:eastAsia="Calibri" w:hAnsi="Calibri" w:cs="Calibri"/>
        </w:rPr>
        <w:t xml:space="preserve"> je zaměřen na podporu využívání obnovitelných zdrojů energie a na zvyšování energetické účinnosti obnovitelných zdrojů energie. Podporou má být dosaženo zvýšení instalovaného výkonu o 231 MW do konce roku 2029. Pro podporu byl stanoven průběžný milník pro rok 2024, kdy mělo být zrealizováno 10 % instalovaného výkonu (23 MW).</w:t>
      </w:r>
    </w:p>
    <w:p w14:paraId="0BA84420" w14:textId="77777777" w:rsidR="00FD0094" w:rsidRPr="007837A7" w:rsidRDefault="00FD0094" w:rsidP="007A6BCF">
      <w:pPr>
        <w:pStyle w:val="Odstavecseseznamem"/>
        <w:spacing w:after="0" w:line="240" w:lineRule="auto"/>
        <w:ind w:left="567"/>
        <w:jc w:val="both"/>
        <w:rPr>
          <w:rFonts w:ascii="Calibri" w:eastAsia="Calibri" w:hAnsi="Calibri" w:cs="Calibri"/>
        </w:rPr>
      </w:pPr>
    </w:p>
    <w:p w14:paraId="10766953" w14:textId="24DDF0EF" w:rsidR="00874808" w:rsidRDefault="007837A7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E82ADD">
        <w:rPr>
          <w:rFonts w:ascii="Calibri" w:eastAsia="Calibri" w:hAnsi="Calibri" w:cs="Calibri"/>
        </w:rPr>
        <w:t>První výzva na podporu OZE</w:t>
      </w:r>
      <w:r w:rsidR="00F51E8B">
        <w:rPr>
          <w:rFonts w:ascii="Calibri" w:eastAsia="Calibri" w:hAnsi="Calibri" w:cs="Calibri"/>
        </w:rPr>
        <w:t xml:space="preserve"> (větrné</w:t>
      </w:r>
      <w:r w:rsidRPr="00E82ADD">
        <w:rPr>
          <w:rFonts w:ascii="Calibri" w:eastAsia="Calibri" w:hAnsi="Calibri" w:cs="Calibri"/>
        </w:rPr>
        <w:t xml:space="preserve"> elektrárny</w:t>
      </w:r>
      <w:r w:rsidR="00F51E8B">
        <w:rPr>
          <w:rFonts w:ascii="Calibri" w:eastAsia="Calibri" w:hAnsi="Calibri" w:cs="Calibri"/>
        </w:rPr>
        <w:t>)</w:t>
      </w:r>
      <w:r w:rsidRPr="00E82ADD">
        <w:rPr>
          <w:rFonts w:ascii="Calibri" w:eastAsia="Calibri" w:hAnsi="Calibri" w:cs="Calibri"/>
        </w:rPr>
        <w:t xml:space="preserve"> byla vypsána 8. září 2022, příjem žádostí však byl ukončen předčasně 31. srpna 2023. Důvodem pro předčasné ukončení byl</w:t>
      </w:r>
      <w:r w:rsidR="00C911BF">
        <w:rPr>
          <w:rFonts w:ascii="Calibri" w:eastAsia="Calibri" w:hAnsi="Calibri" w:cs="Calibri"/>
        </w:rPr>
        <w:t>o přijetí nařízení Komise (EU) 2023/1315 ze dne 23. června 2023</w:t>
      </w:r>
      <w:r w:rsidR="00C911BF">
        <w:rPr>
          <w:rStyle w:val="Znakapoznpodarou"/>
          <w:rFonts w:ascii="Calibri" w:eastAsia="Calibri" w:hAnsi="Calibri" w:cs="Calibri"/>
        </w:rPr>
        <w:footnoteReference w:id="39"/>
      </w:r>
      <w:r w:rsidR="00C911BF">
        <w:rPr>
          <w:rFonts w:ascii="Calibri" w:eastAsia="Calibri" w:hAnsi="Calibri" w:cs="Calibri"/>
        </w:rPr>
        <w:t>, které změnilo podmínky veřejné podpory v oblasti obnovitelných zdrojů a úspor energie stanovené nařízením Komise (EU) č. 651/2014 ze dne 17. června 2014 (dále také „novelizace GBER</w:t>
      </w:r>
      <w:r w:rsidR="00CF0BB5">
        <w:rPr>
          <w:rFonts w:ascii="Calibri" w:eastAsia="Calibri" w:hAnsi="Calibri" w:cs="Calibri"/>
        </w:rPr>
        <w:t>“</w:t>
      </w:r>
      <w:r w:rsidR="00C911BF">
        <w:rPr>
          <w:rFonts w:ascii="Calibri" w:eastAsia="Calibri" w:hAnsi="Calibri" w:cs="Calibri"/>
        </w:rPr>
        <w:t>).</w:t>
      </w:r>
      <w:r w:rsidRPr="00E82ADD">
        <w:rPr>
          <w:rFonts w:ascii="Calibri" w:eastAsia="Calibri" w:hAnsi="Calibri" w:cs="Calibri"/>
        </w:rPr>
        <w:t xml:space="preserve"> Rozhodnutí o poskytnutí dotace </w:t>
      </w:r>
      <w:r w:rsidR="00C911BF">
        <w:rPr>
          <w:rFonts w:ascii="Calibri" w:eastAsia="Calibri" w:hAnsi="Calibri" w:cs="Calibri"/>
        </w:rPr>
        <w:t xml:space="preserve">přijatá </w:t>
      </w:r>
      <w:r w:rsidRPr="00E82ADD">
        <w:rPr>
          <w:rFonts w:ascii="Calibri" w:eastAsia="Calibri" w:hAnsi="Calibri" w:cs="Calibri"/>
        </w:rPr>
        <w:t>od 1. ledna 2024</w:t>
      </w:r>
      <w:r w:rsidR="00C911BF">
        <w:rPr>
          <w:rFonts w:ascii="Calibri" w:eastAsia="Calibri" w:hAnsi="Calibri" w:cs="Calibri"/>
        </w:rPr>
        <w:t xml:space="preserve"> musela být</w:t>
      </w:r>
      <w:r w:rsidRPr="00E82ADD">
        <w:rPr>
          <w:rFonts w:ascii="Calibri" w:eastAsia="Calibri" w:hAnsi="Calibri" w:cs="Calibri"/>
        </w:rPr>
        <w:t xml:space="preserve"> v souladu s tímto nařízením</w:t>
      </w:r>
      <w:r>
        <w:rPr>
          <w:rFonts w:ascii="Calibri" w:eastAsia="Calibri" w:hAnsi="Calibri" w:cs="Calibri"/>
        </w:rPr>
        <w:t>.</w:t>
      </w:r>
    </w:p>
    <w:p w14:paraId="2860550F" w14:textId="77777777" w:rsidR="00FD0094" w:rsidRPr="00B661BD" w:rsidRDefault="00FD0094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507726" w14:textId="6AD2878A" w:rsidR="00F51E8B" w:rsidRDefault="00DC29C6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Kvůli správnému nastavení podmínek podpory MPO čekalo s dalším vyhlášením výzev až na novelizaci GBER. Nov</w:t>
      </w:r>
      <w:r w:rsidR="00CF0BB5"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</w:rPr>
        <w:t xml:space="preserve"> pravidla veřejné podpory v oblasti úspor energie a OZE začala platit po publikaci novely nařízení GBER ode dne 1. července 2023. P</w:t>
      </w:r>
      <w:r w:rsidR="00F51E8B" w:rsidRPr="00F51E8B">
        <w:rPr>
          <w:rFonts w:ascii="Calibri" w:eastAsia="Calibri" w:hAnsi="Calibri" w:cs="Calibri"/>
        </w:rPr>
        <w:t xml:space="preserve">oté MPO vypsalo nové výzvy na podporu větrných elektráren, malých vodních elektráren, vtláčení </w:t>
      </w:r>
      <w:r w:rsidR="00F51E8B" w:rsidRPr="00F51E8B">
        <w:rPr>
          <w:rFonts w:ascii="Calibri" w:eastAsia="Calibri" w:hAnsi="Calibri" w:cs="Calibri"/>
        </w:rPr>
        <w:lastRenderedPageBreak/>
        <w:t xml:space="preserve">biometanu a výrobu energie z biomasy, </w:t>
      </w:r>
      <w:r w:rsidR="00386BF5">
        <w:rPr>
          <w:rFonts w:ascii="Calibri" w:eastAsia="Calibri" w:hAnsi="Calibri" w:cs="Calibri"/>
        </w:rPr>
        <w:t xml:space="preserve">a to </w:t>
      </w:r>
      <w:r w:rsidR="00F51E8B" w:rsidRPr="00F51E8B">
        <w:rPr>
          <w:rFonts w:ascii="Calibri" w:eastAsia="Calibri" w:hAnsi="Calibri" w:cs="Calibri"/>
        </w:rPr>
        <w:t xml:space="preserve">postupně v období </w:t>
      </w:r>
      <w:r w:rsidR="00386BF5">
        <w:rPr>
          <w:rFonts w:ascii="Calibri" w:eastAsia="Calibri" w:hAnsi="Calibri" w:cs="Calibri"/>
        </w:rPr>
        <w:t xml:space="preserve">od </w:t>
      </w:r>
      <w:r w:rsidR="00F51E8B" w:rsidRPr="00F51E8B">
        <w:rPr>
          <w:rFonts w:ascii="Calibri" w:eastAsia="Calibri" w:hAnsi="Calibri" w:cs="Calibri"/>
        </w:rPr>
        <w:t xml:space="preserve">září 2023 </w:t>
      </w:r>
      <w:r w:rsidR="00386BF5">
        <w:rPr>
          <w:rFonts w:ascii="Calibri" w:eastAsia="Calibri" w:hAnsi="Calibri" w:cs="Calibri"/>
        </w:rPr>
        <w:t>do</w:t>
      </w:r>
      <w:r w:rsidR="00F51E8B" w:rsidRPr="00F51E8B">
        <w:rPr>
          <w:rFonts w:ascii="Calibri" w:eastAsia="Calibri" w:hAnsi="Calibri" w:cs="Calibri"/>
        </w:rPr>
        <w:t xml:space="preserve"> ledna 2025.</w:t>
      </w:r>
    </w:p>
    <w:p w14:paraId="0DB2CE79" w14:textId="56F0C0A1" w:rsidR="00FD0094" w:rsidRPr="00F51E8B" w:rsidRDefault="00FD0094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5B04F0" w14:textId="29A6ADF3" w:rsidR="007837A7" w:rsidRDefault="007837A7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7837A7">
        <w:rPr>
          <w:rFonts w:ascii="Calibri" w:eastAsia="Calibri" w:hAnsi="Calibri" w:cs="Calibri"/>
        </w:rPr>
        <w:t xml:space="preserve">Celkem je na tuto oblast podpory alokováno </w:t>
      </w:r>
      <w:r w:rsidR="00FA3DD4">
        <w:rPr>
          <w:rFonts w:ascii="Calibri" w:eastAsia="Calibri" w:hAnsi="Calibri" w:cs="Calibri"/>
        </w:rPr>
        <w:t>5,1</w:t>
      </w:r>
      <w:r w:rsidRPr="007837A7">
        <w:rPr>
          <w:rFonts w:ascii="Calibri" w:eastAsia="Calibri" w:hAnsi="Calibri" w:cs="Calibri"/>
        </w:rPr>
        <w:t xml:space="preserve"> mld. Kč, v první výzvě OZE byla alokace 0,5 mld. Kč. </w:t>
      </w:r>
      <w:r w:rsidR="00712161">
        <w:rPr>
          <w:rFonts w:ascii="Calibri" w:eastAsia="Calibri" w:hAnsi="Calibri" w:cs="Calibri"/>
        </w:rPr>
        <w:t>D</w:t>
      </w:r>
      <w:r w:rsidRPr="007837A7">
        <w:rPr>
          <w:rFonts w:ascii="Calibri" w:eastAsia="Calibri" w:hAnsi="Calibri" w:cs="Calibri"/>
        </w:rPr>
        <w:t>o konce roku 2024 nebyl dokončen ani jeden projekt</w:t>
      </w:r>
      <w:r w:rsidR="00386BF5">
        <w:rPr>
          <w:rFonts w:ascii="Calibri" w:eastAsia="Calibri" w:hAnsi="Calibri" w:cs="Calibri"/>
        </w:rPr>
        <w:t>,</w:t>
      </w:r>
      <w:r w:rsidRPr="007837A7">
        <w:rPr>
          <w:rFonts w:ascii="Calibri" w:eastAsia="Calibri" w:hAnsi="Calibri" w:cs="Calibri"/>
        </w:rPr>
        <w:t xml:space="preserve"> a nebyl tak splněn požadovaný milník. Tři roky od vyhlášení první výzvy tak byly v době ukončení kontroly NKÚ </w:t>
      </w:r>
      <w:r w:rsidR="0047558F">
        <w:rPr>
          <w:rFonts w:ascii="Calibri" w:eastAsia="Calibri" w:hAnsi="Calibri" w:cs="Calibri"/>
        </w:rPr>
        <w:t xml:space="preserve">proplaceny výdaje ve výši </w:t>
      </w:r>
      <w:r w:rsidR="0047558F" w:rsidRPr="007837A7">
        <w:rPr>
          <w:rFonts w:ascii="Calibri" w:eastAsia="Calibri" w:hAnsi="Calibri" w:cs="Calibri"/>
        </w:rPr>
        <w:t>83,6 mil. Kč</w:t>
      </w:r>
      <w:r w:rsidR="0047558F">
        <w:rPr>
          <w:rFonts w:ascii="Calibri" w:eastAsia="Calibri" w:hAnsi="Calibri" w:cs="Calibri"/>
        </w:rPr>
        <w:t xml:space="preserve"> na tři projekty</w:t>
      </w:r>
      <w:r w:rsidR="00DB5F6D">
        <w:rPr>
          <w:rFonts w:ascii="Calibri" w:eastAsia="Calibri" w:hAnsi="Calibri" w:cs="Calibri"/>
        </w:rPr>
        <w:t xml:space="preserve">, </w:t>
      </w:r>
      <w:r w:rsidR="00712161">
        <w:rPr>
          <w:rFonts w:ascii="Calibri" w:eastAsia="Calibri" w:hAnsi="Calibri" w:cs="Calibri"/>
        </w:rPr>
        <w:t>jejichž</w:t>
      </w:r>
      <w:r w:rsidRPr="007837A7">
        <w:rPr>
          <w:rFonts w:ascii="Calibri" w:eastAsia="Calibri" w:hAnsi="Calibri" w:cs="Calibri"/>
        </w:rPr>
        <w:t xml:space="preserve"> instalovaný výkon </w:t>
      </w:r>
      <w:r w:rsidR="00712161">
        <w:rPr>
          <w:rFonts w:ascii="Calibri" w:eastAsia="Calibri" w:hAnsi="Calibri" w:cs="Calibri"/>
        </w:rPr>
        <w:t xml:space="preserve">bude dosahovat </w:t>
      </w:r>
      <w:r w:rsidRPr="007837A7">
        <w:rPr>
          <w:rFonts w:ascii="Calibri" w:eastAsia="Calibri" w:hAnsi="Calibri" w:cs="Calibri"/>
        </w:rPr>
        <w:t>19,4 MW.</w:t>
      </w:r>
    </w:p>
    <w:p w14:paraId="7D0CC2A4" w14:textId="77777777" w:rsidR="00FD0094" w:rsidRPr="00FD0094" w:rsidRDefault="00FD0094" w:rsidP="007A6BC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BB5D1F1" w14:textId="7A6BFDA5" w:rsidR="007837A7" w:rsidRDefault="00DC29C6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Kvůli</w:t>
      </w:r>
      <w:r w:rsidR="007837A7" w:rsidRPr="007837A7">
        <w:rPr>
          <w:rFonts w:ascii="Calibri" w:eastAsia="Calibri" w:hAnsi="Calibri" w:cs="Calibri"/>
        </w:rPr>
        <w:t xml:space="preserve"> zpoždění v realizaci podpory OZE </w:t>
      </w:r>
      <w:r w:rsidR="00C26957">
        <w:rPr>
          <w:rFonts w:ascii="Calibri" w:eastAsia="Calibri" w:hAnsi="Calibri" w:cs="Calibri"/>
        </w:rPr>
        <w:t>existo</w:t>
      </w:r>
      <w:r w:rsidR="00386BF5">
        <w:rPr>
          <w:rFonts w:ascii="Calibri" w:eastAsia="Calibri" w:hAnsi="Calibri" w:cs="Calibri"/>
        </w:rPr>
        <w:t>valo</w:t>
      </w:r>
      <w:r w:rsidR="007837A7" w:rsidRPr="007837A7">
        <w:rPr>
          <w:rFonts w:ascii="Calibri" w:eastAsia="Calibri" w:hAnsi="Calibri" w:cs="Calibri"/>
        </w:rPr>
        <w:t xml:space="preserve"> riziko nesplnění deklarovaných cílů podpory v této oblasti do roku 2029. Toto riziko se však od konce roku 2024 do doby ukončení kontroly NKÚ v květnu 2025 snížilo, neboť ve čtyřech vyhlášených výzvách podle nového GBER </w:t>
      </w:r>
      <w:r w:rsidR="00712161">
        <w:rPr>
          <w:rFonts w:ascii="Calibri" w:eastAsia="Calibri" w:hAnsi="Calibri" w:cs="Calibri"/>
        </w:rPr>
        <w:t xml:space="preserve">byly podány žádosti o podporu 128 projektů v celkové výši </w:t>
      </w:r>
      <w:r w:rsidR="007837A7" w:rsidRPr="007837A7">
        <w:rPr>
          <w:rFonts w:ascii="Calibri" w:eastAsia="Calibri" w:hAnsi="Calibri" w:cs="Calibri"/>
        </w:rPr>
        <w:t>21,4</w:t>
      </w:r>
      <w:r w:rsidR="00386BF5">
        <w:rPr>
          <w:rFonts w:ascii="Calibri" w:eastAsia="Calibri" w:hAnsi="Calibri" w:cs="Calibri"/>
        </w:rPr>
        <w:t> </w:t>
      </w:r>
      <w:r w:rsidR="007837A7" w:rsidRPr="007837A7">
        <w:rPr>
          <w:rFonts w:ascii="Calibri" w:eastAsia="Calibri" w:hAnsi="Calibri" w:cs="Calibri"/>
        </w:rPr>
        <w:t>mld.</w:t>
      </w:r>
      <w:r w:rsidR="00386BF5">
        <w:rPr>
          <w:rFonts w:ascii="Calibri" w:eastAsia="Calibri" w:hAnsi="Calibri" w:cs="Calibri"/>
        </w:rPr>
        <w:t> </w:t>
      </w:r>
      <w:r w:rsidR="007837A7" w:rsidRPr="007837A7">
        <w:rPr>
          <w:rFonts w:ascii="Calibri" w:eastAsia="Calibri" w:hAnsi="Calibri" w:cs="Calibri"/>
        </w:rPr>
        <w:t>Kč, což trojnásobně překračuje alokaci tohoto specifického cíle.</w:t>
      </w:r>
    </w:p>
    <w:p w14:paraId="757B80FD" w14:textId="77777777" w:rsidR="00676378" w:rsidRDefault="00676378" w:rsidP="00967F4F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0094D82C" w14:textId="02834EB0" w:rsidR="00AD363F" w:rsidRPr="00343FF6" w:rsidRDefault="00AD363F" w:rsidP="00386BF5">
      <w:pPr>
        <w:keepNext/>
        <w:spacing w:after="0" w:line="240" w:lineRule="auto"/>
        <w:rPr>
          <w:rFonts w:ascii="Calibri" w:eastAsia="Calibri" w:hAnsi="Calibri" w:cs="Calibri"/>
          <w:b/>
          <w:bCs/>
        </w:rPr>
      </w:pPr>
      <w:r w:rsidRPr="00343FF6">
        <w:rPr>
          <w:rFonts w:ascii="Calibri" w:eastAsia="Calibri" w:hAnsi="Calibri" w:cs="Calibri"/>
          <w:b/>
          <w:bCs/>
        </w:rPr>
        <w:t>Organizační složky státu neměly zájem o</w:t>
      </w:r>
      <w:r w:rsidR="00343FF6" w:rsidRPr="00343FF6">
        <w:rPr>
          <w:rFonts w:ascii="Calibri" w:eastAsia="Calibri" w:hAnsi="Calibri" w:cs="Calibri"/>
          <w:b/>
          <w:bCs/>
        </w:rPr>
        <w:t xml:space="preserve"> podporu z </w:t>
      </w:r>
      <w:r w:rsidR="00343FF6" w:rsidRPr="00A15456">
        <w:rPr>
          <w:rFonts w:ascii="Calibri" w:eastAsia="Calibri" w:hAnsi="Calibri" w:cs="Calibri"/>
          <w:b/>
          <w:bCs/>
          <w:i/>
          <w:iCs/>
        </w:rPr>
        <w:t>Národního plánu obnovy</w:t>
      </w:r>
      <w:r w:rsidR="00343FF6" w:rsidRPr="00343FF6">
        <w:rPr>
          <w:rFonts w:ascii="Calibri" w:eastAsia="Calibri" w:hAnsi="Calibri" w:cs="Calibri"/>
          <w:b/>
          <w:bCs/>
        </w:rPr>
        <w:t xml:space="preserve"> na </w:t>
      </w:r>
      <w:r w:rsidRPr="00343FF6">
        <w:rPr>
          <w:rFonts w:ascii="Calibri" w:eastAsia="Calibri" w:hAnsi="Calibri" w:cs="Calibri"/>
          <w:b/>
          <w:bCs/>
        </w:rPr>
        <w:t>snížení energetické náročnosti budov</w:t>
      </w:r>
    </w:p>
    <w:p w14:paraId="11A81D5A" w14:textId="77777777" w:rsidR="00AD363F" w:rsidRPr="007837A7" w:rsidRDefault="00AD363F" w:rsidP="00386BF5">
      <w:pPr>
        <w:pStyle w:val="Odstavecseseznamem"/>
        <w:keepNext/>
        <w:spacing w:after="0" w:line="240" w:lineRule="auto"/>
        <w:ind w:left="0"/>
        <w:rPr>
          <w:rFonts w:ascii="Calibri" w:eastAsia="Calibri" w:hAnsi="Calibri" w:cs="Calibri"/>
        </w:rPr>
      </w:pPr>
    </w:p>
    <w:p w14:paraId="192B57DE" w14:textId="1BEE8FE4" w:rsidR="005C6FB4" w:rsidRPr="00AD363F" w:rsidRDefault="007837A7" w:rsidP="007A6BC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A15456">
        <w:rPr>
          <w:rFonts w:ascii="Calibri" w:eastAsia="Calibri" w:hAnsi="Calibri" w:cs="Calibri"/>
          <w:i/>
          <w:iCs/>
        </w:rPr>
        <w:t>Národní plán obnovy</w:t>
      </w:r>
      <w:r w:rsidRPr="00AD363F">
        <w:rPr>
          <w:rFonts w:ascii="Calibri" w:eastAsia="Calibri" w:hAnsi="Calibri" w:cs="Calibri"/>
        </w:rPr>
        <w:t xml:space="preserve"> je v oblasti úspor energie, které jsou realizovány MPO, zaměřen na dvě oblasti podpory, každá se dvěma aktivitami. První oblast je zaměřena </w:t>
      </w:r>
      <w:r w:rsidR="00C26957">
        <w:rPr>
          <w:rFonts w:ascii="Calibri" w:eastAsia="Calibri" w:hAnsi="Calibri" w:cs="Calibri"/>
        </w:rPr>
        <w:t>na</w:t>
      </w:r>
      <w:r w:rsidRPr="00AD363F">
        <w:rPr>
          <w:rFonts w:ascii="Calibri" w:eastAsia="Calibri" w:hAnsi="Calibri" w:cs="Calibri"/>
        </w:rPr>
        <w:t xml:space="preserve"> veřejný sektor, a to podpora zaměřená na </w:t>
      </w:r>
      <w:r w:rsidRPr="00AD363F">
        <w:rPr>
          <w:rFonts w:ascii="Calibri" w:eastAsia="Calibri" w:hAnsi="Calibri" w:cs="Calibri"/>
          <w:i/>
          <w:iCs/>
        </w:rPr>
        <w:t>snížení energetické náročnosti budov ve vlastnictví OSS</w:t>
      </w:r>
      <w:r w:rsidRPr="00AD363F">
        <w:rPr>
          <w:rFonts w:ascii="Calibri" w:eastAsia="Calibri" w:hAnsi="Calibri" w:cs="Calibri"/>
        </w:rPr>
        <w:t xml:space="preserve"> a </w:t>
      </w:r>
      <w:r w:rsidRPr="00AD363F">
        <w:rPr>
          <w:rFonts w:ascii="Calibri" w:eastAsia="Calibri" w:hAnsi="Calibri" w:cs="Calibri"/>
          <w:i/>
          <w:iCs/>
        </w:rPr>
        <w:t>zvýšení energetické účinnosti systémů veřejného osvětlení</w:t>
      </w:r>
      <w:r w:rsidRPr="00A15456">
        <w:rPr>
          <w:rFonts w:ascii="Calibri" w:eastAsia="Calibri" w:hAnsi="Calibri" w:cs="Calibri"/>
          <w:vertAlign w:val="superscript"/>
        </w:rPr>
        <w:footnoteReference w:id="40"/>
      </w:r>
      <w:r w:rsidRPr="00AD363F">
        <w:rPr>
          <w:rFonts w:ascii="Calibri" w:eastAsia="Calibri" w:hAnsi="Calibri" w:cs="Calibri"/>
        </w:rPr>
        <w:t xml:space="preserve">. Druhá oblast byla zaměřena na podnikatelské subjekty, konkrétně na </w:t>
      </w:r>
      <w:r w:rsidRPr="001F4A1B">
        <w:rPr>
          <w:rFonts w:ascii="Calibri" w:eastAsia="Calibri" w:hAnsi="Calibri" w:cs="Calibri"/>
          <w:i/>
          <w:iCs/>
        </w:rPr>
        <w:t>výstavbu nových fotovoltaických zdrojů</w:t>
      </w:r>
      <w:r w:rsidRPr="00AD363F">
        <w:rPr>
          <w:rFonts w:ascii="Calibri" w:eastAsia="Calibri" w:hAnsi="Calibri" w:cs="Calibri"/>
        </w:rPr>
        <w:t xml:space="preserve"> a </w:t>
      </w:r>
      <w:r w:rsidRPr="001F4A1B">
        <w:rPr>
          <w:rFonts w:ascii="Calibri" w:eastAsia="Calibri" w:hAnsi="Calibri" w:cs="Calibri"/>
          <w:i/>
          <w:iCs/>
        </w:rPr>
        <w:t>modernizaci distribuc</w:t>
      </w:r>
      <w:r w:rsidR="00712161">
        <w:rPr>
          <w:rFonts w:ascii="Calibri" w:eastAsia="Calibri" w:hAnsi="Calibri" w:cs="Calibri"/>
          <w:i/>
          <w:iCs/>
        </w:rPr>
        <w:t>e</w:t>
      </w:r>
      <w:r w:rsidRPr="001F4A1B">
        <w:rPr>
          <w:rFonts w:ascii="Calibri" w:eastAsia="Calibri" w:hAnsi="Calibri" w:cs="Calibri"/>
          <w:i/>
          <w:iCs/>
        </w:rPr>
        <w:t xml:space="preserve"> tepla v</w:t>
      </w:r>
      <w:r w:rsidR="00712161">
        <w:rPr>
          <w:rFonts w:ascii="Calibri" w:eastAsia="Calibri" w:hAnsi="Calibri" w:cs="Calibri"/>
          <w:i/>
          <w:iCs/>
        </w:rPr>
        <w:t> </w:t>
      </w:r>
      <w:r w:rsidRPr="001F4A1B">
        <w:rPr>
          <w:rFonts w:ascii="Calibri" w:eastAsia="Calibri" w:hAnsi="Calibri" w:cs="Calibri"/>
          <w:i/>
          <w:iCs/>
        </w:rPr>
        <w:t>rámci</w:t>
      </w:r>
      <w:r w:rsidR="00712161">
        <w:rPr>
          <w:rFonts w:ascii="Calibri" w:eastAsia="Calibri" w:hAnsi="Calibri" w:cs="Calibri"/>
          <w:i/>
          <w:iCs/>
        </w:rPr>
        <w:t xml:space="preserve"> soustav</w:t>
      </w:r>
      <w:r w:rsidRPr="001F4A1B">
        <w:rPr>
          <w:rFonts w:ascii="Calibri" w:eastAsia="Calibri" w:hAnsi="Calibri" w:cs="Calibri"/>
          <w:i/>
          <w:iCs/>
        </w:rPr>
        <w:t xml:space="preserve"> zásobování teplem</w:t>
      </w:r>
      <w:r w:rsidRPr="00AD363F">
        <w:rPr>
          <w:rFonts w:ascii="Calibri" w:eastAsia="Calibri" w:hAnsi="Calibri" w:cs="Calibri"/>
        </w:rPr>
        <w:t>.</w:t>
      </w:r>
    </w:p>
    <w:p w14:paraId="5769EC93" w14:textId="77777777" w:rsidR="00AD363F" w:rsidRDefault="00AD363F" w:rsidP="007A6BCF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3D295086" w14:textId="2F4A06D0" w:rsidR="00AD363F" w:rsidRPr="00620795" w:rsidRDefault="00AD363F" w:rsidP="00967F4F">
      <w:pPr>
        <w:spacing w:after="40" w:line="240" w:lineRule="auto"/>
        <w:jc w:val="both"/>
        <w:rPr>
          <w:rFonts w:ascii="Calibri" w:eastAsia="Calibri" w:hAnsi="Calibri" w:cs="Calibri"/>
          <w:b/>
          <w:bCs/>
        </w:rPr>
      </w:pPr>
      <w:r w:rsidRPr="00620795">
        <w:rPr>
          <w:rFonts w:ascii="Calibri" w:eastAsia="Calibri" w:hAnsi="Calibri" w:cs="Calibri"/>
          <w:b/>
          <w:bCs/>
        </w:rPr>
        <w:t xml:space="preserve">Tabulka č. </w:t>
      </w:r>
      <w:r w:rsidR="005C6355" w:rsidRPr="00620795">
        <w:rPr>
          <w:rFonts w:ascii="Calibri" w:eastAsia="Calibri" w:hAnsi="Calibri" w:cs="Calibri"/>
          <w:b/>
          <w:bCs/>
        </w:rPr>
        <w:t>4</w:t>
      </w:r>
      <w:r w:rsidRPr="00620795">
        <w:rPr>
          <w:rFonts w:ascii="Calibri" w:eastAsia="Calibri" w:hAnsi="Calibri" w:cs="Calibri"/>
          <w:b/>
          <w:bCs/>
        </w:rPr>
        <w:t xml:space="preserve">: </w:t>
      </w:r>
      <w:r w:rsidR="00284EA0" w:rsidRPr="00620795">
        <w:rPr>
          <w:rFonts w:ascii="Calibri" w:eastAsia="Calibri" w:hAnsi="Calibri" w:cs="Calibri"/>
          <w:b/>
          <w:bCs/>
        </w:rPr>
        <w:t>P</w:t>
      </w:r>
      <w:r w:rsidRPr="00620795">
        <w:rPr>
          <w:rFonts w:ascii="Calibri" w:eastAsia="Calibri" w:hAnsi="Calibri" w:cs="Calibri"/>
          <w:b/>
          <w:bCs/>
        </w:rPr>
        <w:t>lnění cílů v komponentách 2.2 a 2.3 NPO</w:t>
      </w:r>
    </w:p>
    <w:tbl>
      <w:tblPr>
        <w:tblStyle w:val="CVtable11"/>
        <w:tblW w:w="906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2830"/>
        <w:gridCol w:w="1843"/>
        <w:gridCol w:w="992"/>
        <w:gridCol w:w="1560"/>
        <w:gridCol w:w="1842"/>
      </w:tblGrid>
      <w:tr w:rsidR="00AD363F" w:rsidRPr="00E82ADD" w14:paraId="09DC5F51" w14:textId="77777777" w:rsidTr="00967F4F">
        <w:trPr>
          <w:trHeight w:val="283"/>
        </w:trPr>
        <w:tc>
          <w:tcPr>
            <w:tcW w:w="2830" w:type="dxa"/>
            <w:shd w:val="clear" w:color="auto" w:fill="E2F1EE"/>
            <w:vAlign w:val="center"/>
          </w:tcPr>
          <w:p w14:paraId="7502FBF8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2ADD">
              <w:rPr>
                <w:rFonts w:ascii="Calibri" w:hAnsi="Calibri" w:cs="Calibri"/>
                <w:b/>
                <w:bCs/>
              </w:rPr>
              <w:t>Aktivita</w:t>
            </w:r>
          </w:p>
        </w:tc>
        <w:tc>
          <w:tcPr>
            <w:tcW w:w="1843" w:type="dxa"/>
            <w:shd w:val="clear" w:color="auto" w:fill="E2F1EE"/>
            <w:vAlign w:val="center"/>
          </w:tcPr>
          <w:p w14:paraId="0E894A63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2ADD">
              <w:rPr>
                <w:rFonts w:ascii="Calibri" w:hAnsi="Calibri" w:cs="Calibri"/>
                <w:b/>
                <w:bCs/>
              </w:rPr>
              <w:t>Definice cíle</w:t>
            </w:r>
          </w:p>
        </w:tc>
        <w:tc>
          <w:tcPr>
            <w:tcW w:w="992" w:type="dxa"/>
            <w:shd w:val="clear" w:color="auto" w:fill="E2F1EE"/>
            <w:vAlign w:val="center"/>
          </w:tcPr>
          <w:p w14:paraId="43F78404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2ADD">
              <w:rPr>
                <w:rFonts w:ascii="Calibri" w:hAnsi="Calibri" w:cs="Calibri"/>
                <w:b/>
                <w:bCs/>
              </w:rPr>
              <w:t>Měrná jednotka</w:t>
            </w:r>
          </w:p>
        </w:tc>
        <w:tc>
          <w:tcPr>
            <w:tcW w:w="1560" w:type="dxa"/>
            <w:shd w:val="clear" w:color="auto" w:fill="E2F1EE"/>
            <w:vAlign w:val="center"/>
          </w:tcPr>
          <w:p w14:paraId="0990754F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82ADD">
              <w:rPr>
                <w:rFonts w:ascii="Calibri" w:hAnsi="Calibri" w:cs="Calibri"/>
                <w:b/>
                <w:bCs/>
              </w:rPr>
              <w:t>Cílová hodnota (31. 3. 2026)</w:t>
            </w:r>
          </w:p>
        </w:tc>
        <w:tc>
          <w:tcPr>
            <w:tcW w:w="1842" w:type="dxa"/>
            <w:shd w:val="clear" w:color="auto" w:fill="E2F1EE"/>
            <w:vAlign w:val="center"/>
          </w:tcPr>
          <w:p w14:paraId="05F101BD" w14:textId="5F71F1B4" w:rsidR="00AD363F" w:rsidRPr="00E82ADD" w:rsidRDefault="00712161" w:rsidP="004379C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Dosažen</w:t>
            </w:r>
            <w:r w:rsidR="00BE66B6">
              <w:rPr>
                <w:rFonts w:ascii="Calibri" w:hAnsi="Calibri" w:cs="Calibri"/>
                <w:b/>
                <w:bCs/>
              </w:rPr>
              <w:t>á</w:t>
            </w:r>
            <w:r>
              <w:rPr>
                <w:rFonts w:ascii="Calibri" w:hAnsi="Calibri" w:cs="Calibri"/>
                <w:b/>
                <w:bCs/>
              </w:rPr>
              <w:t xml:space="preserve"> hodnota</w:t>
            </w:r>
            <w:r w:rsidR="00AD363F" w:rsidRPr="00E82ADD">
              <w:rPr>
                <w:rFonts w:ascii="Calibri" w:hAnsi="Calibri" w:cs="Calibri"/>
                <w:b/>
                <w:bCs/>
              </w:rPr>
              <w:t xml:space="preserve"> dle </w:t>
            </w:r>
            <w:proofErr w:type="spellStart"/>
            <w:r w:rsidR="00AD363F" w:rsidRPr="00E82ADD">
              <w:rPr>
                <w:rFonts w:ascii="Calibri" w:hAnsi="Calibri" w:cs="Calibri"/>
                <w:b/>
                <w:bCs/>
              </w:rPr>
              <w:t>RoPD</w:t>
            </w:r>
            <w:proofErr w:type="spellEnd"/>
            <w:r w:rsidR="00AD363F" w:rsidRPr="00E82ADD">
              <w:rPr>
                <w:rFonts w:ascii="Calibri" w:hAnsi="Calibri" w:cs="Calibri"/>
                <w:b/>
                <w:bCs/>
              </w:rPr>
              <w:t xml:space="preserve"> </w:t>
            </w:r>
            <w:r w:rsidR="009928FA">
              <w:rPr>
                <w:rFonts w:ascii="Calibri" w:hAnsi="Calibri" w:cs="Calibri"/>
                <w:b/>
                <w:bCs/>
              </w:rPr>
              <w:br/>
            </w:r>
            <w:r w:rsidR="00AD363F" w:rsidRPr="00E82ADD">
              <w:rPr>
                <w:rFonts w:ascii="Calibri" w:hAnsi="Calibri" w:cs="Calibri"/>
                <w:b/>
                <w:bCs/>
              </w:rPr>
              <w:t>k 31. 3. 2025</w:t>
            </w:r>
          </w:p>
        </w:tc>
      </w:tr>
      <w:tr w:rsidR="00AD363F" w:rsidRPr="00E82ADD" w14:paraId="013848AE" w14:textId="77777777" w:rsidTr="00C26957">
        <w:trPr>
          <w:trHeight w:val="283"/>
        </w:trPr>
        <w:tc>
          <w:tcPr>
            <w:tcW w:w="2830" w:type="dxa"/>
            <w:vAlign w:val="center"/>
          </w:tcPr>
          <w:p w14:paraId="66416DFB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Snížení energetické náročnosti budov ve vlastnictví OSS</w:t>
            </w:r>
          </w:p>
        </w:tc>
        <w:tc>
          <w:tcPr>
            <w:tcW w:w="1843" w:type="dxa"/>
            <w:vAlign w:val="center"/>
          </w:tcPr>
          <w:p w14:paraId="772521ED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 xml:space="preserve">Snížení spotřeby energie </w:t>
            </w:r>
          </w:p>
        </w:tc>
        <w:tc>
          <w:tcPr>
            <w:tcW w:w="992" w:type="dxa"/>
            <w:vAlign w:val="center"/>
          </w:tcPr>
          <w:p w14:paraId="669388F1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TJ/rok</w:t>
            </w:r>
          </w:p>
        </w:tc>
        <w:tc>
          <w:tcPr>
            <w:tcW w:w="1560" w:type="dxa"/>
            <w:vAlign w:val="center"/>
          </w:tcPr>
          <w:p w14:paraId="44F96B87" w14:textId="77777777" w:rsidR="00AD363F" w:rsidRPr="00E82ADD" w:rsidRDefault="00AD363F" w:rsidP="004379C5">
            <w:pPr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140*</w:t>
            </w:r>
          </w:p>
        </w:tc>
        <w:tc>
          <w:tcPr>
            <w:tcW w:w="1842" w:type="dxa"/>
            <w:vAlign w:val="center"/>
          </w:tcPr>
          <w:p w14:paraId="2F9EFC0D" w14:textId="48F7F15D" w:rsidR="00AD363F" w:rsidRPr="00E82ADD" w:rsidRDefault="00AD363F" w:rsidP="00C26957">
            <w:pPr>
              <w:ind w:right="113"/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19,7</w:t>
            </w:r>
            <w:r w:rsidR="00A15456">
              <w:rPr>
                <w:rFonts w:ascii="Calibri" w:hAnsi="Calibri" w:cs="Calibri"/>
              </w:rPr>
              <w:t>0</w:t>
            </w:r>
          </w:p>
        </w:tc>
      </w:tr>
      <w:tr w:rsidR="00AD363F" w:rsidRPr="00E82ADD" w14:paraId="4ECBE67A" w14:textId="77777777" w:rsidTr="00C26957">
        <w:trPr>
          <w:trHeight w:val="283"/>
        </w:trPr>
        <w:tc>
          <w:tcPr>
            <w:tcW w:w="2830" w:type="dxa"/>
            <w:vAlign w:val="center"/>
          </w:tcPr>
          <w:p w14:paraId="6748F966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Zvýšení energetické účinnosti systémů veřejného osvětlení</w:t>
            </w:r>
          </w:p>
        </w:tc>
        <w:tc>
          <w:tcPr>
            <w:tcW w:w="1843" w:type="dxa"/>
            <w:vAlign w:val="center"/>
          </w:tcPr>
          <w:p w14:paraId="7594B51D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Snížení spotřeby energie</w:t>
            </w:r>
          </w:p>
        </w:tc>
        <w:tc>
          <w:tcPr>
            <w:tcW w:w="992" w:type="dxa"/>
            <w:vAlign w:val="center"/>
          </w:tcPr>
          <w:p w14:paraId="64F516E3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TJ/rok</w:t>
            </w:r>
          </w:p>
        </w:tc>
        <w:tc>
          <w:tcPr>
            <w:tcW w:w="1560" w:type="dxa"/>
            <w:vAlign w:val="center"/>
          </w:tcPr>
          <w:p w14:paraId="297BFE53" w14:textId="77777777" w:rsidR="00AD363F" w:rsidRPr="00E82ADD" w:rsidRDefault="00AD363F" w:rsidP="00C26957">
            <w:pPr>
              <w:ind w:right="113"/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286</w:t>
            </w:r>
          </w:p>
        </w:tc>
        <w:tc>
          <w:tcPr>
            <w:tcW w:w="1842" w:type="dxa"/>
            <w:vAlign w:val="center"/>
          </w:tcPr>
          <w:p w14:paraId="14D8734C" w14:textId="7EA1F767" w:rsidR="00AD363F" w:rsidRPr="00E82ADD" w:rsidRDefault="00AD363F" w:rsidP="00C26957">
            <w:pPr>
              <w:ind w:right="113"/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278,4</w:t>
            </w:r>
            <w:r w:rsidR="00620795">
              <w:rPr>
                <w:rFonts w:ascii="Calibri" w:hAnsi="Calibri" w:cs="Calibri"/>
              </w:rPr>
              <w:t>0</w:t>
            </w:r>
          </w:p>
        </w:tc>
      </w:tr>
      <w:tr w:rsidR="00AD363F" w:rsidRPr="00E82ADD" w14:paraId="47FBF9E5" w14:textId="77777777" w:rsidTr="00C26957">
        <w:trPr>
          <w:trHeight w:val="283"/>
        </w:trPr>
        <w:tc>
          <w:tcPr>
            <w:tcW w:w="2830" w:type="dxa"/>
            <w:vAlign w:val="center"/>
          </w:tcPr>
          <w:p w14:paraId="7F55B52D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Výstavba nových fotovoltaických zdrojů</w:t>
            </w:r>
          </w:p>
        </w:tc>
        <w:tc>
          <w:tcPr>
            <w:tcW w:w="1843" w:type="dxa"/>
            <w:vAlign w:val="center"/>
          </w:tcPr>
          <w:p w14:paraId="16147DE8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Zvýšení instalovaného výkonu zdrojů FVE</w:t>
            </w:r>
          </w:p>
        </w:tc>
        <w:tc>
          <w:tcPr>
            <w:tcW w:w="992" w:type="dxa"/>
            <w:vAlign w:val="center"/>
          </w:tcPr>
          <w:p w14:paraId="2B2ED8D1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MW</w:t>
            </w:r>
          </w:p>
        </w:tc>
        <w:tc>
          <w:tcPr>
            <w:tcW w:w="1560" w:type="dxa"/>
            <w:vAlign w:val="center"/>
          </w:tcPr>
          <w:p w14:paraId="3F4091DB" w14:textId="77777777" w:rsidR="00AD363F" w:rsidRPr="00E82ADD" w:rsidRDefault="00AD363F" w:rsidP="00C26957">
            <w:pPr>
              <w:ind w:right="113"/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270</w:t>
            </w:r>
          </w:p>
        </w:tc>
        <w:tc>
          <w:tcPr>
            <w:tcW w:w="1842" w:type="dxa"/>
            <w:vAlign w:val="center"/>
          </w:tcPr>
          <w:p w14:paraId="2B2866C9" w14:textId="77777777" w:rsidR="00AD363F" w:rsidRPr="00E82ADD" w:rsidRDefault="00AD363F" w:rsidP="004379C5">
            <w:pPr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479,87</w:t>
            </w:r>
          </w:p>
        </w:tc>
      </w:tr>
      <w:tr w:rsidR="00AD363F" w:rsidRPr="00E82ADD" w14:paraId="2C489903" w14:textId="77777777" w:rsidTr="00C26957">
        <w:trPr>
          <w:trHeight w:val="283"/>
        </w:trPr>
        <w:tc>
          <w:tcPr>
            <w:tcW w:w="2830" w:type="dxa"/>
            <w:vAlign w:val="center"/>
          </w:tcPr>
          <w:p w14:paraId="28AEADF8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bookmarkStart w:id="2" w:name="_Hlk194479729"/>
            <w:r w:rsidRPr="00E82ADD">
              <w:rPr>
                <w:rFonts w:ascii="Calibri" w:hAnsi="Calibri" w:cs="Calibri"/>
              </w:rPr>
              <w:t>Modernizace distribuce tepla v rámci soustav zásobování teplem</w:t>
            </w:r>
            <w:bookmarkEnd w:id="2"/>
          </w:p>
        </w:tc>
        <w:tc>
          <w:tcPr>
            <w:tcW w:w="1843" w:type="dxa"/>
            <w:vAlign w:val="center"/>
          </w:tcPr>
          <w:p w14:paraId="5054CC86" w14:textId="77777777" w:rsidR="00AD363F" w:rsidRPr="00E82ADD" w:rsidRDefault="00AD363F" w:rsidP="00C26957">
            <w:pPr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Úspora primární energie vyplývající z modernizace rozvodů tepla</w:t>
            </w:r>
          </w:p>
        </w:tc>
        <w:tc>
          <w:tcPr>
            <w:tcW w:w="992" w:type="dxa"/>
            <w:vAlign w:val="center"/>
          </w:tcPr>
          <w:p w14:paraId="60370AD1" w14:textId="77777777" w:rsidR="00AD363F" w:rsidRPr="00E82ADD" w:rsidRDefault="00AD363F" w:rsidP="004379C5">
            <w:pPr>
              <w:jc w:val="center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GJ</w:t>
            </w:r>
          </w:p>
        </w:tc>
        <w:tc>
          <w:tcPr>
            <w:tcW w:w="1560" w:type="dxa"/>
            <w:vAlign w:val="center"/>
          </w:tcPr>
          <w:p w14:paraId="3AA6E179" w14:textId="77777777" w:rsidR="00AD363F" w:rsidRPr="00E82ADD" w:rsidRDefault="00AD363F" w:rsidP="00C26957">
            <w:pPr>
              <w:ind w:right="113"/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245 327</w:t>
            </w:r>
          </w:p>
        </w:tc>
        <w:tc>
          <w:tcPr>
            <w:tcW w:w="1842" w:type="dxa"/>
            <w:vAlign w:val="center"/>
          </w:tcPr>
          <w:p w14:paraId="2F24A7DD" w14:textId="2BB91ABB" w:rsidR="00AD363F" w:rsidRPr="00E82ADD" w:rsidRDefault="00AD363F" w:rsidP="002F4753">
            <w:pPr>
              <w:jc w:val="right"/>
              <w:rPr>
                <w:rFonts w:ascii="Calibri" w:hAnsi="Calibri" w:cs="Calibri"/>
              </w:rPr>
            </w:pPr>
            <w:r w:rsidRPr="00E82ADD">
              <w:rPr>
                <w:rFonts w:ascii="Calibri" w:hAnsi="Calibri" w:cs="Calibri"/>
              </w:rPr>
              <w:t>461</w:t>
            </w:r>
            <w:r w:rsidR="00A15456">
              <w:rPr>
                <w:rFonts w:ascii="Calibri" w:hAnsi="Calibri" w:cs="Calibri"/>
              </w:rPr>
              <w:t> </w:t>
            </w:r>
            <w:r w:rsidRPr="00E82ADD">
              <w:rPr>
                <w:rFonts w:ascii="Calibri" w:hAnsi="Calibri" w:cs="Calibri"/>
              </w:rPr>
              <w:t>902</w:t>
            </w:r>
            <w:r w:rsidR="00A15456">
              <w:rPr>
                <w:rFonts w:ascii="Calibri" w:hAnsi="Calibri" w:cs="Calibri"/>
              </w:rPr>
              <w:t>,00</w:t>
            </w:r>
          </w:p>
        </w:tc>
      </w:tr>
    </w:tbl>
    <w:p w14:paraId="7822C5C1" w14:textId="706C5F07" w:rsidR="00AD363F" w:rsidRPr="00E82ADD" w:rsidRDefault="00AD363F" w:rsidP="00967F4F">
      <w:pPr>
        <w:spacing w:before="40" w:after="0" w:line="240" w:lineRule="auto"/>
        <w:ind w:left="142" w:hanging="142"/>
        <w:jc w:val="both"/>
        <w:rPr>
          <w:rFonts w:ascii="Calibri" w:eastAsia="Calibri" w:hAnsi="Calibri" w:cs="Calibri"/>
          <w:sz w:val="20"/>
          <w:szCs w:val="20"/>
        </w:rPr>
      </w:pPr>
      <w:r w:rsidRPr="00E82ADD">
        <w:rPr>
          <w:rFonts w:ascii="Calibri" w:eastAsia="Calibri" w:hAnsi="Calibri" w:cs="Calibri"/>
          <w:sz w:val="20"/>
          <w:szCs w:val="20"/>
        </w:rPr>
        <w:t>*</w:t>
      </w:r>
      <w:r w:rsidR="00967F4F">
        <w:rPr>
          <w:rFonts w:ascii="Calibri" w:eastAsia="Calibri" w:hAnsi="Calibri" w:cs="Calibri"/>
          <w:sz w:val="20"/>
          <w:szCs w:val="20"/>
        </w:rPr>
        <w:tab/>
      </w:r>
      <w:r w:rsidR="009928FA">
        <w:rPr>
          <w:rFonts w:ascii="Calibri" w:eastAsia="Calibri" w:hAnsi="Calibri" w:cs="Calibri"/>
          <w:sz w:val="20"/>
          <w:szCs w:val="20"/>
        </w:rPr>
        <w:t>P</w:t>
      </w:r>
      <w:r w:rsidRPr="00E82ADD">
        <w:rPr>
          <w:rFonts w:ascii="Calibri" w:eastAsia="Calibri" w:hAnsi="Calibri" w:cs="Calibri"/>
          <w:sz w:val="20"/>
          <w:szCs w:val="20"/>
        </w:rPr>
        <w:t>ůvodní hodnota byla 216 TJ/rok, byla snížena v roce 2023 v rámci první změny NPO, kterou schválila Evropská komise dne 26. září 2023.</w:t>
      </w:r>
    </w:p>
    <w:p w14:paraId="690969C2" w14:textId="5A26CD48" w:rsidR="00AD363F" w:rsidRPr="00E82ADD" w:rsidRDefault="00AD363F" w:rsidP="00967F4F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967F4F">
        <w:rPr>
          <w:rFonts w:ascii="Calibri" w:eastAsia="Calibri" w:hAnsi="Calibri" w:cs="Calibri"/>
          <w:b/>
          <w:bCs/>
          <w:sz w:val="20"/>
          <w:szCs w:val="20"/>
        </w:rPr>
        <w:t xml:space="preserve">Zdroj: </w:t>
      </w:r>
      <w:r w:rsidRPr="00620795">
        <w:rPr>
          <w:rFonts w:ascii="Calibri" w:eastAsia="Calibri" w:hAnsi="Calibri" w:cs="Calibri"/>
          <w:i/>
          <w:iCs/>
          <w:sz w:val="20"/>
          <w:szCs w:val="20"/>
        </w:rPr>
        <w:t>Národní plán obnovy</w:t>
      </w:r>
      <w:r w:rsidRPr="00E82ADD">
        <w:rPr>
          <w:rFonts w:ascii="Calibri" w:eastAsia="Calibri" w:hAnsi="Calibri" w:cs="Calibri"/>
          <w:sz w:val="20"/>
          <w:szCs w:val="20"/>
        </w:rPr>
        <w:t>, odpovědi MPO</w:t>
      </w:r>
      <w:r w:rsidR="009928FA">
        <w:rPr>
          <w:rFonts w:ascii="Calibri" w:eastAsia="Calibri" w:hAnsi="Calibri" w:cs="Calibri"/>
          <w:sz w:val="20"/>
          <w:szCs w:val="20"/>
        </w:rPr>
        <w:t>.</w:t>
      </w:r>
    </w:p>
    <w:p w14:paraId="5B5F8790" w14:textId="77777777" w:rsidR="00AD363F" w:rsidRPr="00AD363F" w:rsidRDefault="00AD363F" w:rsidP="00967F4F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  <w:b/>
          <w:bCs/>
        </w:rPr>
      </w:pPr>
    </w:p>
    <w:p w14:paraId="03996FEB" w14:textId="7A11EED9" w:rsidR="00AD363F" w:rsidRDefault="00AD363F" w:rsidP="00967F4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363F">
        <w:rPr>
          <w:rFonts w:ascii="Calibri" w:eastAsia="Calibri" w:hAnsi="Calibri" w:cs="Calibri"/>
        </w:rPr>
        <w:t xml:space="preserve">Cílů podpory v NPO má být dosaženo do 31. března 2026. Mimo aktivity </w:t>
      </w:r>
      <w:r w:rsidRPr="00AD363F">
        <w:rPr>
          <w:rFonts w:ascii="Calibri" w:eastAsia="Calibri" w:hAnsi="Calibri" w:cs="Calibri"/>
          <w:i/>
          <w:iCs/>
        </w:rPr>
        <w:t>Snížení energetické náročnosti budov ve vlastnictví OSS</w:t>
      </w:r>
      <w:r w:rsidRPr="00AD363F">
        <w:rPr>
          <w:rFonts w:ascii="Calibri" w:eastAsia="Calibri" w:hAnsi="Calibri" w:cs="Calibri"/>
        </w:rPr>
        <w:t xml:space="preserve"> jsou všechny výzvy již uzavřeny a</w:t>
      </w:r>
      <w:r w:rsidR="00967F4F">
        <w:rPr>
          <w:rFonts w:ascii="Calibri" w:eastAsia="Calibri" w:hAnsi="Calibri" w:cs="Calibri"/>
        </w:rPr>
        <w:t> </w:t>
      </w:r>
      <w:r w:rsidRPr="00AD363F">
        <w:rPr>
          <w:rFonts w:ascii="Calibri" w:eastAsia="Calibri" w:hAnsi="Calibri" w:cs="Calibri"/>
        </w:rPr>
        <w:t xml:space="preserve">probíhá realizace projektů. Podle </w:t>
      </w:r>
      <w:r w:rsidR="00712161">
        <w:rPr>
          <w:rFonts w:ascii="Calibri" w:eastAsia="Calibri" w:hAnsi="Calibri" w:cs="Calibri"/>
        </w:rPr>
        <w:t xml:space="preserve">dosažených hodnot dle </w:t>
      </w:r>
      <w:proofErr w:type="spellStart"/>
      <w:r w:rsidR="00712161">
        <w:rPr>
          <w:rFonts w:ascii="Calibri" w:eastAsia="Calibri" w:hAnsi="Calibri" w:cs="Calibri"/>
        </w:rPr>
        <w:t>RoPD</w:t>
      </w:r>
      <w:proofErr w:type="spellEnd"/>
      <w:r w:rsidR="00712161">
        <w:rPr>
          <w:rFonts w:ascii="Calibri" w:eastAsia="Calibri" w:hAnsi="Calibri" w:cs="Calibri"/>
        </w:rPr>
        <w:t xml:space="preserve"> (tabulka č. 4) </w:t>
      </w:r>
      <w:r w:rsidRPr="00AD363F">
        <w:rPr>
          <w:rFonts w:ascii="Calibri" w:eastAsia="Calibri" w:hAnsi="Calibri" w:cs="Calibri"/>
        </w:rPr>
        <w:lastRenderedPageBreak/>
        <w:t>jednotlivých projektů lze předpokládat, že podpora pro podnikatelské subjekty splní a</w:t>
      </w:r>
      <w:r w:rsidR="00967F4F">
        <w:rPr>
          <w:rFonts w:ascii="Calibri" w:eastAsia="Calibri" w:hAnsi="Calibri" w:cs="Calibri"/>
        </w:rPr>
        <w:t> </w:t>
      </w:r>
      <w:r w:rsidRPr="00AD363F">
        <w:rPr>
          <w:rFonts w:ascii="Calibri" w:eastAsia="Calibri" w:hAnsi="Calibri" w:cs="Calibri"/>
        </w:rPr>
        <w:t xml:space="preserve">překoná své plánované cíle. </w:t>
      </w:r>
    </w:p>
    <w:p w14:paraId="49FD687A" w14:textId="77777777" w:rsidR="00FD0094" w:rsidRPr="00AD363F" w:rsidRDefault="00FD0094" w:rsidP="0081175A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205FEE89" w14:textId="167746FE" w:rsidR="00AD363F" w:rsidRDefault="00343FF6" w:rsidP="00967F4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NKÚ upozorňuje na riziko, že stanovený cíl snížení energetické náročnosti budov pro organizační složky státu </w:t>
      </w:r>
      <w:r w:rsidR="001218AD">
        <w:rPr>
          <w:rFonts w:ascii="Calibri" w:eastAsia="Calibri" w:hAnsi="Calibri" w:cs="Calibri"/>
        </w:rPr>
        <w:t xml:space="preserve">ve výši 140 TJ/rok </w:t>
      </w:r>
      <w:r>
        <w:rPr>
          <w:rFonts w:ascii="Calibri" w:eastAsia="Calibri" w:hAnsi="Calibri" w:cs="Calibri"/>
        </w:rPr>
        <w:t>MPO nesplní</w:t>
      </w:r>
      <w:r w:rsidR="008228BE">
        <w:rPr>
          <w:rFonts w:ascii="Calibri" w:eastAsia="Calibri" w:hAnsi="Calibri" w:cs="Calibri"/>
        </w:rPr>
        <w:t xml:space="preserve"> z důvodu nezájmu o podpor</w:t>
      </w:r>
      <w:r w:rsidR="008228BE" w:rsidRPr="00967F4F">
        <w:rPr>
          <w:rFonts w:ascii="Calibri" w:eastAsia="Calibri" w:hAnsi="Calibri" w:cs="Calibri"/>
        </w:rPr>
        <w:t>u</w:t>
      </w:r>
      <w:r w:rsidRPr="00967F4F">
        <w:rPr>
          <w:rFonts w:ascii="Calibri" w:eastAsia="Calibri" w:hAnsi="Calibri" w:cs="Calibri"/>
        </w:rPr>
        <w:t>.</w:t>
      </w:r>
      <w:r w:rsidR="00243D51" w:rsidRPr="00967F4F">
        <w:rPr>
          <w:rFonts w:ascii="Calibri" w:eastAsia="Calibri" w:hAnsi="Calibri" w:cs="Calibri"/>
        </w:rPr>
        <w:t xml:space="preserve"> </w:t>
      </w:r>
      <w:r w:rsidR="00243D51" w:rsidRPr="00243D51">
        <w:rPr>
          <w:rFonts w:ascii="Calibri" w:eastAsia="Calibri" w:hAnsi="Calibri" w:cs="Calibri"/>
        </w:rPr>
        <w:t xml:space="preserve">Z celkových alokovaných peněžních prostředků ve výši 2,89 mld. Kč bylo po třech letech na projekty poskytnuto 9 % a projekty přinesly úsporu spotřeby energie jen 19,7 TJ/rok. </w:t>
      </w:r>
      <w:r w:rsidR="00FB3446">
        <w:rPr>
          <w:rFonts w:ascii="Calibri" w:eastAsia="Calibri" w:hAnsi="Calibri" w:cs="Calibri"/>
        </w:rPr>
        <w:t xml:space="preserve">Žádosti o podporu ve II. výzvě lze sice podávat až do října 2025, </w:t>
      </w:r>
      <w:r w:rsidR="00AD363F" w:rsidRPr="00AD363F">
        <w:rPr>
          <w:rFonts w:ascii="Calibri" w:eastAsia="Calibri" w:hAnsi="Calibri" w:cs="Calibri"/>
        </w:rPr>
        <w:t>všechny projekty</w:t>
      </w:r>
      <w:r w:rsidR="00FB3446">
        <w:rPr>
          <w:rFonts w:ascii="Calibri" w:eastAsia="Calibri" w:hAnsi="Calibri" w:cs="Calibri"/>
        </w:rPr>
        <w:t xml:space="preserve"> však</w:t>
      </w:r>
      <w:r w:rsidR="00AD363F" w:rsidRPr="00AD363F">
        <w:rPr>
          <w:rFonts w:ascii="Calibri" w:eastAsia="Calibri" w:hAnsi="Calibri" w:cs="Calibri"/>
        </w:rPr>
        <w:t xml:space="preserve"> musí být dokončeny do 31. prosince</w:t>
      </w:r>
      <w:r>
        <w:rPr>
          <w:rFonts w:ascii="Calibri" w:eastAsia="Calibri" w:hAnsi="Calibri" w:cs="Calibri"/>
        </w:rPr>
        <w:t xml:space="preserve"> 2025</w:t>
      </w:r>
      <w:r w:rsidR="00AD363F" w:rsidRPr="00AD363F">
        <w:rPr>
          <w:rFonts w:ascii="Calibri" w:eastAsia="Calibri" w:hAnsi="Calibri" w:cs="Calibri"/>
        </w:rPr>
        <w:t>. NKÚ zjistil, že důvodem nezájmu OSS o</w:t>
      </w:r>
      <w:r w:rsidR="00967F4F">
        <w:rPr>
          <w:rFonts w:ascii="Calibri" w:eastAsia="Calibri" w:hAnsi="Calibri" w:cs="Calibri"/>
        </w:rPr>
        <w:t> </w:t>
      </w:r>
      <w:r w:rsidR="00AD363F" w:rsidRPr="00AD363F">
        <w:rPr>
          <w:rFonts w:ascii="Calibri" w:eastAsia="Calibri" w:hAnsi="Calibri" w:cs="Calibri"/>
        </w:rPr>
        <w:t>podporu byl</w:t>
      </w:r>
      <w:r w:rsidR="00E4334A">
        <w:rPr>
          <w:rFonts w:ascii="Calibri" w:eastAsia="Calibri" w:hAnsi="Calibri" w:cs="Calibri"/>
        </w:rPr>
        <w:t xml:space="preserve"> mimo jiné</w:t>
      </w:r>
      <w:r w:rsidR="00AD363F" w:rsidRPr="00AD363F">
        <w:rPr>
          <w:rFonts w:ascii="Calibri" w:eastAsia="Calibri" w:hAnsi="Calibri" w:cs="Calibri"/>
        </w:rPr>
        <w:t xml:space="preserve"> krátký čas na realizaci projektu, zejména pak nepřekročitelný termín dokončení realizace projektů k</w:t>
      </w:r>
      <w:r w:rsidR="00387A04">
        <w:rPr>
          <w:rFonts w:ascii="Calibri" w:eastAsia="Calibri" w:hAnsi="Calibri" w:cs="Calibri"/>
        </w:rPr>
        <w:t> </w:t>
      </w:r>
      <w:r w:rsidR="00AD363F" w:rsidRPr="00AD363F">
        <w:rPr>
          <w:rFonts w:ascii="Calibri" w:eastAsia="Calibri" w:hAnsi="Calibri" w:cs="Calibri"/>
        </w:rPr>
        <w:t>31</w:t>
      </w:r>
      <w:r w:rsidR="00387A04">
        <w:rPr>
          <w:rFonts w:ascii="Calibri" w:eastAsia="Calibri" w:hAnsi="Calibri" w:cs="Calibri"/>
        </w:rPr>
        <w:t>.</w:t>
      </w:r>
      <w:r w:rsidR="00AD363F" w:rsidRPr="00AD363F">
        <w:rPr>
          <w:rFonts w:ascii="Calibri" w:eastAsia="Calibri" w:hAnsi="Calibri" w:cs="Calibri"/>
        </w:rPr>
        <w:t xml:space="preserve"> prosinci 2025. Dalšími důvody nezájmu byla vysoká míra inflace, růst stavebních nákladů a nedostatek zdrojů OSS na investice. Nezájem trval i přesto, že ve II. výzvě MPO zmírnilo podmínky pro získání podpory zejména zvýšením maximální hranice způsobilých výdajů z 16 500 Kč/GJ na 20 500 Kč/GJ úspory energie a zahrnutím projektové přípravy do způsobilých nákladů. NKÚ zjistil, že se MPO dostatečně nezabývalo vhodností zařazení aktivity adresované přímo OSS do striktně časově vymezeného programu a při nastavování cílů podpory nedostatečně zohlednilo rizika spojená s realizací projektů u příjemců z řad OSS</w:t>
      </w:r>
      <w:r w:rsidR="00184274">
        <w:rPr>
          <w:rFonts w:ascii="Calibri" w:eastAsia="Calibri" w:hAnsi="Calibri" w:cs="Calibri"/>
        </w:rPr>
        <w:t>, u kterých jsou investice financovány prostřednictvím státního rozpočtu.</w:t>
      </w:r>
    </w:p>
    <w:p w14:paraId="6F6ED772" w14:textId="77777777" w:rsidR="00AD363F" w:rsidRDefault="00AD363F" w:rsidP="0081175A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3B762791" w14:textId="78EB3F15" w:rsidR="00AD363F" w:rsidRPr="00AD363F" w:rsidRDefault="00AD363F" w:rsidP="0081175A">
      <w:pPr>
        <w:keepNext/>
        <w:spacing w:after="0" w:line="240" w:lineRule="auto"/>
        <w:rPr>
          <w:rFonts w:ascii="Calibri" w:eastAsia="Calibri" w:hAnsi="Calibri" w:cs="Calibri"/>
          <w:b/>
          <w:bCs/>
        </w:rPr>
      </w:pPr>
      <w:r w:rsidRPr="00AD363F">
        <w:rPr>
          <w:rFonts w:ascii="Calibri" w:eastAsia="Calibri" w:hAnsi="Calibri" w:cs="Calibri"/>
          <w:b/>
          <w:bCs/>
        </w:rPr>
        <w:t xml:space="preserve">U </w:t>
      </w:r>
      <w:r w:rsidR="00434BD7">
        <w:rPr>
          <w:rFonts w:ascii="Calibri" w:eastAsia="Calibri" w:hAnsi="Calibri" w:cs="Calibri"/>
          <w:b/>
          <w:bCs/>
        </w:rPr>
        <w:t>čtyř z 16</w:t>
      </w:r>
      <w:r w:rsidR="00434BD7" w:rsidRPr="00AD363F">
        <w:rPr>
          <w:rFonts w:ascii="Calibri" w:eastAsia="Calibri" w:hAnsi="Calibri" w:cs="Calibri"/>
          <w:b/>
          <w:bCs/>
        </w:rPr>
        <w:t xml:space="preserve"> </w:t>
      </w:r>
      <w:r w:rsidRPr="00AD363F">
        <w:rPr>
          <w:rFonts w:ascii="Calibri" w:eastAsia="Calibri" w:hAnsi="Calibri" w:cs="Calibri"/>
          <w:b/>
          <w:bCs/>
        </w:rPr>
        <w:t>vybraných příjemců podpory, které NKÚ zkontroloval, zjistil skutečnosti nasvědčující porušení rozpočtové kázně</w:t>
      </w:r>
    </w:p>
    <w:p w14:paraId="032E85F3" w14:textId="77777777" w:rsidR="00AD363F" w:rsidRPr="00AD363F" w:rsidRDefault="00AD363F" w:rsidP="0081175A">
      <w:pPr>
        <w:pStyle w:val="Odstavecseseznamem"/>
        <w:keepNext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24099C27" w14:textId="73E00D66" w:rsidR="00AD363F" w:rsidRDefault="00AD363F" w:rsidP="00967F4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363F">
        <w:rPr>
          <w:rFonts w:ascii="Calibri" w:eastAsia="Calibri" w:hAnsi="Calibri" w:cs="Calibri"/>
        </w:rPr>
        <w:t xml:space="preserve">NKÚ prověřil realizaci a přínosy 16 vybraných projektů, které příjemci podpory realizovali v rámci programu podpory </w:t>
      </w:r>
      <w:r w:rsidRPr="00620795">
        <w:rPr>
          <w:rFonts w:ascii="Calibri" w:eastAsia="Calibri" w:hAnsi="Calibri" w:cs="Calibri"/>
          <w:i/>
          <w:iCs/>
        </w:rPr>
        <w:t>Úspory energie</w:t>
      </w:r>
      <w:r w:rsidRPr="00AD363F">
        <w:rPr>
          <w:rFonts w:ascii="Calibri" w:eastAsia="Calibri" w:hAnsi="Calibri" w:cs="Calibri"/>
        </w:rPr>
        <w:t xml:space="preserve"> </w:t>
      </w:r>
      <w:r w:rsidR="00153853">
        <w:rPr>
          <w:rFonts w:ascii="Calibri" w:eastAsia="Calibri" w:hAnsi="Calibri" w:cs="Calibri"/>
        </w:rPr>
        <w:t>OP PIK</w:t>
      </w:r>
      <w:r w:rsidRPr="00AD363F">
        <w:rPr>
          <w:rFonts w:ascii="Calibri" w:eastAsia="Calibri" w:hAnsi="Calibri" w:cs="Calibri"/>
        </w:rPr>
        <w:t xml:space="preserve"> (</w:t>
      </w:r>
      <w:r w:rsidR="0081175A">
        <w:rPr>
          <w:rFonts w:ascii="Calibri" w:eastAsia="Calibri" w:hAnsi="Calibri" w:cs="Calibri"/>
        </w:rPr>
        <w:t xml:space="preserve">viz </w:t>
      </w:r>
      <w:r w:rsidRPr="00AD363F">
        <w:rPr>
          <w:rFonts w:ascii="Calibri" w:eastAsia="Calibri" w:hAnsi="Calibri" w:cs="Calibri"/>
        </w:rPr>
        <w:t>příloh</w:t>
      </w:r>
      <w:r w:rsidR="0081175A">
        <w:rPr>
          <w:rFonts w:ascii="Calibri" w:eastAsia="Calibri" w:hAnsi="Calibri" w:cs="Calibri"/>
        </w:rPr>
        <w:t>u</w:t>
      </w:r>
      <w:r w:rsidRPr="00AD363F">
        <w:rPr>
          <w:rFonts w:ascii="Calibri" w:eastAsia="Calibri" w:hAnsi="Calibri" w:cs="Calibri"/>
        </w:rPr>
        <w:t xml:space="preserve"> č. </w:t>
      </w:r>
      <w:r w:rsidR="00235C8F">
        <w:rPr>
          <w:rFonts w:ascii="Calibri" w:eastAsia="Calibri" w:hAnsi="Calibri" w:cs="Calibri"/>
        </w:rPr>
        <w:t>1</w:t>
      </w:r>
      <w:r w:rsidRPr="00AD363F">
        <w:rPr>
          <w:rFonts w:ascii="Calibri" w:eastAsia="Calibri" w:hAnsi="Calibri" w:cs="Calibri"/>
        </w:rPr>
        <w:t xml:space="preserve">). </w:t>
      </w:r>
      <w:r w:rsidR="00387A04">
        <w:rPr>
          <w:rFonts w:ascii="Calibri" w:eastAsia="Calibri" w:hAnsi="Calibri" w:cs="Calibri"/>
        </w:rPr>
        <w:t>Všechny v</w:t>
      </w:r>
      <w:r w:rsidRPr="00AD363F">
        <w:rPr>
          <w:rFonts w:ascii="Calibri" w:eastAsia="Calibri" w:hAnsi="Calibri" w:cs="Calibri"/>
        </w:rPr>
        <w:t>ybrané projekty byly v době udržitelnosti</w:t>
      </w:r>
      <w:r w:rsidR="00387A04">
        <w:rPr>
          <w:rFonts w:ascii="Calibri" w:eastAsia="Calibri" w:hAnsi="Calibri" w:cs="Calibri"/>
        </w:rPr>
        <w:t xml:space="preserve"> a </w:t>
      </w:r>
      <w:r w:rsidR="00387A04" w:rsidRPr="00387A04">
        <w:rPr>
          <w:rFonts w:ascii="Calibri" w:eastAsia="Calibri" w:hAnsi="Calibri" w:cs="Calibri"/>
        </w:rPr>
        <w:t>byly podpořeny dotací</w:t>
      </w:r>
      <w:r w:rsidR="00434BD7">
        <w:rPr>
          <w:rFonts w:ascii="Calibri" w:eastAsia="Calibri" w:hAnsi="Calibri" w:cs="Calibri"/>
        </w:rPr>
        <w:t>.</w:t>
      </w:r>
      <w:r w:rsidR="00387A04" w:rsidRPr="00387A04">
        <w:rPr>
          <w:rFonts w:ascii="Calibri" w:eastAsia="Calibri" w:hAnsi="Calibri" w:cs="Calibri"/>
        </w:rPr>
        <w:t xml:space="preserve"> </w:t>
      </w:r>
      <w:r w:rsidRPr="00AD363F">
        <w:rPr>
          <w:rFonts w:ascii="Calibri" w:eastAsia="Calibri" w:hAnsi="Calibri" w:cs="Calibri"/>
        </w:rPr>
        <w:t xml:space="preserve">Podle nastavených pravidel mají </w:t>
      </w:r>
      <w:r w:rsidR="00F51E8B">
        <w:rPr>
          <w:rFonts w:ascii="Calibri" w:eastAsia="Calibri" w:hAnsi="Calibri" w:cs="Calibri"/>
        </w:rPr>
        <w:t>příjemci podpory</w:t>
      </w:r>
      <w:r w:rsidRPr="00AD363F">
        <w:rPr>
          <w:rFonts w:ascii="Calibri" w:eastAsia="Calibri" w:hAnsi="Calibri" w:cs="Calibri"/>
        </w:rPr>
        <w:t xml:space="preserve"> v době udržitelnosti předložit energetický posudek, kterým prokážou, zda </w:t>
      </w:r>
      <w:r w:rsidR="00F51E8B">
        <w:rPr>
          <w:rFonts w:ascii="Calibri" w:eastAsia="Calibri" w:hAnsi="Calibri" w:cs="Calibri"/>
        </w:rPr>
        <w:t xml:space="preserve">realizací projektu </w:t>
      </w:r>
      <w:r w:rsidRPr="00AD363F">
        <w:rPr>
          <w:rFonts w:ascii="Calibri" w:eastAsia="Calibri" w:hAnsi="Calibri" w:cs="Calibri"/>
        </w:rPr>
        <w:t xml:space="preserve">dosáhli deklarovaných úspor. </w:t>
      </w:r>
    </w:p>
    <w:p w14:paraId="591904FB" w14:textId="77777777" w:rsidR="00FD0094" w:rsidRPr="00AD363F" w:rsidRDefault="00FD0094" w:rsidP="00967F4F">
      <w:pPr>
        <w:pStyle w:val="Odstavecseseznamem"/>
        <w:spacing w:after="0" w:line="240" w:lineRule="auto"/>
        <w:ind w:left="0"/>
        <w:jc w:val="both"/>
        <w:rPr>
          <w:rFonts w:ascii="Calibri" w:eastAsia="Calibri" w:hAnsi="Calibri" w:cs="Calibri"/>
        </w:rPr>
      </w:pPr>
    </w:p>
    <w:p w14:paraId="51A1B16C" w14:textId="756EFD29" w:rsidR="00AD363F" w:rsidRDefault="00AD363F" w:rsidP="00967F4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D363F">
        <w:rPr>
          <w:rFonts w:ascii="Calibri" w:eastAsia="Calibri" w:hAnsi="Calibri" w:cs="Calibri"/>
        </w:rPr>
        <w:t xml:space="preserve">Z 16 </w:t>
      </w:r>
      <w:r w:rsidR="00434BD7">
        <w:rPr>
          <w:rFonts w:ascii="Calibri" w:eastAsia="Calibri" w:hAnsi="Calibri" w:cs="Calibri"/>
        </w:rPr>
        <w:t xml:space="preserve">kontrolovaných </w:t>
      </w:r>
      <w:r w:rsidRPr="00AD363F">
        <w:rPr>
          <w:rFonts w:ascii="Calibri" w:eastAsia="Calibri" w:hAnsi="Calibri" w:cs="Calibri"/>
        </w:rPr>
        <w:t xml:space="preserve">projektů </w:t>
      </w:r>
      <w:r w:rsidR="00F24535">
        <w:rPr>
          <w:rFonts w:ascii="Calibri" w:eastAsia="Calibri" w:hAnsi="Calibri" w:cs="Calibri"/>
        </w:rPr>
        <w:t>u devíti</w:t>
      </w:r>
      <w:r w:rsidRPr="00AD363F">
        <w:rPr>
          <w:rFonts w:ascii="Calibri" w:eastAsia="Calibri" w:hAnsi="Calibri" w:cs="Calibri"/>
        </w:rPr>
        <w:t xml:space="preserve"> příjemci předložili energetický posudek, kterým doložili splnění cílů a účel podpory</w:t>
      </w:r>
      <w:r w:rsidR="009C65F1">
        <w:rPr>
          <w:rFonts w:ascii="Calibri" w:eastAsia="Calibri" w:hAnsi="Calibri" w:cs="Calibri"/>
        </w:rPr>
        <w:t xml:space="preserve"> (</w:t>
      </w:r>
      <w:r w:rsidR="0081175A">
        <w:rPr>
          <w:rFonts w:ascii="Calibri" w:eastAsia="Calibri" w:hAnsi="Calibri" w:cs="Calibri"/>
        </w:rPr>
        <w:t xml:space="preserve">viz </w:t>
      </w:r>
      <w:r w:rsidR="009C65F1">
        <w:rPr>
          <w:rFonts w:ascii="Calibri" w:eastAsia="Calibri" w:hAnsi="Calibri" w:cs="Calibri"/>
        </w:rPr>
        <w:t>příloh</w:t>
      </w:r>
      <w:r w:rsidR="0081175A">
        <w:rPr>
          <w:rFonts w:ascii="Calibri" w:eastAsia="Calibri" w:hAnsi="Calibri" w:cs="Calibri"/>
        </w:rPr>
        <w:t>u</w:t>
      </w:r>
      <w:r w:rsidR="009C65F1">
        <w:rPr>
          <w:rFonts w:ascii="Calibri" w:eastAsia="Calibri" w:hAnsi="Calibri" w:cs="Calibri"/>
        </w:rPr>
        <w:t xml:space="preserve"> č. 1).</w:t>
      </w:r>
      <w:r w:rsidRPr="00AD363F">
        <w:rPr>
          <w:rFonts w:ascii="Calibri" w:eastAsia="Calibri" w:hAnsi="Calibri" w:cs="Calibri"/>
        </w:rPr>
        <w:t xml:space="preserve"> </w:t>
      </w:r>
      <w:r w:rsidR="00434BD7">
        <w:rPr>
          <w:rFonts w:ascii="Calibri" w:eastAsia="Calibri" w:hAnsi="Calibri" w:cs="Calibri"/>
        </w:rPr>
        <w:t>NKÚ u</w:t>
      </w:r>
      <w:r w:rsidRPr="00AD363F">
        <w:rPr>
          <w:rFonts w:ascii="Calibri" w:eastAsia="Calibri" w:hAnsi="Calibri" w:cs="Calibri"/>
        </w:rPr>
        <w:t xml:space="preserve"> dvou z těchto projektů při kontrole zjistil, že byly realizovány v některých aspektech odlišně od schváleného projektu:</w:t>
      </w:r>
    </w:p>
    <w:p w14:paraId="3E073060" w14:textId="1E727CCE" w:rsidR="00AD363F" w:rsidRPr="00E82ADD" w:rsidRDefault="00F558E2" w:rsidP="00967F4F">
      <w:pPr>
        <w:numPr>
          <w:ilvl w:val="2"/>
          <w:numId w:val="2"/>
        </w:numPr>
        <w:tabs>
          <w:tab w:val="clear" w:pos="567"/>
        </w:tabs>
        <w:spacing w:after="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Příjemce podpory </w:t>
      </w:r>
      <w:r w:rsidR="00AD363F" w:rsidRPr="00E82ADD">
        <w:rPr>
          <w:rFonts w:ascii="Calibri" w:eastAsia="Calibri" w:hAnsi="Calibri" w:cs="Calibri"/>
        </w:rPr>
        <w:t>realizoval projekt na snížení energetické náročnosti budovy. Při kontrole u příjemce NKÚ zjistil, že příjemce realizoval v rámci projektu také výměnu vnitřních ocelových dveří za nové protipožární, které ovšem neměly žádný přínos na energetické úspory, neboť se nachází uvnitř budovy. Potřeb</w:t>
      </w:r>
      <w:r w:rsidR="00F51E8B">
        <w:rPr>
          <w:rFonts w:ascii="Calibri" w:eastAsia="Calibri" w:hAnsi="Calibri" w:cs="Calibri"/>
        </w:rPr>
        <w:t>a</w:t>
      </w:r>
      <w:r w:rsidR="00AD363F" w:rsidRPr="00E82ADD">
        <w:rPr>
          <w:rFonts w:ascii="Calibri" w:eastAsia="Calibri" w:hAnsi="Calibri" w:cs="Calibri"/>
        </w:rPr>
        <w:t xml:space="preserve"> výměny byla vyvolána požadavkem na požárně bezpečnostní řešení v části budovy, ve které se neprováděla úsporná opatření. Z toho důvodu neměly být výdaje na tuto výměnu zařazeny mezi způsobilé. Jedná se tak o skutečnost nasvědčující porušení rozpočtové kázně</w:t>
      </w:r>
      <w:r w:rsidR="00AD363F" w:rsidRPr="00E82ADD">
        <w:rPr>
          <w:rFonts w:ascii="Calibri" w:eastAsia="Calibri" w:hAnsi="Calibri" w:cs="Calibri"/>
          <w:vertAlign w:val="superscript"/>
        </w:rPr>
        <w:footnoteReference w:id="41"/>
      </w:r>
      <w:r w:rsidR="00AD363F" w:rsidRPr="00E82ADD">
        <w:rPr>
          <w:rFonts w:ascii="Calibri" w:eastAsia="Calibri" w:hAnsi="Calibri" w:cs="Calibri"/>
        </w:rPr>
        <w:t xml:space="preserve"> až do výše 18 990,72 Kč. </w:t>
      </w:r>
      <w:r w:rsidR="00434BD7">
        <w:rPr>
          <w:rFonts w:ascii="Calibri" w:eastAsia="Calibri" w:hAnsi="Calibri" w:cs="Calibri"/>
        </w:rPr>
        <w:t>Zároveň se jedná o</w:t>
      </w:r>
      <w:r w:rsidR="00AD363F" w:rsidRPr="00E82ADD">
        <w:rPr>
          <w:rFonts w:ascii="Calibri" w:eastAsia="Calibri" w:hAnsi="Calibri" w:cs="Calibri"/>
        </w:rPr>
        <w:t xml:space="preserve"> nesrovnalost podle nařízení Evropského parlamentu a Rady (EU) č. 1303/2013</w:t>
      </w:r>
      <w:r w:rsidR="00AD363F" w:rsidRPr="00E82ADD">
        <w:rPr>
          <w:rFonts w:ascii="Calibri" w:eastAsia="Calibri" w:hAnsi="Calibri" w:cs="Calibri"/>
          <w:vertAlign w:val="superscript"/>
        </w:rPr>
        <w:footnoteReference w:id="42"/>
      </w:r>
      <w:r w:rsidR="00AD363F" w:rsidRPr="00E82ADD">
        <w:rPr>
          <w:rFonts w:ascii="Calibri" w:eastAsia="Calibri" w:hAnsi="Calibri" w:cs="Calibri"/>
        </w:rPr>
        <w:t>.</w:t>
      </w:r>
    </w:p>
    <w:p w14:paraId="464383B5" w14:textId="5E6C3991" w:rsidR="00AD363F" w:rsidRDefault="00F558E2" w:rsidP="00967F4F">
      <w:pPr>
        <w:numPr>
          <w:ilvl w:val="2"/>
          <w:numId w:val="2"/>
        </w:numPr>
        <w:tabs>
          <w:tab w:val="clear" w:pos="567"/>
        </w:tabs>
        <w:spacing w:after="0" w:line="240" w:lineRule="auto"/>
        <w:ind w:left="851" w:hanging="284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Příjemce podpory</w:t>
      </w:r>
      <w:r w:rsidR="00AD363F" w:rsidRPr="00E82ADD">
        <w:rPr>
          <w:rFonts w:ascii="Calibri" w:eastAsia="Calibri" w:hAnsi="Calibri" w:cs="Calibri"/>
        </w:rPr>
        <w:t xml:space="preserve"> realizoval projekt, který měl za cíl snížit energetickou náročnost provozu objektu, konkrétně se jednalo o realizaci zateplení obvodového pláště budovy, zateplení střešních konstrukcí a částečnou výměnu oken a dveří. Příjemce realizova</w:t>
      </w:r>
      <w:r w:rsidR="00AD363F">
        <w:rPr>
          <w:rFonts w:ascii="Calibri" w:eastAsia="Calibri" w:hAnsi="Calibri" w:cs="Calibri"/>
        </w:rPr>
        <w:t>l</w:t>
      </w:r>
      <w:r w:rsidR="00AD363F" w:rsidRPr="00E82ADD">
        <w:rPr>
          <w:rFonts w:ascii="Calibri" w:eastAsia="Calibri" w:hAnsi="Calibri" w:cs="Calibri"/>
        </w:rPr>
        <w:t xml:space="preserve"> nad rámec schváleného projektu zasklení balkonů rekonstruovaného objektu, které </w:t>
      </w:r>
      <w:r w:rsidR="00434BD7">
        <w:rPr>
          <w:rFonts w:ascii="Calibri" w:eastAsia="Calibri" w:hAnsi="Calibri" w:cs="Calibri"/>
        </w:rPr>
        <w:t>nebyly</w:t>
      </w:r>
      <w:r w:rsidR="00434BD7" w:rsidRPr="00E82ADD">
        <w:rPr>
          <w:rFonts w:ascii="Calibri" w:eastAsia="Calibri" w:hAnsi="Calibri" w:cs="Calibri"/>
        </w:rPr>
        <w:t xml:space="preserve"> </w:t>
      </w:r>
      <w:r w:rsidR="00AD363F" w:rsidRPr="00E82ADD">
        <w:rPr>
          <w:rFonts w:ascii="Calibri" w:eastAsia="Calibri" w:hAnsi="Calibri" w:cs="Calibri"/>
        </w:rPr>
        <w:t>zahrnuty do výpočtu úspor energie. Přesto příjemce</w:t>
      </w:r>
      <w:r w:rsidR="00113168">
        <w:rPr>
          <w:rFonts w:ascii="Calibri" w:eastAsia="Calibri" w:hAnsi="Calibri" w:cs="Calibri"/>
        </w:rPr>
        <w:t xml:space="preserve"> výdaje za ně</w:t>
      </w:r>
      <w:r w:rsidR="00AD363F" w:rsidRPr="00E82ADD">
        <w:rPr>
          <w:rFonts w:ascii="Calibri" w:eastAsia="Calibri" w:hAnsi="Calibri" w:cs="Calibri"/>
        </w:rPr>
        <w:t xml:space="preserve"> zahrnul do způsobilých výdajů. Při kontrole u příjemce pak NKÚ zjistil, že příjemce některé položky nerealizoval, ačkoliv byly součástí schváleného projektu a příjemce je uplatnil jako způsobilé výdaje. NKÚ tak vyhodnotil, že se jedná o skutečnosti nasvědčující porušení rozpočtové kázně až do výše 365 271,77 Kč. </w:t>
      </w:r>
      <w:r w:rsidR="00434BD7">
        <w:rPr>
          <w:rFonts w:ascii="Calibri" w:eastAsia="Calibri" w:hAnsi="Calibri" w:cs="Calibri"/>
        </w:rPr>
        <w:t>Zároveň se jedná o</w:t>
      </w:r>
      <w:r w:rsidR="00AD363F" w:rsidRPr="00E82ADD">
        <w:rPr>
          <w:rFonts w:ascii="Calibri" w:eastAsia="Calibri" w:hAnsi="Calibri" w:cs="Calibri"/>
        </w:rPr>
        <w:t xml:space="preserve"> nesrovnalost podle nařízení Evropského parlamentu a Rady (EU) č. 1303/2013.</w:t>
      </w:r>
    </w:p>
    <w:p w14:paraId="7AA3D010" w14:textId="77777777" w:rsidR="00AD363F" w:rsidRPr="00AD363F" w:rsidRDefault="00AD363F" w:rsidP="00967F4F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48576A4F" w14:textId="52CB730F" w:rsidR="00AD363F" w:rsidRDefault="00321D83" w:rsidP="00967F4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Cílem </w:t>
      </w:r>
      <w:r w:rsidR="00AD363F" w:rsidRPr="00AD363F">
        <w:rPr>
          <w:rFonts w:ascii="Calibri" w:eastAsia="Calibri" w:hAnsi="Calibri" w:cs="Calibri"/>
        </w:rPr>
        <w:t>poskytnuté podpory u těchto dvou projektů bylo dosažení úspor energie, které i</w:t>
      </w:r>
      <w:r w:rsidR="00140DDD">
        <w:rPr>
          <w:rFonts w:ascii="Calibri" w:eastAsia="Calibri" w:hAnsi="Calibri" w:cs="Calibri"/>
        </w:rPr>
        <w:t> </w:t>
      </w:r>
      <w:r w:rsidR="00AD363F" w:rsidRPr="00AD363F">
        <w:rPr>
          <w:rFonts w:ascii="Calibri" w:eastAsia="Calibri" w:hAnsi="Calibri" w:cs="Calibri"/>
        </w:rPr>
        <w:t>přes výše uvedená zjištění příjemce prokázal prostřednictvím energetického posudku.</w:t>
      </w:r>
    </w:p>
    <w:p w14:paraId="23680FAB" w14:textId="77777777" w:rsidR="00AD363F" w:rsidRPr="00AD363F" w:rsidRDefault="00AD363F" w:rsidP="00D8731A">
      <w:pPr>
        <w:pStyle w:val="Odstavecseseznamem"/>
        <w:spacing w:after="0" w:line="240" w:lineRule="auto"/>
        <w:ind w:left="0"/>
        <w:contextualSpacing w:val="0"/>
        <w:jc w:val="both"/>
        <w:rPr>
          <w:rFonts w:ascii="Calibri" w:eastAsia="Calibri" w:hAnsi="Calibri" w:cs="Calibri"/>
        </w:rPr>
      </w:pPr>
    </w:p>
    <w:p w14:paraId="7F7B6C72" w14:textId="0E03EF9B" w:rsidR="00AD363F" w:rsidRDefault="00AD363F" w:rsidP="00D8731A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r w:rsidRPr="00AD363F">
        <w:rPr>
          <w:rFonts w:ascii="Calibri" w:eastAsia="Calibri" w:hAnsi="Calibri" w:cs="Calibri"/>
        </w:rPr>
        <w:t xml:space="preserve">Zbývajících sedm kontrolovaných projektů již bylo v době kontroly NKÚ dokončeno, ale </w:t>
      </w:r>
      <w:r w:rsidR="00113168">
        <w:rPr>
          <w:rFonts w:ascii="Calibri" w:eastAsia="Calibri" w:hAnsi="Calibri" w:cs="Calibri"/>
        </w:rPr>
        <w:t xml:space="preserve">do doby ukončení kontroly NKÚ neměly zpracován </w:t>
      </w:r>
      <w:r w:rsidRPr="00AD363F">
        <w:rPr>
          <w:rFonts w:ascii="Calibri" w:eastAsia="Calibri" w:hAnsi="Calibri" w:cs="Calibri"/>
        </w:rPr>
        <w:t>energetický posudek, který by prokazoval přínosy podpořených projektů. U dvou z nich NKÚ zjistil, že byly realizovány v některých aspektech odlišně od schváleného projektu:</w:t>
      </w:r>
    </w:p>
    <w:p w14:paraId="4B377EDE" w14:textId="736715FB" w:rsidR="00F9666E" w:rsidRPr="00E82ADD" w:rsidRDefault="00F558E2" w:rsidP="00D8731A">
      <w:pPr>
        <w:numPr>
          <w:ilvl w:val="2"/>
          <w:numId w:val="2"/>
        </w:numPr>
        <w:tabs>
          <w:tab w:val="clear" w:pos="567"/>
        </w:tabs>
        <w:spacing w:after="0" w:line="240" w:lineRule="auto"/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Příjemce podpory</w:t>
      </w:r>
      <w:r w:rsidR="00F9666E" w:rsidRPr="00E82ADD">
        <w:rPr>
          <w:rFonts w:ascii="Calibri" w:eastAsia="Calibri" w:hAnsi="Calibri" w:cs="Calibri"/>
        </w:rPr>
        <w:t xml:space="preserve"> realizoval projekt na snížení energetické náročnosti administrativního objektu zateplením obálky budovy, výměnou oken a modernizací osvětlení. NKÚ zjistil, že příjemce realizoval mimo jiné zastiňující techniku, která nebyla součástí schváleného projektu a náklady na n</w:t>
      </w:r>
      <w:r w:rsidR="00445F35">
        <w:rPr>
          <w:rFonts w:ascii="Calibri" w:eastAsia="Calibri" w:hAnsi="Calibri" w:cs="Calibri"/>
        </w:rPr>
        <w:t>i</w:t>
      </w:r>
      <w:r w:rsidR="00F9666E" w:rsidRPr="00E82ADD">
        <w:rPr>
          <w:rFonts w:ascii="Calibri" w:eastAsia="Calibri" w:hAnsi="Calibri" w:cs="Calibri"/>
        </w:rPr>
        <w:t xml:space="preserve"> uplatnil jako způsobilé výdaje. Dále </w:t>
      </w:r>
      <w:r w:rsidR="00474102">
        <w:rPr>
          <w:rFonts w:ascii="Calibri" w:eastAsia="Calibri" w:hAnsi="Calibri" w:cs="Calibri"/>
        </w:rPr>
        <w:t xml:space="preserve">příjemce </w:t>
      </w:r>
      <w:r w:rsidR="00F9666E" w:rsidRPr="00E82ADD">
        <w:rPr>
          <w:rFonts w:ascii="Calibri" w:eastAsia="Calibri" w:hAnsi="Calibri" w:cs="Calibri"/>
        </w:rPr>
        <w:t xml:space="preserve">uplatnil jako způsobilé výdaje položky, které měly charakter běžné údržby a oprav. NKÚ tak vyhodnotil, že se jedná o skutečnosti nasvědčující porušení rozpočtové kázně až do výše 701 623,56 Kč. </w:t>
      </w:r>
      <w:r w:rsidR="00434BD7">
        <w:rPr>
          <w:rFonts w:ascii="Calibri" w:eastAsia="Calibri" w:hAnsi="Calibri" w:cs="Calibri"/>
        </w:rPr>
        <w:t>Zároveň se jedná o</w:t>
      </w:r>
      <w:r w:rsidR="00F9666E" w:rsidRPr="00E82ADD">
        <w:rPr>
          <w:rFonts w:ascii="Calibri" w:eastAsia="Calibri" w:hAnsi="Calibri" w:cs="Calibri"/>
        </w:rPr>
        <w:t xml:space="preserve"> nesrovnalost podle nařízení Evropského parlamentu a Rady (EU) č. 1303/2013.</w:t>
      </w:r>
    </w:p>
    <w:p w14:paraId="2B0AED68" w14:textId="0EC56F26" w:rsidR="00F9666E" w:rsidRPr="00E82ADD" w:rsidRDefault="00F558E2" w:rsidP="00D8731A">
      <w:pPr>
        <w:numPr>
          <w:ilvl w:val="2"/>
          <w:numId w:val="2"/>
        </w:numPr>
        <w:tabs>
          <w:tab w:val="clear" w:pos="567"/>
        </w:tabs>
        <w:spacing w:after="0" w:line="240" w:lineRule="auto"/>
        <w:ind w:left="851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Příjemce podpory</w:t>
      </w:r>
      <w:r w:rsidR="00F9666E" w:rsidRPr="00E82ADD">
        <w:rPr>
          <w:rFonts w:ascii="Calibri" w:eastAsia="Calibri" w:hAnsi="Calibri" w:cs="Calibri"/>
        </w:rPr>
        <w:t xml:space="preserve"> realizoval projekt snížení energetické náročnosti provozu vybraných objektů společnosti. V rámci projektu měl příjemce realizovat zateplení obálky budovy, výměnu oken a instalovat dvě fotovoltaické elektrárny s celkem 218 (2</w:t>
      </w:r>
      <w:r w:rsidR="00AA4FAA">
        <w:rPr>
          <w:rFonts w:ascii="Calibri" w:eastAsia="Calibri" w:hAnsi="Calibri" w:cs="Calibri"/>
        </w:rPr>
        <w:t>×</w:t>
      </w:r>
      <w:r w:rsidR="00F9666E" w:rsidRPr="00E82ADD">
        <w:rPr>
          <w:rFonts w:ascii="Calibri" w:eastAsia="Calibri" w:hAnsi="Calibri" w:cs="Calibri"/>
        </w:rPr>
        <w:t>109) panely o</w:t>
      </w:r>
      <w:r w:rsidR="00967F4F">
        <w:rPr>
          <w:rFonts w:ascii="Calibri" w:eastAsia="Calibri" w:hAnsi="Calibri" w:cs="Calibri"/>
        </w:rPr>
        <w:t> </w:t>
      </w:r>
      <w:r w:rsidR="00F9666E" w:rsidRPr="00E82ADD">
        <w:rPr>
          <w:rFonts w:ascii="Calibri" w:eastAsia="Calibri" w:hAnsi="Calibri" w:cs="Calibri"/>
        </w:rPr>
        <w:t>výkonu 275</w:t>
      </w:r>
      <w:r w:rsidR="00AA4FAA">
        <w:rPr>
          <w:rFonts w:ascii="Calibri" w:eastAsia="Calibri" w:hAnsi="Calibri" w:cs="Calibri"/>
        </w:rPr>
        <w:t> </w:t>
      </w:r>
      <w:proofErr w:type="spellStart"/>
      <w:r w:rsidR="00F9666E" w:rsidRPr="00E82ADD">
        <w:rPr>
          <w:rFonts w:ascii="Calibri" w:eastAsia="Calibri" w:hAnsi="Calibri" w:cs="Calibri"/>
        </w:rPr>
        <w:t>Wp</w:t>
      </w:r>
      <w:proofErr w:type="spellEnd"/>
      <w:r w:rsidR="00F9666E" w:rsidRPr="00E82ADD">
        <w:rPr>
          <w:rFonts w:ascii="Calibri" w:eastAsia="Calibri" w:hAnsi="Calibri" w:cs="Calibri"/>
        </w:rPr>
        <w:t>/panel včetně souvisejícího vybavení. NKÚ při kontrole u příjemce zjistil, že místo schválených dvou elektráren zrealizoval příjemce pouze jednu elektrárnu o 130 panelech o výkonu 460</w:t>
      </w:r>
      <w:r w:rsidR="00AA4FAA">
        <w:rPr>
          <w:rFonts w:ascii="Calibri" w:eastAsia="Calibri" w:hAnsi="Calibri" w:cs="Calibri"/>
        </w:rPr>
        <w:t> </w:t>
      </w:r>
      <w:proofErr w:type="spellStart"/>
      <w:r w:rsidR="00F9666E" w:rsidRPr="00E82ADD">
        <w:rPr>
          <w:rFonts w:ascii="Calibri" w:eastAsia="Calibri" w:hAnsi="Calibri" w:cs="Calibri"/>
        </w:rPr>
        <w:t>Wp</w:t>
      </w:r>
      <w:proofErr w:type="spellEnd"/>
      <w:r w:rsidR="00F9666E" w:rsidRPr="00E82ADD">
        <w:rPr>
          <w:rFonts w:ascii="Calibri" w:eastAsia="Calibri" w:hAnsi="Calibri" w:cs="Calibri"/>
        </w:rPr>
        <w:t>/panel. Příjemce podpory neinformoval poskytovatele o změně projektu a místo toho mu předložil v rámci žádostí o platbu, resp. zpráv o</w:t>
      </w:r>
      <w:r w:rsidR="00967F4F">
        <w:rPr>
          <w:rFonts w:ascii="Calibri" w:eastAsia="Calibri" w:hAnsi="Calibri" w:cs="Calibri"/>
        </w:rPr>
        <w:t> </w:t>
      </w:r>
      <w:r w:rsidR="00F9666E" w:rsidRPr="00E82ADD">
        <w:rPr>
          <w:rFonts w:ascii="Calibri" w:eastAsia="Calibri" w:hAnsi="Calibri" w:cs="Calibri"/>
        </w:rPr>
        <w:t>realizaci projektu, doklady k fakturaci a další účetní záznamy, podle kterých realizoval dvě elektrárny o 130 panelech. Tyto doklady předložil příjemce podpory také NKÚ. Předložené doklady tak neodpovídají realizovanému dílu, jsou upravené tak, aby odpovídal</w:t>
      </w:r>
      <w:r w:rsidR="00F9666E">
        <w:rPr>
          <w:rFonts w:ascii="Calibri" w:eastAsia="Calibri" w:hAnsi="Calibri" w:cs="Calibri"/>
        </w:rPr>
        <w:t>y</w:t>
      </w:r>
      <w:r w:rsidR="00F9666E" w:rsidRPr="00E82ADD">
        <w:rPr>
          <w:rFonts w:ascii="Calibri" w:eastAsia="Calibri" w:hAnsi="Calibri" w:cs="Calibri"/>
        </w:rPr>
        <w:t xml:space="preserve"> schválenému projektu, a</w:t>
      </w:r>
      <w:r w:rsidR="00967F4F">
        <w:rPr>
          <w:rFonts w:ascii="Calibri" w:eastAsia="Calibri" w:hAnsi="Calibri" w:cs="Calibri"/>
        </w:rPr>
        <w:t> </w:t>
      </w:r>
      <w:r w:rsidR="00F9666E" w:rsidRPr="00E82ADD">
        <w:rPr>
          <w:rFonts w:ascii="Calibri" w:eastAsia="Calibri" w:hAnsi="Calibri" w:cs="Calibri"/>
        </w:rPr>
        <w:t>nikoliv skutečnému provedení. NKÚ tak vyhodnotil, že příjemce podpory realizoval projekt v rozporu se schváleným projektem a vedl o</w:t>
      </w:r>
      <w:r w:rsidR="00967F4F">
        <w:rPr>
          <w:rFonts w:ascii="Calibri" w:eastAsia="Calibri" w:hAnsi="Calibri" w:cs="Calibri"/>
        </w:rPr>
        <w:t> </w:t>
      </w:r>
      <w:r w:rsidR="00F9666E" w:rsidRPr="00E82ADD">
        <w:rPr>
          <w:rFonts w:ascii="Calibri" w:eastAsia="Calibri" w:hAnsi="Calibri" w:cs="Calibri"/>
        </w:rPr>
        <w:t>projektu neprůkazné účetnictví</w:t>
      </w:r>
      <w:r w:rsidR="00F9666E" w:rsidRPr="00E82ADD">
        <w:rPr>
          <w:rFonts w:ascii="Calibri" w:eastAsia="Calibri" w:hAnsi="Calibri" w:cs="Calibri"/>
          <w:vertAlign w:val="superscript"/>
        </w:rPr>
        <w:footnoteReference w:id="43"/>
      </w:r>
      <w:r w:rsidR="00F9666E" w:rsidRPr="00E82ADD">
        <w:rPr>
          <w:rFonts w:ascii="Calibri" w:eastAsia="Calibri" w:hAnsi="Calibri" w:cs="Calibri"/>
        </w:rPr>
        <w:t xml:space="preserve">. NKÚ tak vyhodnotil, že se jedná o skutečnosti nasvědčující porušení </w:t>
      </w:r>
      <w:r w:rsidR="00F9666E" w:rsidRPr="00E82ADD">
        <w:rPr>
          <w:rFonts w:ascii="Calibri" w:eastAsia="Calibri" w:hAnsi="Calibri" w:cs="Calibri"/>
        </w:rPr>
        <w:lastRenderedPageBreak/>
        <w:t xml:space="preserve">rozpočtové kázně až do výše 1 614 219,6 Kč. </w:t>
      </w:r>
      <w:r w:rsidR="00434BD7">
        <w:rPr>
          <w:rFonts w:ascii="Calibri" w:eastAsia="Calibri" w:hAnsi="Calibri" w:cs="Calibri"/>
        </w:rPr>
        <w:t>Zároveň se jedná o</w:t>
      </w:r>
      <w:r w:rsidR="00967F4F">
        <w:rPr>
          <w:rFonts w:ascii="Calibri" w:eastAsia="Calibri" w:hAnsi="Calibri" w:cs="Calibri"/>
        </w:rPr>
        <w:t> </w:t>
      </w:r>
      <w:r w:rsidR="00F9666E" w:rsidRPr="00E82ADD">
        <w:rPr>
          <w:rFonts w:ascii="Calibri" w:eastAsia="Calibri" w:hAnsi="Calibri" w:cs="Calibri"/>
        </w:rPr>
        <w:t>nesrovnalost podle nařízení Evropského parlamentu a Rady (EU) č. 1303/2013.</w:t>
      </w:r>
    </w:p>
    <w:p w14:paraId="2660FC4D" w14:textId="77777777" w:rsidR="00F9666E" w:rsidRPr="00C71A00" w:rsidRDefault="00F9666E" w:rsidP="00D8731A">
      <w:pPr>
        <w:spacing w:after="0" w:line="240" w:lineRule="auto"/>
        <w:rPr>
          <w:rFonts w:ascii="Calibri" w:eastAsia="Calibri" w:hAnsi="Calibri" w:cs="Calibri"/>
        </w:rPr>
      </w:pPr>
    </w:p>
    <w:p w14:paraId="7E022D8E" w14:textId="6B93076E" w:rsidR="00F9666E" w:rsidRDefault="00F9666E" w:rsidP="00D8731A">
      <w:pPr>
        <w:pStyle w:val="Odstavecseseznamem"/>
        <w:numPr>
          <w:ilvl w:val="1"/>
          <w:numId w:val="2"/>
        </w:numPr>
        <w:spacing w:after="0" w:line="240" w:lineRule="auto"/>
        <w:contextualSpacing w:val="0"/>
        <w:jc w:val="both"/>
        <w:rPr>
          <w:rFonts w:ascii="Calibri" w:eastAsia="Calibri" w:hAnsi="Calibri" w:cs="Calibri"/>
        </w:rPr>
      </w:pPr>
      <w:bookmarkStart w:id="3" w:name="_Hlk203724448"/>
      <w:r w:rsidRPr="00F9666E">
        <w:rPr>
          <w:rFonts w:ascii="Calibri" w:eastAsia="Calibri" w:hAnsi="Calibri" w:cs="Calibri"/>
        </w:rPr>
        <w:t>Při kontrole API zjistil NKÚ</w:t>
      </w:r>
      <w:r w:rsidR="00735EC6">
        <w:rPr>
          <w:rFonts w:ascii="Calibri" w:eastAsia="Calibri" w:hAnsi="Calibri" w:cs="Calibri"/>
        </w:rPr>
        <w:t>, že</w:t>
      </w:r>
      <w:r w:rsidRPr="00F9666E">
        <w:rPr>
          <w:rFonts w:ascii="Calibri" w:eastAsia="Calibri" w:hAnsi="Calibri" w:cs="Calibri"/>
        </w:rPr>
        <w:t xml:space="preserve"> v jednotkách případů byly v MS 2014+ uvedeny nesprávné údaje v indikátorech </w:t>
      </w:r>
      <w:r w:rsidR="00B50B49">
        <w:rPr>
          <w:rFonts w:ascii="Calibri" w:eastAsia="Calibri" w:hAnsi="Calibri" w:cs="Calibri"/>
        </w:rPr>
        <w:t>v důsledku</w:t>
      </w:r>
      <w:r w:rsidRPr="00F9666E">
        <w:rPr>
          <w:rFonts w:ascii="Calibri" w:eastAsia="Calibri" w:hAnsi="Calibri" w:cs="Calibri"/>
        </w:rPr>
        <w:t xml:space="preserve"> </w:t>
      </w:r>
      <w:r w:rsidR="00735EC6">
        <w:rPr>
          <w:rFonts w:ascii="Calibri" w:eastAsia="Calibri" w:hAnsi="Calibri" w:cs="Calibri"/>
        </w:rPr>
        <w:t>nepovolené</w:t>
      </w:r>
      <w:r w:rsidRPr="00F9666E">
        <w:rPr>
          <w:rFonts w:ascii="Calibri" w:eastAsia="Calibri" w:hAnsi="Calibri" w:cs="Calibri"/>
        </w:rPr>
        <w:t xml:space="preserve"> kumulac</w:t>
      </w:r>
      <w:r w:rsidR="00B50B49">
        <w:rPr>
          <w:rFonts w:ascii="Calibri" w:eastAsia="Calibri" w:hAnsi="Calibri" w:cs="Calibri"/>
        </w:rPr>
        <w:t>e</w:t>
      </w:r>
      <w:r w:rsidRPr="00F9666E">
        <w:rPr>
          <w:rFonts w:ascii="Calibri" w:eastAsia="Calibri" w:hAnsi="Calibri" w:cs="Calibri"/>
        </w:rPr>
        <w:t xml:space="preserve"> hodnot. Dále NKÚ zjistil individuální nedostatky v oblasti kontrol úplnosti dokladů</w:t>
      </w:r>
      <w:r w:rsidR="00735EC6" w:rsidRPr="00735EC6">
        <w:rPr>
          <w:rFonts w:ascii="Calibri" w:eastAsia="Calibri" w:hAnsi="Calibri" w:cs="Calibri"/>
        </w:rPr>
        <w:t xml:space="preserve"> </w:t>
      </w:r>
      <w:r w:rsidR="00735EC6" w:rsidRPr="00F9666E">
        <w:rPr>
          <w:rFonts w:ascii="Calibri" w:eastAsia="Calibri" w:hAnsi="Calibri" w:cs="Calibri"/>
        </w:rPr>
        <w:t>u tří projektů</w:t>
      </w:r>
      <w:r w:rsidRPr="00F9666E">
        <w:rPr>
          <w:rFonts w:ascii="Calibri" w:eastAsia="Calibri" w:hAnsi="Calibri" w:cs="Calibri"/>
        </w:rPr>
        <w:t>, které se přikládají k závěrečné žádosti o platbu</w:t>
      </w:r>
      <w:r w:rsidR="00735EC6">
        <w:rPr>
          <w:rFonts w:ascii="Calibri" w:eastAsia="Calibri" w:hAnsi="Calibri" w:cs="Calibri"/>
        </w:rPr>
        <w:t>,</w:t>
      </w:r>
      <w:r w:rsidRPr="00F9666E">
        <w:rPr>
          <w:rFonts w:ascii="Calibri" w:eastAsia="Calibri" w:hAnsi="Calibri" w:cs="Calibri"/>
        </w:rPr>
        <w:t xml:space="preserve"> a v jednom případě byly nesprávně přiděleny body v rámci ekonomického hodnocení projektů</w:t>
      </w:r>
      <w:r w:rsidR="00474102">
        <w:rPr>
          <w:rFonts w:ascii="Calibri" w:eastAsia="Calibri" w:hAnsi="Calibri" w:cs="Calibri"/>
        </w:rPr>
        <w:t>.</w:t>
      </w:r>
      <w:r w:rsidRPr="00F9666E">
        <w:rPr>
          <w:rFonts w:ascii="Calibri" w:eastAsia="Calibri" w:hAnsi="Calibri" w:cs="Calibri"/>
        </w:rPr>
        <w:t xml:space="preserve"> Všechna tato pochybení byla individuálního charakteru, neměla vliv na vynaložené peněžní prostředky</w:t>
      </w:r>
      <w:r w:rsidR="00474102">
        <w:rPr>
          <w:rFonts w:ascii="Calibri" w:eastAsia="Calibri" w:hAnsi="Calibri" w:cs="Calibri"/>
        </w:rPr>
        <w:t>,</w:t>
      </w:r>
      <w:r w:rsidRPr="00F9666E">
        <w:rPr>
          <w:rFonts w:ascii="Calibri" w:eastAsia="Calibri" w:hAnsi="Calibri" w:cs="Calibri"/>
        </w:rPr>
        <w:t xml:space="preserve"> a pokud to bylo možné, API tyto nedostatky</w:t>
      </w:r>
      <w:r w:rsidR="00F51E8B">
        <w:rPr>
          <w:rFonts w:ascii="Calibri" w:eastAsia="Calibri" w:hAnsi="Calibri" w:cs="Calibri"/>
        </w:rPr>
        <w:t xml:space="preserve"> na základě upozornění NKÚ v průběhu kontroly</w:t>
      </w:r>
      <w:r w:rsidRPr="00F9666E">
        <w:rPr>
          <w:rFonts w:ascii="Calibri" w:eastAsia="Calibri" w:hAnsi="Calibri" w:cs="Calibri"/>
        </w:rPr>
        <w:t xml:space="preserve"> opravila. </w:t>
      </w:r>
    </w:p>
    <w:bookmarkEnd w:id="3"/>
    <w:p w14:paraId="131B7E58" w14:textId="396C9850" w:rsidR="005C6FB4" w:rsidRPr="00742AD2" w:rsidRDefault="00742AD2" w:rsidP="00855663">
      <w:pPr>
        <w:keepNext/>
        <w:spacing w:before="600" w:after="120" w:line="240" w:lineRule="auto"/>
        <w:jc w:val="both"/>
        <w:rPr>
          <w:rFonts w:ascii="Calibri" w:eastAsia="Calibri" w:hAnsi="Calibri" w:cs="Calibri"/>
          <w:b/>
          <w:bCs/>
        </w:rPr>
      </w:pPr>
      <w:r w:rsidRPr="00742AD2">
        <w:rPr>
          <w:rFonts w:ascii="Calibri" w:eastAsia="Calibri" w:hAnsi="Calibri" w:cs="Calibri"/>
          <w:b/>
          <w:bCs/>
        </w:rPr>
        <w:t>Seznam zkratek: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74966" w:rsidRPr="00851E6C" w14:paraId="0AF58D99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062B979E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API</w:t>
            </w:r>
          </w:p>
        </w:tc>
        <w:tc>
          <w:tcPr>
            <w:tcW w:w="7370" w:type="dxa"/>
            <w:noWrap/>
            <w:vAlign w:val="bottom"/>
            <w:hideMark/>
          </w:tcPr>
          <w:p w14:paraId="51642BEA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Agentura pro podnikání a inovace</w:t>
            </w:r>
          </w:p>
        </w:tc>
      </w:tr>
      <w:tr w:rsidR="00F74966" w:rsidRPr="00851E6C" w14:paraId="4F6D1EFA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0945D50B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ČMZRB</w:t>
            </w:r>
          </w:p>
        </w:tc>
        <w:tc>
          <w:tcPr>
            <w:tcW w:w="7370" w:type="dxa"/>
            <w:noWrap/>
            <w:vAlign w:val="bottom"/>
            <w:hideMark/>
          </w:tcPr>
          <w:p w14:paraId="570AABC9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Českomoravská záruční a rozvojová banka, a.s.</w:t>
            </w:r>
          </w:p>
        </w:tc>
      </w:tr>
      <w:tr w:rsidR="00F74966" w:rsidRPr="00851E6C" w14:paraId="51985629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284A384F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ČR</w:t>
            </w:r>
          </w:p>
        </w:tc>
        <w:tc>
          <w:tcPr>
            <w:tcW w:w="7370" w:type="dxa"/>
            <w:noWrap/>
            <w:vAlign w:val="bottom"/>
            <w:hideMark/>
          </w:tcPr>
          <w:p w14:paraId="425F0039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Česká republika</w:t>
            </w:r>
          </w:p>
        </w:tc>
      </w:tr>
      <w:tr w:rsidR="00F74966" w:rsidRPr="00851E6C" w14:paraId="72DC6B67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5C2E395C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Ex post evaluace</w:t>
            </w:r>
          </w:p>
        </w:tc>
        <w:tc>
          <w:tcPr>
            <w:tcW w:w="7370" w:type="dxa"/>
            <w:noWrap/>
            <w:vAlign w:val="bottom"/>
            <w:hideMark/>
          </w:tcPr>
          <w:p w14:paraId="745B6FC9" w14:textId="26531B5D" w:rsidR="00F74966" w:rsidRPr="00D8731A" w:rsidRDefault="00AA4FAA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E</w:t>
            </w:r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x post evaluace OP PIK a replikace </w:t>
            </w:r>
            <w:proofErr w:type="spellStart"/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kontrafaktuální</w:t>
            </w:r>
            <w:proofErr w:type="spellEnd"/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dopadové evaluace OP PI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, závěrečná zpráva ze dne 5. prosince 2023</w:t>
            </w:r>
          </w:p>
        </w:tc>
      </w:tr>
      <w:tr w:rsidR="00F74966" w:rsidRPr="00851E6C" w14:paraId="72955C21" w14:textId="77777777" w:rsidTr="00F418BE">
        <w:trPr>
          <w:trHeight w:val="300"/>
        </w:trPr>
        <w:tc>
          <w:tcPr>
            <w:tcW w:w="1701" w:type="dxa"/>
            <w:noWrap/>
          </w:tcPr>
          <w:p w14:paraId="0D113227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EU</w:t>
            </w:r>
          </w:p>
        </w:tc>
        <w:tc>
          <w:tcPr>
            <w:tcW w:w="7370" w:type="dxa"/>
            <w:noWrap/>
            <w:vAlign w:val="bottom"/>
          </w:tcPr>
          <w:p w14:paraId="67BDACA6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Evropská unie</w:t>
            </w:r>
          </w:p>
        </w:tc>
      </w:tr>
      <w:tr w:rsidR="00F74966" w:rsidRPr="00851E6C" w14:paraId="0A08E900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66FC598B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FVE</w:t>
            </w:r>
          </w:p>
        </w:tc>
        <w:tc>
          <w:tcPr>
            <w:tcW w:w="7370" w:type="dxa"/>
            <w:noWrap/>
            <w:vAlign w:val="bottom"/>
            <w:hideMark/>
          </w:tcPr>
          <w:p w14:paraId="7A041790" w14:textId="3CD3293F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otovoltaická elektrárna </w:t>
            </w:r>
          </w:p>
        </w:tc>
      </w:tr>
      <w:tr w:rsidR="00F74966" w:rsidRPr="00851E6C" w14:paraId="7E55C789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12DF57E1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GBER</w:t>
            </w:r>
          </w:p>
        </w:tc>
        <w:tc>
          <w:tcPr>
            <w:tcW w:w="7370" w:type="dxa"/>
            <w:noWrap/>
            <w:vAlign w:val="bottom"/>
            <w:hideMark/>
          </w:tcPr>
          <w:p w14:paraId="1D3B1307" w14:textId="10CD4ABC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nařízení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Komise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(EU) č. 651/2014 ze dne 17. června 2014 </w:t>
            </w:r>
          </w:p>
        </w:tc>
      </w:tr>
      <w:tr w:rsidR="00F74966" w:rsidRPr="00851E6C" w14:paraId="34D45EB3" w14:textId="77777777" w:rsidTr="00F418BE">
        <w:trPr>
          <w:trHeight w:val="300"/>
        </w:trPr>
        <w:tc>
          <w:tcPr>
            <w:tcW w:w="1701" w:type="dxa"/>
            <w:noWrap/>
          </w:tcPr>
          <w:p w14:paraId="3BD4C45D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GJ</w:t>
            </w:r>
          </w:p>
        </w:tc>
        <w:tc>
          <w:tcPr>
            <w:tcW w:w="7370" w:type="dxa"/>
            <w:noWrap/>
            <w:vAlign w:val="bottom"/>
          </w:tcPr>
          <w:p w14:paraId="6C7DE558" w14:textId="0BE21FD8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g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igajoule, jednotka energie </w:t>
            </w:r>
          </w:p>
        </w:tc>
      </w:tr>
      <w:tr w:rsidR="00F74966" w:rsidRPr="00851E6C" w14:paraId="6137FE8C" w14:textId="77777777" w:rsidTr="00F418BE">
        <w:trPr>
          <w:trHeight w:val="300"/>
        </w:trPr>
        <w:tc>
          <w:tcPr>
            <w:tcW w:w="1701" w:type="dxa"/>
            <w:noWrap/>
          </w:tcPr>
          <w:p w14:paraId="5241CB13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HDP</w:t>
            </w:r>
          </w:p>
        </w:tc>
        <w:tc>
          <w:tcPr>
            <w:tcW w:w="7370" w:type="dxa"/>
            <w:noWrap/>
            <w:vAlign w:val="bottom"/>
          </w:tcPr>
          <w:p w14:paraId="41186DC5" w14:textId="7CEC5FA8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rubý domácí produkt</w:t>
            </w:r>
          </w:p>
        </w:tc>
      </w:tr>
      <w:tr w:rsidR="00F74966" w:rsidRPr="00851E6C" w14:paraId="22800643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3C2D34D9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KVET</w:t>
            </w:r>
          </w:p>
        </w:tc>
        <w:tc>
          <w:tcPr>
            <w:tcW w:w="7370" w:type="dxa"/>
            <w:noWrap/>
            <w:vAlign w:val="bottom"/>
            <w:hideMark/>
          </w:tcPr>
          <w:p w14:paraId="2D514991" w14:textId="131EA718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ombinovaná výroba elektřiny a tepla</w:t>
            </w:r>
          </w:p>
        </w:tc>
      </w:tr>
      <w:tr w:rsidR="00F74966" w:rsidRPr="00851E6C" w14:paraId="7ECC5710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247CEFDD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MPO</w:t>
            </w:r>
          </w:p>
        </w:tc>
        <w:tc>
          <w:tcPr>
            <w:tcW w:w="7370" w:type="dxa"/>
            <w:noWrap/>
            <w:vAlign w:val="bottom"/>
            <w:hideMark/>
          </w:tcPr>
          <w:p w14:paraId="680ABB9D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Ministerstvo průmyslu a obchodu </w:t>
            </w:r>
          </w:p>
        </w:tc>
      </w:tr>
      <w:tr w:rsidR="00F74966" w:rsidRPr="00851E6C" w14:paraId="00D59E30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003509A3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MS2014+</w:t>
            </w:r>
          </w:p>
        </w:tc>
        <w:tc>
          <w:tcPr>
            <w:tcW w:w="7370" w:type="dxa"/>
            <w:noWrap/>
            <w:vAlign w:val="bottom"/>
            <w:hideMark/>
          </w:tcPr>
          <w:p w14:paraId="0DBF5968" w14:textId="19FD0F53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jednotný m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onitorovací systém pro programové období 2014–2020</w:t>
            </w:r>
          </w:p>
        </w:tc>
      </w:tr>
      <w:tr w:rsidR="00F74966" w:rsidRPr="00851E6C" w14:paraId="5C546EB4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1E224A26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MS2021+</w:t>
            </w:r>
          </w:p>
        </w:tc>
        <w:tc>
          <w:tcPr>
            <w:tcW w:w="7370" w:type="dxa"/>
            <w:noWrap/>
            <w:vAlign w:val="bottom"/>
            <w:hideMark/>
          </w:tcPr>
          <w:p w14:paraId="24834E02" w14:textId="1C41A132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jednotný m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onitorovací systém pro programové období 2021–2027</w:t>
            </w:r>
          </w:p>
        </w:tc>
      </w:tr>
      <w:tr w:rsidR="00F74966" w:rsidRPr="00851E6C" w14:paraId="3A81FCEC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2E27D046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MVE </w:t>
            </w:r>
          </w:p>
        </w:tc>
        <w:tc>
          <w:tcPr>
            <w:tcW w:w="7370" w:type="dxa"/>
            <w:noWrap/>
            <w:vAlign w:val="bottom"/>
            <w:hideMark/>
          </w:tcPr>
          <w:p w14:paraId="486DE1F3" w14:textId="1CD1BDED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alé vodní elektrárny</w:t>
            </w:r>
          </w:p>
        </w:tc>
      </w:tr>
      <w:tr w:rsidR="00F74966" w:rsidRPr="00851E6C" w14:paraId="269F25D5" w14:textId="77777777" w:rsidTr="00F418BE">
        <w:trPr>
          <w:trHeight w:val="300"/>
        </w:trPr>
        <w:tc>
          <w:tcPr>
            <w:tcW w:w="1701" w:type="dxa"/>
            <w:noWrap/>
          </w:tcPr>
          <w:p w14:paraId="27D0B4D0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MW</w:t>
            </w:r>
          </w:p>
        </w:tc>
        <w:tc>
          <w:tcPr>
            <w:tcW w:w="7370" w:type="dxa"/>
            <w:noWrap/>
            <w:vAlign w:val="bottom"/>
          </w:tcPr>
          <w:p w14:paraId="0CB5698E" w14:textId="357000DE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egawatt, jednotka výkonu</w:t>
            </w:r>
          </w:p>
        </w:tc>
      </w:tr>
      <w:tr w:rsidR="00F74966" w:rsidRPr="00851E6C" w14:paraId="13797B87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427B2D87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NKÚ</w:t>
            </w:r>
          </w:p>
        </w:tc>
        <w:tc>
          <w:tcPr>
            <w:tcW w:w="7370" w:type="dxa"/>
            <w:noWrap/>
            <w:vAlign w:val="bottom"/>
            <w:hideMark/>
          </w:tcPr>
          <w:p w14:paraId="0A8E6305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Nejvyšší kontrolní úřad</w:t>
            </w:r>
          </w:p>
        </w:tc>
      </w:tr>
      <w:tr w:rsidR="00F74966" w:rsidRPr="00851E6C" w14:paraId="28F7F5B4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3684B32D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NPO</w:t>
            </w:r>
          </w:p>
        </w:tc>
        <w:tc>
          <w:tcPr>
            <w:tcW w:w="7370" w:type="dxa"/>
            <w:noWrap/>
            <w:vAlign w:val="bottom"/>
            <w:hideMark/>
          </w:tcPr>
          <w:p w14:paraId="1BDA839E" w14:textId="77777777" w:rsidR="00F74966" w:rsidRPr="00620795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Národní plán obnovy</w:t>
            </w:r>
          </w:p>
        </w:tc>
      </w:tr>
      <w:tr w:rsidR="00F74966" w:rsidRPr="00851E6C" w14:paraId="4AA6FD18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4B99C1CC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NRB</w:t>
            </w:r>
          </w:p>
        </w:tc>
        <w:tc>
          <w:tcPr>
            <w:tcW w:w="7370" w:type="dxa"/>
            <w:noWrap/>
            <w:vAlign w:val="bottom"/>
            <w:hideMark/>
          </w:tcPr>
          <w:p w14:paraId="64AC8CEB" w14:textId="77777777" w:rsidR="00F74966" w:rsidRPr="00D8731A" w:rsidRDefault="00F74966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Národní rozvojová banka, a.s. </w:t>
            </w:r>
          </w:p>
        </w:tc>
      </w:tr>
      <w:tr w:rsidR="00F74966" w:rsidRPr="00851E6C" w14:paraId="7B7678A4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034866E0" w14:textId="2AEA19BD" w:rsidR="00F74966" w:rsidRPr="00D8731A" w:rsidRDefault="00153853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OP PIK</w:t>
            </w:r>
          </w:p>
        </w:tc>
        <w:tc>
          <w:tcPr>
            <w:tcW w:w="7370" w:type="dxa"/>
            <w:noWrap/>
            <w:vAlign w:val="bottom"/>
            <w:hideMark/>
          </w:tcPr>
          <w:p w14:paraId="0B9F5B19" w14:textId="71DE9F2E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perační program </w:t>
            </w:r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Podnikání a inovace pro konkurenceschopnost </w:t>
            </w:r>
            <w:r w:rsidR="00961390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2014–2020</w:t>
            </w:r>
          </w:p>
        </w:tc>
      </w:tr>
      <w:tr w:rsidR="00F74966" w:rsidRPr="00851E6C" w14:paraId="79C60E3F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0AFF2302" w14:textId="71EA2673" w:rsidR="00F74966" w:rsidRPr="00D8731A" w:rsidRDefault="00153853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OP TAK</w:t>
            </w:r>
          </w:p>
        </w:tc>
        <w:tc>
          <w:tcPr>
            <w:tcW w:w="7370" w:type="dxa"/>
            <w:noWrap/>
            <w:vAlign w:val="bottom"/>
            <w:hideMark/>
          </w:tcPr>
          <w:p w14:paraId="78EEBC98" w14:textId="6D49B932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perační program </w:t>
            </w:r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Technologie a aplikace pro konkurenceschopnost </w:t>
            </w:r>
            <w:r w:rsidR="002F475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="00F74966" w:rsidRPr="0062079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2021–2027</w:t>
            </w:r>
          </w:p>
        </w:tc>
      </w:tr>
      <w:tr w:rsidR="00F74966" w:rsidRPr="00851E6C" w14:paraId="013A1260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3E1D90FB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OSS</w:t>
            </w:r>
          </w:p>
        </w:tc>
        <w:tc>
          <w:tcPr>
            <w:tcW w:w="7370" w:type="dxa"/>
            <w:noWrap/>
            <w:vAlign w:val="bottom"/>
            <w:hideMark/>
          </w:tcPr>
          <w:p w14:paraId="0F4FBE09" w14:textId="47504646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rganizační složky státu</w:t>
            </w:r>
          </w:p>
        </w:tc>
      </w:tr>
      <w:tr w:rsidR="00F74966" w:rsidRPr="00851E6C" w14:paraId="11E44BD2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2BDF9BB5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OZE</w:t>
            </w:r>
          </w:p>
        </w:tc>
        <w:tc>
          <w:tcPr>
            <w:tcW w:w="7370" w:type="dxa"/>
            <w:noWrap/>
            <w:vAlign w:val="bottom"/>
            <w:hideMark/>
          </w:tcPr>
          <w:p w14:paraId="3C653663" w14:textId="6DA4B801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bnovitelné zdroje energie</w:t>
            </w:r>
          </w:p>
        </w:tc>
      </w:tr>
      <w:tr w:rsidR="00F74966" w:rsidRPr="00851E6C" w14:paraId="74F29845" w14:textId="77777777" w:rsidTr="00F418BE">
        <w:trPr>
          <w:trHeight w:val="300"/>
        </w:trPr>
        <w:tc>
          <w:tcPr>
            <w:tcW w:w="1701" w:type="dxa"/>
            <w:noWrap/>
          </w:tcPr>
          <w:p w14:paraId="7E3D7CF8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PJ</w:t>
            </w:r>
          </w:p>
        </w:tc>
        <w:tc>
          <w:tcPr>
            <w:tcW w:w="7370" w:type="dxa"/>
            <w:noWrap/>
            <w:vAlign w:val="bottom"/>
          </w:tcPr>
          <w:p w14:paraId="17F03374" w14:textId="6333F0A1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etajoule</w:t>
            </w:r>
            <w:proofErr w:type="spellEnd"/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, jednotka energie; 1 PJ = 1 000 TJ</w:t>
            </w:r>
          </w:p>
        </w:tc>
      </w:tr>
      <w:tr w:rsidR="00F74966" w:rsidRPr="00851E6C" w14:paraId="68358EEC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19C87293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RoPD</w:t>
            </w:r>
            <w:proofErr w:type="spellEnd"/>
          </w:p>
        </w:tc>
        <w:tc>
          <w:tcPr>
            <w:tcW w:w="7370" w:type="dxa"/>
            <w:noWrap/>
            <w:vAlign w:val="bottom"/>
            <w:hideMark/>
          </w:tcPr>
          <w:p w14:paraId="39E02D45" w14:textId="5AA32A7A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ozhodnutí o poskytnutí dotace</w:t>
            </w:r>
          </w:p>
        </w:tc>
      </w:tr>
      <w:tr w:rsidR="00F74966" w:rsidRPr="00851E6C" w14:paraId="1A272AB8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69B8F249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SC</w:t>
            </w:r>
          </w:p>
        </w:tc>
        <w:tc>
          <w:tcPr>
            <w:tcW w:w="7370" w:type="dxa"/>
            <w:noWrap/>
            <w:vAlign w:val="bottom"/>
            <w:hideMark/>
          </w:tcPr>
          <w:p w14:paraId="7733D2B4" w14:textId="40A169EE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pecifický cíl</w:t>
            </w:r>
          </w:p>
        </w:tc>
      </w:tr>
      <w:tr w:rsidR="00BE66B6" w:rsidRPr="00851E6C" w14:paraId="1BF7F630" w14:textId="77777777" w:rsidTr="00F418BE">
        <w:trPr>
          <w:trHeight w:val="300"/>
        </w:trPr>
        <w:tc>
          <w:tcPr>
            <w:tcW w:w="1701" w:type="dxa"/>
            <w:noWrap/>
          </w:tcPr>
          <w:p w14:paraId="74F3541B" w14:textId="31798B12" w:rsidR="00BE66B6" w:rsidRPr="00D8731A" w:rsidRDefault="00BE66B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směrnice o</w:t>
            </w:r>
            <w:r w:rsidR="0096139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energetické účinnosti</w:t>
            </w:r>
          </w:p>
        </w:tc>
        <w:tc>
          <w:tcPr>
            <w:tcW w:w="7370" w:type="dxa"/>
            <w:noWrap/>
            <w:vAlign w:val="bottom"/>
          </w:tcPr>
          <w:p w14:paraId="35EE8F30" w14:textId="0B69A09D" w:rsidR="00BE66B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s</w:t>
            </w:r>
            <w:r w:rsidR="00BE66B6" w:rsidRPr="00D8731A">
              <w:rPr>
                <w:rFonts w:ascii="Calibri" w:hAnsi="Calibri" w:cs="Calibri"/>
              </w:rPr>
              <w:t>měrnice Evropského parlamentu a Rady 2012/27/EU ze dne 25. října 2012 o energetické účinnosti, o změně směrnic 2009/125/ES a</w:t>
            </w:r>
            <w:r w:rsidR="00961390">
              <w:rPr>
                <w:rFonts w:ascii="Calibri" w:hAnsi="Calibri" w:cs="Calibri"/>
              </w:rPr>
              <w:t> </w:t>
            </w:r>
            <w:r w:rsidR="00BE66B6" w:rsidRPr="00D8731A">
              <w:rPr>
                <w:rFonts w:ascii="Calibri" w:hAnsi="Calibri" w:cs="Calibri"/>
              </w:rPr>
              <w:t>2010/30/EU a o zrušení směrnic 2004/8/ES a 2006/32/ES</w:t>
            </w:r>
          </w:p>
        </w:tc>
      </w:tr>
      <w:tr w:rsidR="00F74966" w:rsidRPr="00851E6C" w14:paraId="0356B44C" w14:textId="77777777" w:rsidTr="00F418BE">
        <w:trPr>
          <w:trHeight w:val="300"/>
        </w:trPr>
        <w:tc>
          <w:tcPr>
            <w:tcW w:w="1701" w:type="dxa"/>
            <w:noWrap/>
          </w:tcPr>
          <w:p w14:paraId="6B9E9AE6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TJ</w:t>
            </w:r>
          </w:p>
        </w:tc>
        <w:tc>
          <w:tcPr>
            <w:tcW w:w="7370" w:type="dxa"/>
            <w:noWrap/>
            <w:vAlign w:val="bottom"/>
          </w:tcPr>
          <w:p w14:paraId="3EA96363" w14:textId="6E434FA5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erajoule</w:t>
            </w:r>
            <w:proofErr w:type="spellEnd"/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, jednotka energie; 1 TJ = 1 000 GJ</w:t>
            </w:r>
          </w:p>
        </w:tc>
      </w:tr>
      <w:tr w:rsidR="00F74966" w:rsidRPr="00851E6C" w14:paraId="0EA1D220" w14:textId="77777777" w:rsidTr="00F418BE">
        <w:trPr>
          <w:trHeight w:val="300"/>
        </w:trPr>
        <w:tc>
          <w:tcPr>
            <w:tcW w:w="1701" w:type="dxa"/>
            <w:noWrap/>
            <w:hideMark/>
          </w:tcPr>
          <w:p w14:paraId="304F673B" w14:textId="77777777" w:rsidR="00F74966" w:rsidRPr="00D8731A" w:rsidRDefault="00F74966" w:rsidP="00F418BE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SZT</w:t>
            </w:r>
          </w:p>
        </w:tc>
        <w:tc>
          <w:tcPr>
            <w:tcW w:w="7370" w:type="dxa"/>
            <w:noWrap/>
            <w:vAlign w:val="bottom"/>
            <w:hideMark/>
          </w:tcPr>
          <w:p w14:paraId="71380EEF" w14:textId="27535804" w:rsidR="00F74966" w:rsidRPr="00D8731A" w:rsidRDefault="00F418BE" w:rsidP="00D8731A">
            <w:pPr>
              <w:spacing w:before="80" w:after="8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F74966" w:rsidRPr="00D8731A">
              <w:rPr>
                <w:rFonts w:ascii="Calibri" w:eastAsia="Times New Roman" w:hAnsi="Calibri" w:cs="Calibri"/>
                <w:color w:val="000000"/>
                <w:lang w:eastAsia="cs-CZ"/>
              </w:rPr>
              <w:t>oustavy zásobování teplem</w:t>
            </w:r>
          </w:p>
        </w:tc>
      </w:tr>
    </w:tbl>
    <w:p w14:paraId="52378D57" w14:textId="77777777" w:rsidR="002E1EA8" w:rsidRDefault="002E1EA8" w:rsidP="007F1EC5">
      <w:pPr>
        <w:spacing w:after="0"/>
        <w:jc w:val="both"/>
        <w:rPr>
          <w:rFonts w:ascii="Calibri" w:eastAsia="Calibri" w:hAnsi="Calibri" w:cs="Calibri"/>
          <w:b/>
          <w:bCs/>
        </w:rPr>
      </w:pPr>
    </w:p>
    <w:p w14:paraId="60635528" w14:textId="77777777" w:rsidR="00D8731A" w:rsidRDefault="00D8731A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0DEE64D1" w14:textId="54239268" w:rsidR="00D8731A" w:rsidRDefault="00742AD2" w:rsidP="00D8731A">
      <w:pPr>
        <w:spacing w:after="0"/>
        <w:jc w:val="right"/>
        <w:rPr>
          <w:rFonts w:ascii="Calibri" w:eastAsia="Calibri" w:hAnsi="Calibri" w:cs="Calibri"/>
          <w:b/>
          <w:bCs/>
        </w:rPr>
      </w:pPr>
      <w:r w:rsidRPr="007E1FFF">
        <w:rPr>
          <w:rFonts w:ascii="Calibri" w:eastAsia="Calibri" w:hAnsi="Calibri" w:cs="Calibri"/>
          <w:b/>
          <w:bCs/>
        </w:rPr>
        <w:lastRenderedPageBreak/>
        <w:t>Příloha č. 1</w:t>
      </w:r>
    </w:p>
    <w:p w14:paraId="612F7F53" w14:textId="7567106F" w:rsidR="00742AD2" w:rsidRPr="007E1FFF" w:rsidRDefault="00742AD2" w:rsidP="00D8731A">
      <w:pPr>
        <w:spacing w:before="120" w:after="120" w:line="240" w:lineRule="auto"/>
        <w:jc w:val="both"/>
        <w:rPr>
          <w:rFonts w:ascii="Calibri" w:eastAsia="Calibri" w:hAnsi="Calibri" w:cs="Calibri"/>
          <w:b/>
          <w:bCs/>
        </w:rPr>
      </w:pPr>
      <w:r w:rsidRPr="007E1FFF">
        <w:rPr>
          <w:rFonts w:ascii="Calibri" w:eastAsia="Calibri" w:hAnsi="Calibri" w:cs="Calibri"/>
          <w:b/>
          <w:bCs/>
        </w:rPr>
        <w:t xml:space="preserve">Seznam </w:t>
      </w:r>
      <w:r w:rsidR="00F81538" w:rsidRPr="007E1FFF">
        <w:rPr>
          <w:rFonts w:ascii="Calibri" w:eastAsia="Calibri" w:hAnsi="Calibri" w:cs="Calibri"/>
          <w:b/>
          <w:bCs/>
        </w:rPr>
        <w:t>kontrolovaných příjemců podpory</w:t>
      </w:r>
      <w:r w:rsidRPr="007E1FFF">
        <w:rPr>
          <w:rFonts w:ascii="Calibri" w:eastAsia="Calibri" w:hAnsi="Calibri" w:cs="Calibri"/>
          <w:b/>
          <w:bCs/>
        </w:rPr>
        <w:t xml:space="preserve"> </w:t>
      </w:r>
    </w:p>
    <w:p w14:paraId="18EC7168" w14:textId="77777777" w:rsidR="00742AD2" w:rsidRPr="00D8731A" w:rsidRDefault="00742AD2" w:rsidP="00D8731A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417"/>
        <w:gridCol w:w="1418"/>
      </w:tblGrid>
      <w:tr w:rsidR="00AE6E57" w:rsidRPr="00D8731A" w14:paraId="201934DC" w14:textId="77777777" w:rsidTr="00AE6E57">
        <w:trPr>
          <w:trHeight w:val="7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1EE"/>
            <w:vAlign w:val="center"/>
            <w:hideMark/>
          </w:tcPr>
          <w:p w14:paraId="001F8B60" w14:textId="77777777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Registrační číslo operace</w:t>
            </w:r>
          </w:p>
          <w:p w14:paraId="55329D11" w14:textId="43645AA8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CZ.01.3.10/0.0/0.0/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1EE"/>
            <w:vAlign w:val="center"/>
            <w:hideMark/>
          </w:tcPr>
          <w:p w14:paraId="11C0820D" w14:textId="50127B4B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Název subjektu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1EE"/>
            <w:vAlign w:val="center"/>
            <w:hideMark/>
          </w:tcPr>
          <w:p w14:paraId="2149EBAA" w14:textId="77777777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IČ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1EE"/>
          </w:tcPr>
          <w:p w14:paraId="2BE2A26A" w14:textId="77777777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Způsobilé výdaje dle </w:t>
            </w:r>
            <w:proofErr w:type="spellStart"/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RoPD</w:t>
            </w:r>
            <w:proofErr w:type="spellEnd"/>
          </w:p>
          <w:p w14:paraId="307D8531" w14:textId="217A6DA6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01509B">
              <w:rPr>
                <w:rFonts w:ascii="Calibri" w:hAnsi="Calibri" w:cs="Calibri"/>
                <w:b/>
                <w:bCs/>
                <w:sz w:val="20"/>
                <w:szCs w:val="20"/>
              </w:rPr>
              <w:t>v </w:t>
            </w: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1EE"/>
          </w:tcPr>
          <w:p w14:paraId="5A6B639E" w14:textId="7010CC87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Přidělená podpora dle </w:t>
            </w:r>
            <w:proofErr w:type="spellStart"/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RoPD</w:t>
            </w:r>
            <w:proofErr w:type="spellEnd"/>
          </w:p>
          <w:p w14:paraId="64D994CA" w14:textId="1A756996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01509B">
              <w:rPr>
                <w:rFonts w:ascii="Calibri" w:hAnsi="Calibri" w:cs="Calibri"/>
                <w:b/>
                <w:bCs/>
                <w:sz w:val="20"/>
                <w:szCs w:val="20"/>
              </w:rPr>
              <w:t>v </w:t>
            </w: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Kč)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F1EE"/>
          </w:tcPr>
          <w:p w14:paraId="0A2DF4E9" w14:textId="6CA5490E" w:rsidR="00742AD2" w:rsidRPr="00D8731A" w:rsidRDefault="00742AD2" w:rsidP="00D873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Skutečně proplacená podpora </w:t>
            </w:r>
            <w:r w:rsidR="00D8731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01509B">
              <w:rPr>
                <w:rFonts w:ascii="Calibri" w:hAnsi="Calibri" w:cs="Calibri"/>
                <w:b/>
                <w:bCs/>
                <w:sz w:val="20"/>
                <w:szCs w:val="20"/>
              </w:rPr>
              <w:t>v </w:t>
            </w:r>
            <w:r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Kč)</w:t>
            </w:r>
          </w:p>
        </w:tc>
      </w:tr>
      <w:tr w:rsidR="00AE6E57" w:rsidRPr="00D8731A" w14:paraId="5C97C9CF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020DA7D4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18_183/0016061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60EC2391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Dopravní podnik města Brna,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5E1D4A51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25508881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4B8F1B3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47 709 931,00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61D258F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14 345 079,30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0736CE5F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11 998 375,79</w:t>
            </w:r>
          </w:p>
        </w:tc>
      </w:tr>
      <w:tr w:rsidR="00AE6E57" w:rsidRPr="00D8731A" w14:paraId="1CA8C506" w14:textId="77777777" w:rsidTr="00AE6E57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5E5FC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18_183/0017525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4E1F1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ZKL Brno,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BBE1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25507851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A512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31 498 000,00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9609B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9 512 722,63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BF593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9 392 159,99</w:t>
            </w:r>
          </w:p>
        </w:tc>
      </w:tr>
      <w:tr w:rsidR="00AE6E57" w:rsidRPr="00D8731A" w14:paraId="04BA6E7C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119B28A3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20_370/0026417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0872A433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MEDIA EFEKT,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3111E7BC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25518640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16F3DB69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20 800 000,00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43502E5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10 400 000,00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0BCC410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10 385 000,00</w:t>
            </w:r>
          </w:p>
        </w:tc>
      </w:tr>
      <w:tr w:rsidR="00AE6E57" w:rsidRPr="00D8731A" w14:paraId="1E32976A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7F2D4842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20_370/0025283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073A1B8B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CHRIŠTOF, spol. s 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5B3F57DF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42660351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81ADE94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36 354 100,00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9D9A211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10 906 230,00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1D2B38E6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10 906 230,00</w:t>
            </w:r>
          </w:p>
        </w:tc>
      </w:tr>
      <w:tr w:rsidR="00AE6E57" w:rsidRPr="00D8731A" w14:paraId="772C2038" w14:textId="77777777" w:rsidTr="00AE6E57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77868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18_183/0017236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D86A" w14:textId="3F014662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Střední odborné učiliště a</w:t>
            </w:r>
            <w:r w:rsidR="00961390">
              <w:rPr>
                <w:rFonts w:ascii="Calibri" w:hAnsi="Calibri" w:cs="Calibri"/>
                <w:sz w:val="20"/>
                <w:szCs w:val="20"/>
              </w:rPr>
              <w:t> </w:t>
            </w:r>
            <w:r w:rsidRPr="00D8731A">
              <w:rPr>
                <w:rFonts w:ascii="Calibri" w:hAnsi="Calibri" w:cs="Calibri"/>
                <w:sz w:val="20"/>
                <w:szCs w:val="20"/>
              </w:rPr>
              <w:t>Střední odborná škola SČMSD, Znojmo,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41E9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47900211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5498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27 303 422,78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039F6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8 373 357,83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7E0A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8 146 845,80</w:t>
            </w:r>
          </w:p>
        </w:tc>
      </w:tr>
      <w:tr w:rsidR="00AE6E57" w:rsidRPr="00D8731A" w14:paraId="510591E0" w14:textId="77777777" w:rsidTr="00AE6E5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F555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20_370/0025410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BAC9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MJ Play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8310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24242217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EF90A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29 664 600,00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4FAFA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14 832 300,00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3CE2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14 832 300,00</w:t>
            </w:r>
          </w:p>
        </w:tc>
      </w:tr>
      <w:tr w:rsidR="00AE6E57" w:rsidRPr="00D8731A" w14:paraId="4DFF02DF" w14:textId="77777777" w:rsidTr="00AE6E57">
        <w:trPr>
          <w:trHeight w:val="9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A2E2B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19_251/0022847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01C2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ZERAS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5D06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25546040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77815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25 855 093,00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6B3B7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10 203 520,80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95783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10 203 520,80</w:t>
            </w:r>
          </w:p>
        </w:tc>
      </w:tr>
      <w:tr w:rsidR="00AE6E57" w:rsidRPr="00D8731A" w14:paraId="225A9449" w14:textId="77777777" w:rsidTr="00153453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4B1E0D63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18_183/0017441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5AF469C7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 xml:space="preserve">BBG </w:t>
            </w:r>
            <w:proofErr w:type="spellStart"/>
            <w:r w:rsidRPr="00D8731A">
              <w:rPr>
                <w:rFonts w:ascii="Calibri" w:hAnsi="Calibri" w:cs="Calibri"/>
                <w:sz w:val="20"/>
                <w:szCs w:val="20"/>
              </w:rPr>
              <w:t>group</w:t>
            </w:r>
            <w:proofErr w:type="spellEnd"/>
            <w:r w:rsidRPr="00D8731A">
              <w:rPr>
                <w:rFonts w:ascii="Calibri" w:hAnsi="Calibri" w:cs="Calibri"/>
                <w:sz w:val="20"/>
                <w:szCs w:val="20"/>
              </w:rPr>
              <w:t>,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6D8AD6D3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26049384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02604D33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23 059 000,00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437E4A69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11 691 200,00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5EF9706B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11 467 200,00</w:t>
            </w:r>
          </w:p>
        </w:tc>
      </w:tr>
      <w:tr w:rsidR="00AE6E57" w:rsidRPr="00D8731A" w14:paraId="47ED8FB8" w14:textId="77777777" w:rsidTr="00AE6E57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7F14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19_251/0021452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CB7A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TENDON Reality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DD69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06297757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EFA08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31 000 000,00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EC89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9 300 000,00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FF42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9 299 999,99</w:t>
            </w:r>
          </w:p>
        </w:tc>
      </w:tr>
      <w:tr w:rsidR="00AE6E57" w:rsidRPr="00D8731A" w14:paraId="6A333791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7FAF72B6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19_251/0020585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08D0AD67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Dopravní podnik Ostrava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4898F081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61974757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E4F6586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42 282 642,44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36F6854B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12 684 792,73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2A647041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9 730 707,83</w:t>
            </w:r>
          </w:p>
        </w:tc>
      </w:tr>
      <w:tr w:rsidR="00AE6E57" w:rsidRPr="00D8731A" w14:paraId="0836ADB1" w14:textId="77777777" w:rsidTr="00153453">
        <w:trPr>
          <w:trHeight w:val="6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49E79A3B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20_370/0024416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55149A21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ZUUM Group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1269D5E2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05140790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013EF62E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19 240 000,00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776E33A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9 620 000,00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56F821D4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9 615 190,00</w:t>
            </w:r>
          </w:p>
        </w:tc>
      </w:tr>
      <w:tr w:rsidR="00AE6E57" w:rsidRPr="00D8731A" w14:paraId="17DCB8F6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34B21374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19_251/0022672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2EA10CCD" w14:textId="4538C91D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TŘINECKÉ ŽELEZÁRNY, a.</w:t>
            </w:r>
            <w:r w:rsidR="0001509B">
              <w:rPr>
                <w:rFonts w:ascii="Calibri" w:hAnsi="Calibri" w:cs="Calibri"/>
                <w:sz w:val="20"/>
                <w:szCs w:val="20"/>
              </w:rPr>
              <w:t> </w:t>
            </w:r>
            <w:r w:rsidRPr="00D8731A">
              <w:rPr>
                <w:rFonts w:ascii="Calibri" w:hAnsi="Calibri" w:cs="Calibri"/>
                <w:sz w:val="20"/>
                <w:szCs w:val="20"/>
              </w:rPr>
              <w:t>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7374EF22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18050646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806E34F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108 000 000,00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B4B468E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32 400 000,00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41DEB544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32 400 000,00</w:t>
            </w:r>
          </w:p>
        </w:tc>
      </w:tr>
      <w:tr w:rsidR="00AE6E57" w:rsidRPr="00D8731A" w14:paraId="432D3FE1" w14:textId="77777777" w:rsidTr="00AE6E57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853F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18_183/0016549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6720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IZOPOL DVOŘÁK,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1B07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26342391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C4AB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24 500 411,00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A7E5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9 920 164,40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B284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9 700 590,70</w:t>
            </w:r>
          </w:p>
        </w:tc>
      </w:tr>
      <w:tr w:rsidR="00AE6E57" w:rsidRPr="00D8731A" w14:paraId="20D18328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39F870FB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18_183/0017810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0B1329A6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NEXTA s.r.o.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79317E52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27282597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7AC818C1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30 950 000,00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96AA5D0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15 595 705,00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3B680696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15 554 999,99</w:t>
            </w:r>
          </w:p>
        </w:tc>
      </w:tr>
      <w:tr w:rsidR="00AE6E57" w:rsidRPr="00D8731A" w14:paraId="36D6977A" w14:textId="77777777" w:rsidTr="00153453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20A16721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18_183/0017251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6AFE2F68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DTS Vrbenský, a.s.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noWrap/>
            <w:vAlign w:val="center"/>
            <w:hideMark/>
          </w:tcPr>
          <w:p w14:paraId="346DA17E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63145251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CD92A39" w14:textId="77777777" w:rsidR="00742AD2" w:rsidRPr="00D8731A" w:rsidRDefault="00742AD2" w:rsidP="00D8731A">
            <w:pPr>
              <w:tabs>
                <w:tab w:val="left" w:pos="1110"/>
              </w:tabs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27 200 000,00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6235C989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11 000 000,00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DD3C7"/>
            <w:vAlign w:val="center"/>
          </w:tcPr>
          <w:p w14:paraId="44817E49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10 423 822,38</w:t>
            </w:r>
          </w:p>
        </w:tc>
      </w:tr>
      <w:tr w:rsidR="00AE6E57" w:rsidRPr="00D8731A" w14:paraId="54E794A6" w14:textId="77777777" w:rsidTr="00AE6E57">
        <w:trPr>
          <w:trHeight w:val="3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FECE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20_370/0023960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1CB9" w14:textId="77777777" w:rsidR="00742AD2" w:rsidRPr="00D8731A" w:rsidRDefault="00742AD2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ELE SERVIS CZ s.r.o.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B0AA" w14:textId="77777777" w:rsidR="00742AD2" w:rsidRPr="00D8731A" w:rsidRDefault="00742AD2" w:rsidP="00961390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24156744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19DE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20 588 977,62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FE4B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10 294 488,81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12FE7" w14:textId="77777777" w:rsidR="00742AD2" w:rsidRPr="00D8731A" w:rsidRDefault="00742AD2" w:rsidP="00D873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8731A">
              <w:rPr>
                <w:rFonts w:ascii="Calibri" w:hAnsi="Calibri" w:cs="Calibri"/>
                <w:sz w:val="20"/>
                <w:szCs w:val="20"/>
              </w:rPr>
              <w:t>10 273 933,07</w:t>
            </w:r>
          </w:p>
        </w:tc>
      </w:tr>
      <w:tr w:rsidR="00AE6E57" w:rsidRPr="00D8731A" w14:paraId="68346241" w14:textId="77777777" w:rsidTr="00AE6E57">
        <w:trPr>
          <w:trHeight w:val="300"/>
          <w:jc w:val="center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7514" w14:textId="26C859B2" w:rsidR="00742AD2" w:rsidRPr="00D8731A" w:rsidRDefault="00AE6E57" w:rsidP="00D8731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42AD2" w:rsidRPr="00D8731A">
              <w:rPr>
                <w:rFonts w:ascii="Calibri" w:hAnsi="Calibri" w:cs="Calibri"/>
                <w:b/>
                <w:bCs/>
                <w:sz w:val="20"/>
                <w:szCs w:val="20"/>
              </w:rPr>
              <w:t>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52C4" w14:textId="77777777" w:rsidR="00742AD2" w:rsidRPr="00D8731A" w:rsidRDefault="00742AD2" w:rsidP="00961390">
            <w:pPr>
              <w:spacing w:after="0" w:line="240" w:lineRule="auto"/>
              <w:ind w:left="-5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546 006 177,84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DC28" w14:textId="77777777" w:rsidR="00742AD2" w:rsidRPr="00D8731A" w:rsidRDefault="00742AD2" w:rsidP="00961390">
            <w:pPr>
              <w:spacing w:after="0" w:line="240" w:lineRule="auto"/>
              <w:ind w:left="-5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201 079 561,50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B1C9" w14:textId="1AB4F3F6" w:rsidR="00742AD2" w:rsidRPr="00D8731A" w:rsidRDefault="00742AD2" w:rsidP="00961390">
            <w:pPr>
              <w:spacing w:after="0" w:line="240" w:lineRule="auto"/>
              <w:ind w:left="-57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73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194 330 876,3</w:t>
            </w:r>
            <w:r w:rsidR="004E50DB" w:rsidRPr="00D873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p w14:paraId="4ED1161B" w14:textId="435B9D5A" w:rsidR="00742AD2" w:rsidRPr="00D8731A" w:rsidRDefault="0001509B" w:rsidP="00D8731A">
      <w:pPr>
        <w:spacing w:before="40" w:after="0" w:line="240" w:lineRule="auto"/>
        <w:ind w:left="567" w:hanging="567"/>
        <w:jc w:val="both"/>
        <w:rPr>
          <w:rFonts w:ascii="Calibri" w:eastAsia="Calibri" w:hAnsi="Calibri" w:cs="Calibri"/>
          <w:sz w:val="20"/>
          <w:szCs w:val="20"/>
        </w:rPr>
      </w:pPr>
      <w:r w:rsidRPr="0001509B">
        <w:rPr>
          <w:rFonts w:ascii="Calibri" w:hAnsi="Calibri" w:cs="Calibri"/>
          <w:b/>
          <w:bCs/>
          <w:sz w:val="20"/>
          <w:szCs w:val="20"/>
        </w:rPr>
        <w:t>Pozn.:</w:t>
      </w:r>
      <w:r w:rsidRPr="0001509B">
        <w:rPr>
          <w:rFonts w:ascii="Calibri" w:hAnsi="Calibri" w:cs="Calibri"/>
          <w:b/>
          <w:bCs/>
          <w:sz w:val="20"/>
          <w:szCs w:val="20"/>
        </w:rPr>
        <w:tab/>
      </w:r>
      <w:r w:rsidR="00742AD2" w:rsidRPr="00D8731A">
        <w:rPr>
          <w:rFonts w:ascii="Calibri" w:hAnsi="Calibri" w:cs="Calibri"/>
          <w:sz w:val="20"/>
          <w:szCs w:val="20"/>
        </w:rPr>
        <w:t xml:space="preserve">Projekty </w:t>
      </w:r>
      <w:r w:rsidR="00AA4FAA">
        <w:rPr>
          <w:rFonts w:ascii="Calibri" w:hAnsi="Calibri" w:cs="Calibri"/>
          <w:sz w:val="20"/>
          <w:szCs w:val="20"/>
        </w:rPr>
        <w:t>podbarvené</w:t>
      </w:r>
      <w:r w:rsidR="00742AD2" w:rsidRPr="00D8731A">
        <w:rPr>
          <w:rFonts w:ascii="Calibri" w:hAnsi="Calibri" w:cs="Calibri"/>
          <w:sz w:val="20"/>
          <w:szCs w:val="20"/>
        </w:rPr>
        <w:t xml:space="preserve"> zelenou barvu mají energetický posudek. Energetickým posudk</w:t>
      </w:r>
      <w:r w:rsidR="00AE6E57">
        <w:rPr>
          <w:rFonts w:ascii="Calibri" w:hAnsi="Calibri" w:cs="Calibri"/>
          <w:sz w:val="20"/>
          <w:szCs w:val="20"/>
        </w:rPr>
        <w:t>em</w:t>
      </w:r>
      <w:r w:rsidR="00742AD2" w:rsidRPr="00D8731A">
        <w:rPr>
          <w:rFonts w:ascii="Calibri" w:hAnsi="Calibri" w:cs="Calibri"/>
          <w:sz w:val="20"/>
          <w:szCs w:val="20"/>
        </w:rPr>
        <w:t xml:space="preserve"> se pro tyto účely rozumí energetický posudek podle § 9a odst. 1 zákona č. 406/2000 Sb., o hospodaření energií, v platném znění, zpracovaný podle vyhlášky č. 480/2012 Sb.</w:t>
      </w:r>
      <w:r w:rsidR="00D44E8C">
        <w:rPr>
          <w:rFonts w:ascii="Calibri" w:hAnsi="Calibri" w:cs="Calibri"/>
          <w:sz w:val="20"/>
          <w:szCs w:val="20"/>
        </w:rPr>
        <w:t>,</w:t>
      </w:r>
      <w:r w:rsidR="00742AD2" w:rsidRPr="00D8731A">
        <w:rPr>
          <w:rFonts w:ascii="Calibri" w:hAnsi="Calibri" w:cs="Calibri"/>
          <w:sz w:val="20"/>
          <w:szCs w:val="20"/>
        </w:rPr>
        <w:t xml:space="preserve"> o energetickém auditu a energetickém posudku, ve znění vyhlášky č. 309/2016 Sb.</w:t>
      </w:r>
    </w:p>
    <w:sectPr w:rsidR="00742AD2" w:rsidRPr="00D8731A" w:rsidSect="004134A1">
      <w:footerReference w:type="even" r:id="rId11"/>
      <w:footerReference w:type="default" r:id="rId12"/>
      <w:footerReference w:type="first" r:id="rId13"/>
      <w:pgSz w:w="11906" w:h="16838"/>
      <w:pgMar w:top="1440" w:right="144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4645" w14:textId="77777777" w:rsidR="009F6CF4" w:rsidRDefault="009F6CF4">
      <w:pPr>
        <w:spacing w:after="0" w:line="240" w:lineRule="auto"/>
      </w:pPr>
      <w:r>
        <w:separator/>
      </w:r>
    </w:p>
  </w:endnote>
  <w:endnote w:type="continuationSeparator" w:id="0">
    <w:p w14:paraId="46BB2163" w14:textId="77777777" w:rsidR="009F6CF4" w:rsidRDefault="009F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09CB" w14:textId="68E70C85" w:rsidR="00F45C91" w:rsidRDefault="005C6E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39E4" wp14:editId="33B7CD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407035"/>
              <wp:effectExtent l="0" t="0" r="11430" b="0"/>
              <wp:wrapNone/>
              <wp:docPr id="1930329216" name="Textové pole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66C93" w14:textId="2A102230" w:rsidR="005C6EBA" w:rsidRPr="005C6EBA" w:rsidRDefault="005C6EBA" w:rsidP="005C6E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</w:rPr>
                          </w:pPr>
                          <w:r w:rsidRPr="005C6EBA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839E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TLP:CLEAR" style="position:absolute;margin-left:0;margin-top:0;width:71.1pt;height:32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" filled="f" stroked="f">
              <v:textbox style="mso-fit-shape-to-text:t" inset="20pt,0,0,15pt">
                <w:txbxContent>
                  <w:p w14:paraId="51D66C93" w14:textId="2A102230" w:rsidR="005C6EBA" w:rsidRPr="005C6EBA" w:rsidRDefault="005C6EBA" w:rsidP="005C6E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</w:rPr>
                    </w:pPr>
                    <w:r w:rsidRPr="005C6EBA">
                      <w:rPr>
                        <w:rFonts w:ascii="Calibri" w:eastAsia="Calibri" w:hAnsi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F5FA" w14:textId="6F5D96F1" w:rsidR="00F45C91" w:rsidRDefault="005C6EBA" w:rsidP="00B6385A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748D37" wp14:editId="000838D1">
              <wp:simplePos x="902752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407035"/>
              <wp:effectExtent l="0" t="0" r="11430" b="0"/>
              <wp:wrapNone/>
              <wp:docPr id="597067904" name="Textové pole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5F591" w14:textId="10AA90CC" w:rsidR="005C6EBA" w:rsidRPr="005C6EBA" w:rsidRDefault="005C6EBA" w:rsidP="005C6E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</w:rPr>
                          </w:pPr>
                          <w:r w:rsidRPr="005C6EBA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48D3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TLP:CLEAR" style="position:absolute;left:0;text-align:left;margin-left:0;margin-top:0;width:71.1pt;height:32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" filled="f" stroked="f">
              <v:textbox style="mso-fit-shape-to-text:t" inset="20pt,0,0,15pt">
                <w:txbxContent>
                  <w:p w14:paraId="4505F591" w14:textId="10AA90CC" w:rsidR="005C6EBA" w:rsidRPr="005C6EBA" w:rsidRDefault="005C6EBA" w:rsidP="005C6E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</w:rPr>
                    </w:pPr>
                    <w:r w:rsidRPr="005C6EBA">
                      <w:rPr>
                        <w:rFonts w:ascii="Calibri" w:eastAsia="Calibri" w:hAnsi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36266527"/>
        <w:docPartObj>
          <w:docPartGallery w:val="Page Numbers (Bottom of Page)"/>
          <w:docPartUnique/>
        </w:docPartObj>
      </w:sdtPr>
      <w:sdtEndPr/>
      <w:sdtContent>
        <w:r w:rsidR="00B973ED" w:rsidRPr="00930231">
          <w:rPr>
            <w:rFonts w:ascii="Calibri" w:hAnsi="Calibri" w:cs="Calibri"/>
          </w:rPr>
          <w:fldChar w:fldCharType="begin"/>
        </w:r>
        <w:r w:rsidR="00B973ED" w:rsidRPr="00930231">
          <w:rPr>
            <w:rFonts w:ascii="Calibri" w:hAnsi="Calibri" w:cs="Calibri"/>
          </w:rPr>
          <w:instrText>PAGE   \* MERGEFORMAT</w:instrText>
        </w:r>
        <w:r w:rsidR="00B973ED" w:rsidRPr="00930231">
          <w:rPr>
            <w:rFonts w:ascii="Calibri" w:hAnsi="Calibri" w:cs="Calibri"/>
          </w:rPr>
          <w:fldChar w:fldCharType="separate"/>
        </w:r>
        <w:r w:rsidR="00B973ED" w:rsidRPr="00930231">
          <w:rPr>
            <w:rFonts w:ascii="Calibri" w:hAnsi="Calibri" w:cs="Calibri"/>
          </w:rPr>
          <w:t>2</w:t>
        </w:r>
        <w:r w:rsidR="00B973ED" w:rsidRPr="00930231">
          <w:rPr>
            <w:rFonts w:ascii="Calibri" w:hAnsi="Calibri" w:cs="Calibri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AB07" w14:textId="1F334A38" w:rsidR="00F45C91" w:rsidRDefault="005C6EB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B311F3" wp14:editId="303957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407035"/>
              <wp:effectExtent l="0" t="0" r="11430" b="0"/>
              <wp:wrapNone/>
              <wp:docPr id="123880176" name="Textové pole 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9ED8C" w14:textId="53EB0DFE" w:rsidR="005C6EBA" w:rsidRPr="005C6EBA" w:rsidRDefault="005C6EBA" w:rsidP="005C6E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</w:rPr>
                          </w:pPr>
                          <w:r w:rsidRPr="005C6EBA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311F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TLP:CLEAR" style="position:absolute;margin-left:0;margin-top:0;width:71.1pt;height:32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" filled="f" stroked="f">
              <v:textbox style="mso-fit-shape-to-text:t" inset="20pt,0,0,15pt">
                <w:txbxContent>
                  <w:p w14:paraId="6C09ED8C" w14:textId="53EB0DFE" w:rsidR="005C6EBA" w:rsidRPr="005C6EBA" w:rsidRDefault="005C6EBA" w:rsidP="005C6E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</w:rPr>
                    </w:pPr>
                    <w:r w:rsidRPr="005C6EBA">
                      <w:rPr>
                        <w:rFonts w:ascii="Calibri" w:eastAsia="Calibri" w:hAnsi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E8287" w14:textId="77777777" w:rsidR="009F6CF4" w:rsidRDefault="009F6CF4">
      <w:pPr>
        <w:spacing w:after="0" w:line="240" w:lineRule="auto"/>
      </w:pPr>
      <w:r>
        <w:separator/>
      </w:r>
    </w:p>
  </w:footnote>
  <w:footnote w:type="continuationSeparator" w:id="0">
    <w:p w14:paraId="5BE23878" w14:textId="77777777" w:rsidR="009F6CF4" w:rsidRDefault="009F6CF4">
      <w:pPr>
        <w:spacing w:after="0" w:line="240" w:lineRule="auto"/>
      </w:pPr>
      <w:r>
        <w:continuationSeparator/>
      </w:r>
    </w:p>
  </w:footnote>
  <w:footnote w:id="1">
    <w:p w14:paraId="45A20249" w14:textId="74C0DBC3" w:rsidR="00581D26" w:rsidRDefault="00581D26" w:rsidP="0061768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397707">
        <w:tab/>
      </w:r>
      <w:r w:rsidRPr="00F97F03">
        <w:rPr>
          <w:rFonts w:ascii="Calibri" w:hAnsi="Calibri" w:cs="Calibri"/>
        </w:rPr>
        <w:t>Usnesení vlády</w:t>
      </w:r>
      <w:r w:rsidR="003746EE">
        <w:rPr>
          <w:rFonts w:ascii="Calibri" w:hAnsi="Calibri" w:cs="Calibri"/>
        </w:rPr>
        <w:t xml:space="preserve"> ČR</w:t>
      </w:r>
      <w:r w:rsidRPr="00F97F03">
        <w:rPr>
          <w:rFonts w:ascii="Calibri" w:hAnsi="Calibri" w:cs="Calibri"/>
        </w:rPr>
        <w:t xml:space="preserve"> ze dne 22. prosince 2014 č. 1085, </w:t>
      </w:r>
      <w:r w:rsidR="00F21DC3" w:rsidRPr="00A15456">
        <w:rPr>
          <w:rFonts w:ascii="Calibri" w:hAnsi="Calibri" w:cs="Calibri"/>
          <w:i/>
          <w:iCs/>
        </w:rPr>
        <w:t xml:space="preserve">o </w:t>
      </w:r>
      <w:r w:rsidRPr="00A15456">
        <w:rPr>
          <w:rFonts w:ascii="Calibri" w:hAnsi="Calibri" w:cs="Calibri"/>
          <w:i/>
          <w:iCs/>
        </w:rPr>
        <w:t>Národní</w:t>
      </w:r>
      <w:r w:rsidR="00F21DC3" w:rsidRPr="00A15456">
        <w:rPr>
          <w:rFonts w:ascii="Calibri" w:hAnsi="Calibri" w:cs="Calibri"/>
          <w:i/>
          <w:iCs/>
        </w:rPr>
        <w:t>m</w:t>
      </w:r>
      <w:r w:rsidRPr="00A15456">
        <w:rPr>
          <w:rFonts w:ascii="Calibri" w:hAnsi="Calibri" w:cs="Calibri"/>
          <w:i/>
          <w:iCs/>
        </w:rPr>
        <w:t xml:space="preserve"> akční</w:t>
      </w:r>
      <w:r w:rsidR="00F21DC3" w:rsidRPr="00A15456">
        <w:rPr>
          <w:rFonts w:ascii="Calibri" w:hAnsi="Calibri" w:cs="Calibri"/>
          <w:i/>
          <w:iCs/>
        </w:rPr>
        <w:t>m</w:t>
      </w:r>
      <w:r w:rsidRPr="00A15456">
        <w:rPr>
          <w:rFonts w:ascii="Calibri" w:hAnsi="Calibri" w:cs="Calibri"/>
          <w:i/>
          <w:iCs/>
        </w:rPr>
        <w:t xml:space="preserve"> plán</w:t>
      </w:r>
      <w:r w:rsidR="00F21DC3" w:rsidRPr="00A15456">
        <w:rPr>
          <w:rFonts w:ascii="Calibri" w:hAnsi="Calibri" w:cs="Calibri"/>
          <w:i/>
          <w:iCs/>
        </w:rPr>
        <w:t>u</w:t>
      </w:r>
      <w:r w:rsidRPr="00A15456">
        <w:rPr>
          <w:rFonts w:ascii="Calibri" w:hAnsi="Calibri" w:cs="Calibri"/>
          <w:i/>
          <w:iCs/>
        </w:rPr>
        <w:t xml:space="preserve"> energetické účinnosti </w:t>
      </w:r>
      <w:r w:rsidR="00F21DC3" w:rsidRPr="00A15456">
        <w:rPr>
          <w:rFonts w:ascii="Calibri" w:hAnsi="Calibri" w:cs="Calibri"/>
          <w:i/>
          <w:iCs/>
        </w:rPr>
        <w:t xml:space="preserve">České republiky </w:t>
      </w:r>
      <w:r w:rsidRPr="00A15456">
        <w:rPr>
          <w:rFonts w:ascii="Calibri" w:hAnsi="Calibri" w:cs="Calibri"/>
          <w:i/>
          <w:iCs/>
        </w:rPr>
        <w:t>podle čl. 24 odst. 2 směrnice Evropského parlamentu a Rady 2012/27/EU ze dne 25. října 2012 o</w:t>
      </w:r>
      <w:r w:rsidR="00397707" w:rsidRPr="00A15456">
        <w:rPr>
          <w:rFonts w:ascii="Calibri" w:hAnsi="Calibri" w:cs="Calibri"/>
          <w:i/>
          <w:iCs/>
        </w:rPr>
        <w:t> </w:t>
      </w:r>
      <w:r w:rsidRPr="00A15456">
        <w:rPr>
          <w:rFonts w:ascii="Calibri" w:hAnsi="Calibri" w:cs="Calibri"/>
          <w:i/>
          <w:iCs/>
        </w:rPr>
        <w:t>energetické účinnosti</w:t>
      </w:r>
      <w:r w:rsidRPr="00F97F03">
        <w:rPr>
          <w:rFonts w:ascii="Calibri" w:hAnsi="Calibri" w:cs="Calibri"/>
        </w:rPr>
        <w:t>.</w:t>
      </w:r>
    </w:p>
  </w:footnote>
  <w:footnote w:id="2">
    <w:p w14:paraId="783B3544" w14:textId="663321F9" w:rsidR="00511E71" w:rsidRPr="001F4A1B" w:rsidRDefault="00511E71" w:rsidP="00140DDD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F4A1B">
        <w:rPr>
          <w:rStyle w:val="Znakapoznpodarou"/>
          <w:rFonts w:ascii="Calibri" w:hAnsi="Calibri" w:cs="Calibri"/>
        </w:rPr>
        <w:footnoteRef/>
      </w:r>
      <w:r w:rsidRPr="001F4A1B">
        <w:rPr>
          <w:rFonts w:ascii="Calibri" w:hAnsi="Calibri" w:cs="Calibri"/>
        </w:rPr>
        <w:t xml:space="preserve"> </w:t>
      </w:r>
      <w:r w:rsidR="00397707">
        <w:rPr>
          <w:rFonts w:ascii="Calibri" w:hAnsi="Calibri" w:cs="Calibri"/>
        </w:rPr>
        <w:tab/>
      </w:r>
      <w:r w:rsidRPr="001F4A1B">
        <w:rPr>
          <w:rFonts w:ascii="Calibri" w:hAnsi="Calibri" w:cs="Calibri"/>
        </w:rPr>
        <w:t xml:space="preserve">Čistá konečná spotřeba </w:t>
      </w:r>
      <w:r>
        <w:rPr>
          <w:rFonts w:ascii="Calibri" w:hAnsi="Calibri" w:cs="Calibri"/>
        </w:rPr>
        <w:t xml:space="preserve">energie v průmyslu a ve službách v ČR byl výsledkový ukazatel, kterým se měřil přínos podpory v programu podpory </w:t>
      </w:r>
      <w:r w:rsidRPr="00A15456">
        <w:rPr>
          <w:rFonts w:ascii="Calibri" w:hAnsi="Calibri" w:cs="Calibri"/>
          <w:i/>
          <w:iCs/>
        </w:rPr>
        <w:t>Úspory energie</w:t>
      </w:r>
      <w:r>
        <w:rPr>
          <w:rFonts w:ascii="Calibri" w:hAnsi="Calibri" w:cs="Calibri"/>
        </w:rPr>
        <w:t xml:space="preserve"> v </w:t>
      </w:r>
      <w:r w:rsidR="00153853">
        <w:rPr>
          <w:rFonts w:ascii="Calibri" w:hAnsi="Calibri" w:cs="Calibri"/>
        </w:rPr>
        <w:t>OP PIK</w:t>
      </w:r>
      <w:r>
        <w:rPr>
          <w:rFonts w:ascii="Calibri" w:hAnsi="Calibri" w:cs="Calibri"/>
        </w:rPr>
        <w:t xml:space="preserve"> (blíže viz odst</w:t>
      </w:r>
      <w:r w:rsidR="0061768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4.5, 4.7 a 4.12)</w:t>
      </w:r>
      <w:r w:rsidR="00485E81">
        <w:rPr>
          <w:rFonts w:ascii="Calibri" w:hAnsi="Calibri" w:cs="Calibri"/>
        </w:rPr>
        <w:t>. Tento údaj ukazuje skutečnou spotřebu energie bez započítání ztrát při výrobě a distribuci energie.</w:t>
      </w:r>
    </w:p>
  </w:footnote>
  <w:footnote w:id="3">
    <w:p w14:paraId="3CA2D6FB" w14:textId="46A4CD29" w:rsidR="004E0025" w:rsidRPr="00511E71" w:rsidRDefault="004E0025" w:rsidP="00397707">
      <w:pPr>
        <w:pStyle w:val="Textpoznpodarou"/>
        <w:ind w:left="284" w:hanging="284"/>
      </w:pPr>
      <w:r w:rsidRPr="00511E71">
        <w:rPr>
          <w:rStyle w:val="Znakapoznpodarou"/>
        </w:rPr>
        <w:footnoteRef/>
      </w:r>
      <w:r w:rsidRPr="00511E71">
        <w:t xml:space="preserve"> </w:t>
      </w:r>
      <w:r w:rsidR="00397707">
        <w:tab/>
      </w:r>
      <w:r w:rsidR="00226C6C" w:rsidRPr="001F4A1B">
        <w:rPr>
          <w:rFonts w:ascii="Calibri" w:eastAsia="Calibri" w:hAnsi="Calibri" w:cs="Calibri"/>
        </w:rPr>
        <w:t xml:space="preserve">Usnesením vlády ČR ze dne 18. prosince 2024 č. 960 byla schválena aktualizace </w:t>
      </w:r>
      <w:r w:rsidR="00226C6C" w:rsidRPr="005C6EBA">
        <w:rPr>
          <w:rFonts w:ascii="Calibri" w:eastAsia="Calibri" w:hAnsi="Calibri" w:cs="Calibri"/>
          <w:i/>
          <w:iCs/>
        </w:rPr>
        <w:t>Vnitrostátního plánu České republiky v oblasti energetiky a klimatu na období 2021</w:t>
      </w:r>
      <w:r w:rsidR="0017515A" w:rsidRPr="005C6EBA">
        <w:rPr>
          <w:rFonts w:ascii="Calibri" w:eastAsia="Calibri" w:hAnsi="Calibri" w:cs="Calibri"/>
          <w:i/>
          <w:iCs/>
        </w:rPr>
        <w:t>–</w:t>
      </w:r>
      <w:r w:rsidR="00226C6C" w:rsidRPr="005C6EBA">
        <w:rPr>
          <w:rFonts w:ascii="Calibri" w:eastAsia="Calibri" w:hAnsi="Calibri" w:cs="Calibri"/>
          <w:i/>
          <w:iCs/>
        </w:rPr>
        <w:t>2030</w:t>
      </w:r>
      <w:r w:rsidR="00226C6C" w:rsidRPr="001F4A1B">
        <w:rPr>
          <w:rFonts w:ascii="Calibri" w:eastAsia="Calibri" w:hAnsi="Calibri" w:cs="Calibri"/>
        </w:rPr>
        <w:t>.</w:t>
      </w:r>
    </w:p>
  </w:footnote>
  <w:footnote w:id="4">
    <w:p w14:paraId="11342889" w14:textId="75F5D7EE" w:rsidR="004E0025" w:rsidRPr="00014651" w:rsidRDefault="004E0025" w:rsidP="0039770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14651">
        <w:rPr>
          <w:rStyle w:val="Znakapoznpodarou"/>
          <w:rFonts w:ascii="Calibri" w:hAnsi="Calibri" w:cs="Calibri"/>
        </w:rPr>
        <w:footnoteRef/>
      </w:r>
      <w:r w:rsidRPr="00014651">
        <w:rPr>
          <w:rFonts w:ascii="Calibri" w:hAnsi="Calibri" w:cs="Calibri"/>
        </w:rPr>
        <w:t xml:space="preserve"> </w:t>
      </w:r>
      <w:r w:rsidR="00397707">
        <w:rPr>
          <w:rFonts w:ascii="Calibri" w:hAnsi="Calibri" w:cs="Calibri"/>
        </w:rPr>
        <w:tab/>
      </w:r>
      <w:r w:rsidRPr="00014651">
        <w:rPr>
          <w:rFonts w:ascii="Calibri" w:hAnsi="Calibri" w:cs="Calibri"/>
        </w:rPr>
        <w:t>Informace je dostupná na zastřešujícím portálu evropských fondů v ČR www.dotaceeu.cz, který spravuje Ministerstvo pro místní rozvoj.</w:t>
      </w:r>
    </w:p>
  </w:footnote>
  <w:footnote w:id="5">
    <w:p w14:paraId="27E6E910" w14:textId="4339CCBF" w:rsidR="005C6FB4" w:rsidRPr="00014651" w:rsidRDefault="005C6FB4" w:rsidP="00397707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14651">
        <w:rPr>
          <w:rStyle w:val="Znakapoznpodarou"/>
          <w:rFonts w:ascii="Calibri" w:hAnsi="Calibri" w:cs="Calibri"/>
        </w:rPr>
        <w:footnoteRef/>
      </w:r>
      <w:r w:rsidRPr="00014651">
        <w:rPr>
          <w:rFonts w:ascii="Calibri" w:hAnsi="Calibri" w:cs="Calibri"/>
        </w:rPr>
        <w:t xml:space="preserve"> </w:t>
      </w:r>
      <w:r w:rsidR="0036359F">
        <w:rPr>
          <w:rFonts w:ascii="Calibri" w:hAnsi="Calibri" w:cs="Calibri"/>
        </w:rPr>
        <w:tab/>
      </w:r>
      <w:r w:rsidRPr="00014651">
        <w:rPr>
          <w:rFonts w:ascii="Calibri" w:hAnsi="Calibri" w:cs="Calibri"/>
        </w:rPr>
        <w:t xml:space="preserve">Usnesení vlády ČR ze dne 14. července 2014 č. 581, </w:t>
      </w:r>
      <w:r w:rsidRPr="00A15456">
        <w:rPr>
          <w:rFonts w:ascii="Calibri" w:hAnsi="Calibri" w:cs="Calibri"/>
          <w:i/>
          <w:iCs/>
        </w:rPr>
        <w:t>k Operačnímu programu Podnikání a inovace pro konkurenceschopnost 2014–2020</w:t>
      </w:r>
      <w:r w:rsidRPr="00014651">
        <w:rPr>
          <w:rFonts w:ascii="Calibri" w:hAnsi="Calibri" w:cs="Calibri"/>
        </w:rPr>
        <w:t>.</w:t>
      </w:r>
    </w:p>
  </w:footnote>
  <w:footnote w:id="6">
    <w:p w14:paraId="6087D12B" w14:textId="5A88323E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855663">
        <w:rPr>
          <w:rFonts w:ascii="Calibri" w:hAnsi="Calibri" w:cs="Calibri"/>
        </w:rPr>
        <w:t xml:space="preserve"> měny </w:t>
      </w:r>
      <w:r w:rsidRPr="00F97F03">
        <w:rPr>
          <w:rFonts w:ascii="Calibri" w:hAnsi="Calibri" w:cs="Calibri"/>
        </w:rPr>
        <w:t xml:space="preserve">EUR k datu schválení </w:t>
      </w:r>
      <w:r w:rsidR="00153853">
        <w:rPr>
          <w:rFonts w:ascii="Calibri" w:hAnsi="Calibri" w:cs="Calibri"/>
        </w:rPr>
        <w:t>OP PIK</w:t>
      </w:r>
      <w:r w:rsidRPr="00F97F03">
        <w:rPr>
          <w:rFonts w:ascii="Calibri" w:hAnsi="Calibri" w:cs="Calibri"/>
        </w:rPr>
        <w:t xml:space="preserve"> Evropskou komisí. Kurz 29. dubna 2015 byl 27,435</w:t>
      </w:r>
      <w:r w:rsidR="00855663">
        <w:rPr>
          <w:rFonts w:ascii="Calibri" w:hAnsi="Calibri" w:cs="Calibri"/>
        </w:rPr>
        <w:t> CZK</w:t>
      </w:r>
      <w:r w:rsidRPr="00F97F03">
        <w:rPr>
          <w:rFonts w:ascii="Calibri" w:hAnsi="Calibri" w:cs="Calibri"/>
        </w:rPr>
        <w:t>/EUR.</w:t>
      </w:r>
    </w:p>
  </w:footnote>
  <w:footnote w:id="7">
    <w:p w14:paraId="55704DF7" w14:textId="2415DAA5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855663">
        <w:rPr>
          <w:rFonts w:ascii="Calibri" w:hAnsi="Calibri" w:cs="Calibri"/>
        </w:rPr>
        <w:t xml:space="preserve"> měny</w:t>
      </w:r>
      <w:r w:rsidRPr="00F97F03">
        <w:rPr>
          <w:rFonts w:ascii="Calibri" w:hAnsi="Calibri" w:cs="Calibri"/>
        </w:rPr>
        <w:t xml:space="preserve"> EUR k datu 3. září 2020, kurz měn byl 26,37 CZK/EUR.</w:t>
      </w:r>
    </w:p>
  </w:footnote>
  <w:footnote w:id="8">
    <w:p w14:paraId="506BD36C" w14:textId="3F15C263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 xml:space="preserve"> měny </w:t>
      </w:r>
      <w:r w:rsidRPr="00F97F03">
        <w:rPr>
          <w:rFonts w:ascii="Calibri" w:hAnsi="Calibri" w:cs="Calibri"/>
        </w:rPr>
        <w:t xml:space="preserve">EUR k datu schválení </w:t>
      </w:r>
      <w:r w:rsidR="00153853">
        <w:rPr>
          <w:rFonts w:ascii="Calibri" w:hAnsi="Calibri" w:cs="Calibri"/>
        </w:rPr>
        <w:t>OP PIK</w:t>
      </w:r>
      <w:r w:rsidRPr="00F97F03">
        <w:rPr>
          <w:rFonts w:ascii="Calibri" w:hAnsi="Calibri" w:cs="Calibri"/>
        </w:rPr>
        <w:t xml:space="preserve"> Evropskou komisí. Kurz 29. dubna 2015 byl 27,435</w:t>
      </w:r>
      <w:r w:rsidR="00114F51">
        <w:rPr>
          <w:rFonts w:ascii="Calibri" w:hAnsi="Calibri" w:cs="Calibri"/>
        </w:rPr>
        <w:t> CZK</w:t>
      </w:r>
      <w:r w:rsidRPr="00F97F03">
        <w:rPr>
          <w:rFonts w:ascii="Calibri" w:hAnsi="Calibri" w:cs="Calibri"/>
        </w:rPr>
        <w:t>/EUR.</w:t>
      </w:r>
    </w:p>
  </w:footnote>
  <w:footnote w:id="9">
    <w:p w14:paraId="539AB624" w14:textId="40CF2F50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> měny</w:t>
      </w:r>
      <w:r w:rsidRPr="00F97F03">
        <w:rPr>
          <w:rFonts w:ascii="Calibri" w:hAnsi="Calibri" w:cs="Calibri"/>
        </w:rPr>
        <w:t xml:space="preserve"> EUR k datu podání návrhu změny </w:t>
      </w:r>
      <w:r w:rsidR="00153853">
        <w:rPr>
          <w:rFonts w:ascii="Calibri" w:hAnsi="Calibri" w:cs="Calibri"/>
        </w:rPr>
        <w:t>OP PIK</w:t>
      </w:r>
      <w:r w:rsidRPr="00F97F03">
        <w:rPr>
          <w:rFonts w:ascii="Calibri" w:hAnsi="Calibri" w:cs="Calibri"/>
        </w:rPr>
        <w:t xml:space="preserve"> dne 29. listopadu 2018. Kurz 29. listopadu 2018 byl 25,965</w:t>
      </w:r>
      <w:r w:rsidR="00114F51">
        <w:rPr>
          <w:rFonts w:ascii="Calibri" w:hAnsi="Calibri" w:cs="Calibri"/>
        </w:rPr>
        <w:t> CZK</w:t>
      </w:r>
      <w:r w:rsidRPr="00F97F03">
        <w:rPr>
          <w:rFonts w:ascii="Calibri" w:hAnsi="Calibri" w:cs="Calibri"/>
        </w:rPr>
        <w:t>/EUR.</w:t>
      </w:r>
    </w:p>
  </w:footnote>
  <w:footnote w:id="10">
    <w:p w14:paraId="714A7019" w14:textId="419B47A3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> měny</w:t>
      </w:r>
      <w:r w:rsidRPr="00F97F03">
        <w:rPr>
          <w:rFonts w:ascii="Calibri" w:hAnsi="Calibri" w:cs="Calibri"/>
        </w:rPr>
        <w:t xml:space="preserve"> EUR k datu 3. září 2020, kurz měn byl 26,37 CZK/EUR.</w:t>
      </w:r>
    </w:p>
  </w:footnote>
  <w:footnote w:id="11">
    <w:p w14:paraId="4FBB53EF" w14:textId="0C8BC6F6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 xml:space="preserve"> měny </w:t>
      </w:r>
      <w:r w:rsidRPr="00F97F03">
        <w:rPr>
          <w:rFonts w:ascii="Calibri" w:hAnsi="Calibri" w:cs="Calibri"/>
        </w:rPr>
        <w:t>EUR k datu 14. ledna 2021, kurz měn byl 26,19 CZK/EUR.</w:t>
      </w:r>
    </w:p>
  </w:footnote>
  <w:footnote w:id="12">
    <w:p w14:paraId="608FE48B" w14:textId="73B72E77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 xml:space="preserve"> měny </w:t>
      </w:r>
      <w:r w:rsidRPr="00F97F03">
        <w:rPr>
          <w:rFonts w:ascii="Calibri" w:hAnsi="Calibri" w:cs="Calibri"/>
        </w:rPr>
        <w:t xml:space="preserve">EUR k datu schválení </w:t>
      </w:r>
      <w:r w:rsidR="00153853">
        <w:rPr>
          <w:rFonts w:ascii="Calibri" w:hAnsi="Calibri" w:cs="Calibri"/>
        </w:rPr>
        <w:t>OP PIK</w:t>
      </w:r>
      <w:r w:rsidRPr="00F97F03">
        <w:rPr>
          <w:rFonts w:ascii="Calibri" w:hAnsi="Calibri" w:cs="Calibri"/>
        </w:rPr>
        <w:t xml:space="preserve"> Evropskou komisí. Kurz 29. dubna 2015 byl 27,435</w:t>
      </w:r>
      <w:r w:rsidR="00114F51">
        <w:rPr>
          <w:rFonts w:ascii="Calibri" w:hAnsi="Calibri" w:cs="Calibri"/>
        </w:rPr>
        <w:t> </w:t>
      </w:r>
      <w:r w:rsidRPr="00F97F03">
        <w:rPr>
          <w:rFonts w:ascii="Calibri" w:hAnsi="Calibri" w:cs="Calibri"/>
        </w:rPr>
        <w:t>CZK/EUR.</w:t>
      </w:r>
    </w:p>
  </w:footnote>
  <w:footnote w:id="13">
    <w:p w14:paraId="0B3F97D8" w14:textId="61950C48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 xml:space="preserve"> měny </w:t>
      </w:r>
      <w:r w:rsidRPr="00F97F03">
        <w:rPr>
          <w:rFonts w:ascii="Calibri" w:hAnsi="Calibri" w:cs="Calibri"/>
        </w:rPr>
        <w:t>EUR k datu 20. července 2018, kurz měn byl 25,875 CZK/EUR.</w:t>
      </w:r>
    </w:p>
  </w:footnote>
  <w:footnote w:id="14">
    <w:p w14:paraId="21B0E9CD" w14:textId="3FDC1E83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 xml:space="preserve"> měny </w:t>
      </w:r>
      <w:r w:rsidRPr="00F97F03">
        <w:rPr>
          <w:rFonts w:ascii="Calibri" w:hAnsi="Calibri" w:cs="Calibri"/>
        </w:rPr>
        <w:t>EUR k datu 17. dubna 2020, kurz měn byl 27,165 CZK/EUR.</w:t>
      </w:r>
    </w:p>
  </w:footnote>
  <w:footnote w:id="15">
    <w:p w14:paraId="1B061705" w14:textId="2ECF6706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114F51">
        <w:rPr>
          <w:rFonts w:ascii="Calibri" w:hAnsi="Calibri" w:cs="Calibri"/>
        </w:rPr>
        <w:t> měny</w:t>
      </w:r>
      <w:r w:rsidRPr="00F97F03">
        <w:rPr>
          <w:rFonts w:ascii="Calibri" w:hAnsi="Calibri" w:cs="Calibri"/>
        </w:rPr>
        <w:t xml:space="preserve"> EUR k datu 3. září 2020, kurz měn byl 26,37 CZK/EUR.</w:t>
      </w:r>
    </w:p>
  </w:footnote>
  <w:footnote w:id="16">
    <w:p w14:paraId="53ADE179" w14:textId="782AB8AF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</w:t>
      </w:r>
      <w:r w:rsidR="003E0AC9">
        <w:rPr>
          <w:rFonts w:ascii="Calibri" w:hAnsi="Calibri" w:cs="Calibri"/>
        </w:rPr>
        <w:t> měny</w:t>
      </w:r>
      <w:r w:rsidRPr="00F97F03">
        <w:rPr>
          <w:rFonts w:ascii="Calibri" w:hAnsi="Calibri" w:cs="Calibri"/>
        </w:rPr>
        <w:t xml:space="preserve"> EUR k datu schválení </w:t>
      </w:r>
      <w:r w:rsidR="00153853">
        <w:rPr>
          <w:rFonts w:ascii="Calibri" w:hAnsi="Calibri" w:cs="Calibri"/>
        </w:rPr>
        <w:t>OP PIK</w:t>
      </w:r>
      <w:r w:rsidRPr="00F97F03">
        <w:rPr>
          <w:rFonts w:ascii="Calibri" w:hAnsi="Calibri" w:cs="Calibri"/>
        </w:rPr>
        <w:t xml:space="preserve"> Evropskou komisí. Kurz 29. dubna 2015 byl 27,435 CZK/EUR.</w:t>
      </w:r>
    </w:p>
  </w:footnote>
  <w:footnote w:id="17">
    <w:p w14:paraId="50AFC3CF" w14:textId="14E72692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 </w:t>
      </w:r>
      <w:r w:rsidR="003E0AC9">
        <w:rPr>
          <w:rFonts w:ascii="Calibri" w:hAnsi="Calibri" w:cs="Calibri"/>
        </w:rPr>
        <w:t xml:space="preserve">měny </w:t>
      </w:r>
      <w:r w:rsidRPr="00F97F03">
        <w:rPr>
          <w:rFonts w:ascii="Calibri" w:hAnsi="Calibri" w:cs="Calibri"/>
        </w:rPr>
        <w:t>EUR k datu 17. března 2020, kurz měn byl 26,98 CZK/EUR.</w:t>
      </w:r>
    </w:p>
  </w:footnote>
  <w:footnote w:id="18">
    <w:p w14:paraId="01F7C8C6" w14:textId="17A27578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 </w:t>
      </w:r>
      <w:r w:rsidR="003E0AC9">
        <w:rPr>
          <w:rFonts w:ascii="Calibri" w:hAnsi="Calibri" w:cs="Calibri"/>
        </w:rPr>
        <w:t xml:space="preserve">měny </w:t>
      </w:r>
      <w:r w:rsidRPr="00F97F03">
        <w:rPr>
          <w:rFonts w:ascii="Calibri" w:hAnsi="Calibri" w:cs="Calibri"/>
        </w:rPr>
        <w:t>EUR k datu 3. září 2020, kurz měn byl 26,37 CZK/EUR.</w:t>
      </w:r>
    </w:p>
  </w:footnote>
  <w:footnote w:id="19">
    <w:p w14:paraId="19DE0EFA" w14:textId="3D068A7E" w:rsidR="005C6FB4" w:rsidRPr="00F97F03" w:rsidRDefault="005C6FB4" w:rsidP="00F4704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F47044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Přepočteno z </w:t>
      </w:r>
      <w:r w:rsidR="003E0AC9">
        <w:rPr>
          <w:rFonts w:ascii="Calibri" w:hAnsi="Calibri" w:cs="Calibri"/>
        </w:rPr>
        <w:t xml:space="preserve">měny </w:t>
      </w:r>
      <w:r w:rsidRPr="00F97F03">
        <w:rPr>
          <w:rFonts w:ascii="Calibri" w:hAnsi="Calibri" w:cs="Calibri"/>
        </w:rPr>
        <w:t>EUR k datu 14. ledna 2021, kurz měn byl 26,19 CZK/EUR.</w:t>
      </w:r>
    </w:p>
  </w:footnote>
  <w:footnote w:id="20">
    <w:p w14:paraId="76F14564" w14:textId="123F04AB" w:rsidR="005C6FB4" w:rsidRPr="00F97F03" w:rsidRDefault="005C6FB4" w:rsidP="002D24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2D24D9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 xml:space="preserve">Směrnice Evropského parlamentu a Rady 2012/27/EU ze dne 25. října 2012 o energetické účinnosti, o změně směrnic 2009/125/ES a 2010/30/EU a o zrušení směrnic 2004/8/ES a 2006/32/ES byla nahrazena </w:t>
      </w:r>
      <w:r w:rsidR="00252A7C">
        <w:rPr>
          <w:rFonts w:ascii="Calibri" w:hAnsi="Calibri" w:cs="Calibri"/>
        </w:rPr>
        <w:t>s</w:t>
      </w:r>
      <w:r w:rsidRPr="00F97F03">
        <w:rPr>
          <w:rFonts w:ascii="Calibri" w:hAnsi="Calibri" w:cs="Calibri"/>
        </w:rPr>
        <w:t>měrnicí Evropského parlamentu a Rady (EU) 2023/1791 ze dne 13. září 2023 o energetické účinnosti a o změně nařízení (EU) 2023/955 (přepracované znění)</w:t>
      </w:r>
      <w:r w:rsidR="005157ED">
        <w:rPr>
          <w:rFonts w:ascii="Calibri" w:hAnsi="Calibri" w:cs="Calibri"/>
        </w:rPr>
        <w:t>.</w:t>
      </w:r>
    </w:p>
  </w:footnote>
  <w:footnote w:id="21">
    <w:p w14:paraId="2100037E" w14:textId="13411F19" w:rsidR="005C6FB4" w:rsidRPr="00F97F03" w:rsidRDefault="005C6FB4" w:rsidP="002D24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2D24D9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S</w:t>
      </w:r>
      <w:r w:rsidR="00252A7C" w:rsidRPr="00F97F03">
        <w:rPr>
          <w:rFonts w:ascii="Calibri" w:hAnsi="Calibri" w:cs="Calibri"/>
        </w:rPr>
        <w:t xml:space="preserve">měrnice </w:t>
      </w:r>
      <w:r w:rsidRPr="00F97F03">
        <w:rPr>
          <w:rFonts w:ascii="Calibri" w:hAnsi="Calibri" w:cs="Calibri"/>
        </w:rPr>
        <w:t>E</w:t>
      </w:r>
      <w:r w:rsidR="00252A7C" w:rsidRPr="00F97F03">
        <w:rPr>
          <w:rFonts w:ascii="Calibri" w:hAnsi="Calibri" w:cs="Calibri"/>
        </w:rPr>
        <w:t xml:space="preserve">vropského parlamentu a </w:t>
      </w:r>
      <w:r w:rsidRPr="00F97F03">
        <w:rPr>
          <w:rFonts w:ascii="Calibri" w:hAnsi="Calibri" w:cs="Calibri"/>
        </w:rPr>
        <w:t>R</w:t>
      </w:r>
      <w:r w:rsidR="00252A7C" w:rsidRPr="00F97F03">
        <w:rPr>
          <w:rFonts w:ascii="Calibri" w:hAnsi="Calibri" w:cs="Calibri"/>
        </w:rPr>
        <w:t>ady</w:t>
      </w:r>
      <w:r w:rsidRPr="00F97F03">
        <w:rPr>
          <w:rFonts w:ascii="Calibri" w:hAnsi="Calibri" w:cs="Calibri"/>
        </w:rPr>
        <w:t xml:space="preserve"> (EU) 2018/2001 ze dne 11. prosince 2018 o podpoře využívání energie z obnovitelných zdrojů (přepracované znění).</w:t>
      </w:r>
    </w:p>
  </w:footnote>
  <w:footnote w:id="22">
    <w:p w14:paraId="1892BD7C" w14:textId="3C790B12" w:rsidR="005C6FB4" w:rsidRPr="00F97F03" w:rsidRDefault="005C6FB4" w:rsidP="002D24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2D24D9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Usnesení vlády</w:t>
      </w:r>
      <w:r w:rsidR="00546047">
        <w:rPr>
          <w:rFonts w:ascii="Calibri" w:hAnsi="Calibri" w:cs="Calibri"/>
        </w:rPr>
        <w:t xml:space="preserve"> ČR</w:t>
      </w:r>
      <w:r w:rsidRPr="00F97F03">
        <w:rPr>
          <w:rFonts w:ascii="Calibri" w:hAnsi="Calibri" w:cs="Calibri"/>
        </w:rPr>
        <w:t xml:space="preserve"> ze dne 17. května 2021 č. 467</w:t>
      </w:r>
      <w:r w:rsidR="00252A7C">
        <w:rPr>
          <w:rFonts w:ascii="Calibri" w:hAnsi="Calibri" w:cs="Calibri"/>
        </w:rPr>
        <w:t>,</w:t>
      </w:r>
      <w:r w:rsidRPr="00F97F03">
        <w:rPr>
          <w:rFonts w:ascii="Calibri" w:hAnsi="Calibri" w:cs="Calibri"/>
        </w:rPr>
        <w:t xml:space="preserve"> </w:t>
      </w:r>
      <w:r w:rsidRPr="00A15456">
        <w:rPr>
          <w:rFonts w:ascii="Calibri" w:hAnsi="Calibri" w:cs="Calibri"/>
          <w:i/>
          <w:iCs/>
        </w:rPr>
        <w:t>k materiálu Národní plán obnovy</w:t>
      </w:r>
      <w:r w:rsidRPr="00F97F03">
        <w:rPr>
          <w:rFonts w:ascii="Calibri" w:hAnsi="Calibri" w:cs="Calibri"/>
        </w:rPr>
        <w:t>.</w:t>
      </w:r>
    </w:p>
  </w:footnote>
  <w:footnote w:id="23">
    <w:p w14:paraId="33B67018" w14:textId="16A2CAD2" w:rsidR="005157ED" w:rsidRPr="009C1306" w:rsidRDefault="005157ED" w:rsidP="002D24D9">
      <w:p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3D7F64">
        <w:rPr>
          <w:rStyle w:val="Znakapoznpodarou"/>
          <w:sz w:val="20"/>
          <w:szCs w:val="20"/>
        </w:rPr>
        <w:footnoteRef/>
      </w:r>
      <w:r w:rsidRPr="003D7F64">
        <w:rPr>
          <w:sz w:val="20"/>
          <w:szCs w:val="20"/>
        </w:rPr>
        <w:t xml:space="preserve"> </w:t>
      </w:r>
      <w:r w:rsidR="002D24D9">
        <w:rPr>
          <w:sz w:val="20"/>
          <w:szCs w:val="20"/>
        </w:rPr>
        <w:tab/>
      </w:r>
      <w:r w:rsidRPr="003D7F64">
        <w:rPr>
          <w:sz w:val="20"/>
          <w:szCs w:val="20"/>
        </w:rPr>
        <w:t xml:space="preserve">Formální potvrzení, že </w:t>
      </w:r>
      <w:r w:rsidRPr="009C1306">
        <w:rPr>
          <w:rFonts w:cs="Calibri"/>
          <w:sz w:val="20"/>
          <w:szCs w:val="20"/>
        </w:rPr>
        <w:t>národní plán daného členského státu pro čerpání finančních prostředků z </w:t>
      </w:r>
      <w:r w:rsidRPr="00A15456">
        <w:rPr>
          <w:rFonts w:cs="Calibri"/>
          <w:i/>
          <w:iCs/>
          <w:sz w:val="20"/>
          <w:szCs w:val="20"/>
        </w:rPr>
        <w:t>Nástroje pro oživení a odolnost</w:t>
      </w:r>
      <w:r w:rsidR="00252A7C">
        <w:rPr>
          <w:rFonts w:cs="Calibri"/>
          <w:sz w:val="20"/>
          <w:szCs w:val="20"/>
        </w:rPr>
        <w:t xml:space="preserve"> </w:t>
      </w:r>
      <w:r w:rsidRPr="009C1306">
        <w:rPr>
          <w:rFonts w:cs="Calibri"/>
          <w:sz w:val="20"/>
          <w:szCs w:val="20"/>
        </w:rPr>
        <w:t xml:space="preserve">(RRF) splňuje všechny stanovené požadavky a je v souladu s cíli EU. </w:t>
      </w:r>
    </w:p>
  </w:footnote>
  <w:footnote w:id="24">
    <w:p w14:paraId="412C2DFA" w14:textId="2CB0802C" w:rsidR="005C6FB4" w:rsidRPr="00F97F03" w:rsidRDefault="005C6FB4" w:rsidP="002D24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="004D7967">
        <w:rPr>
          <w:rFonts w:ascii="Calibri" w:hAnsi="Calibri" w:cs="Calibri"/>
        </w:rPr>
        <w:t>Vlastníky</w:t>
      </w:r>
      <w:r w:rsidRPr="00F97F03">
        <w:rPr>
          <w:rFonts w:ascii="Calibri" w:hAnsi="Calibri" w:cs="Calibri"/>
        </w:rPr>
        <w:t xml:space="preserve"> komponenty</w:t>
      </w:r>
      <w:r w:rsidR="004D7967">
        <w:rPr>
          <w:rFonts w:ascii="Calibri" w:hAnsi="Calibri" w:cs="Calibri"/>
        </w:rPr>
        <w:t xml:space="preserve"> 2.2 jsou</w:t>
      </w:r>
      <w:r w:rsidRPr="00F97F03">
        <w:rPr>
          <w:rFonts w:ascii="Calibri" w:hAnsi="Calibri" w:cs="Calibri"/>
        </w:rPr>
        <w:t xml:space="preserve"> MPO </w:t>
      </w:r>
      <w:r w:rsidR="004D7967">
        <w:rPr>
          <w:rFonts w:ascii="Calibri" w:hAnsi="Calibri" w:cs="Calibri"/>
        </w:rPr>
        <w:t>a</w:t>
      </w:r>
      <w:r w:rsidRPr="00F97F03">
        <w:rPr>
          <w:rFonts w:ascii="Calibri" w:hAnsi="Calibri" w:cs="Calibri"/>
        </w:rPr>
        <w:t> Ministerstv</w:t>
      </w:r>
      <w:r w:rsidR="004D7967">
        <w:rPr>
          <w:rFonts w:ascii="Calibri" w:hAnsi="Calibri" w:cs="Calibri"/>
        </w:rPr>
        <w:t>o</w:t>
      </w:r>
      <w:r w:rsidRPr="00F97F03">
        <w:rPr>
          <w:rFonts w:ascii="Calibri" w:hAnsi="Calibri" w:cs="Calibri"/>
        </w:rPr>
        <w:t xml:space="preserve"> životního prostředí. Kontrole NKÚ byly podrobeny pouze aktivity vlastněné MPO.</w:t>
      </w:r>
    </w:p>
  </w:footnote>
  <w:footnote w:id="25">
    <w:p w14:paraId="56ECA77C" w14:textId="0A31D761" w:rsidR="005C6FB4" w:rsidRPr="00F97F03" w:rsidRDefault="005C6FB4" w:rsidP="002D24D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Kontrole NKÚ byla podrobena pouze část specifického cíle 3.4, konkrétně výzvy I. a II. nízkouhlíkové technologie, výzvy na akumulace energie a výzvy úpravy bioplynu na biometan a jeho vtláčení do sítě. Předmětem kontroly nebyly výzvy zaměřené na elektromobilitu a druhotné suroviny.</w:t>
      </w:r>
    </w:p>
  </w:footnote>
  <w:footnote w:id="26">
    <w:p w14:paraId="0B4DDBC9" w14:textId="4A9AF98F" w:rsidR="00324FBE" w:rsidRPr="001F4A1B" w:rsidRDefault="00324FBE" w:rsidP="006C472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F4A1B">
        <w:rPr>
          <w:rStyle w:val="Znakapoznpodarou"/>
          <w:rFonts w:ascii="Calibri" w:hAnsi="Calibri" w:cs="Calibri"/>
        </w:rPr>
        <w:footnoteRef/>
      </w:r>
      <w:r w:rsidRPr="001F4A1B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Pr="001F4A1B">
        <w:rPr>
          <w:rFonts w:ascii="Calibri" w:hAnsi="Calibri" w:cs="Calibri"/>
        </w:rPr>
        <w:t>Směrnice Evropského parlamentu a Rady 2012/27/EU ze dne 25. října 2012 o energetické účinnosti, o změně směrnic 2009/125/ES a 2010/30/EU a o zrušení směrnic 2004/8/ES a 2006/32/ES (dále také „směrnice o</w:t>
      </w:r>
      <w:r w:rsidR="006C472F">
        <w:rPr>
          <w:rFonts w:ascii="Calibri" w:hAnsi="Calibri" w:cs="Calibri"/>
        </w:rPr>
        <w:t> </w:t>
      </w:r>
      <w:r w:rsidRPr="001F4A1B">
        <w:rPr>
          <w:rFonts w:ascii="Calibri" w:hAnsi="Calibri" w:cs="Calibri"/>
        </w:rPr>
        <w:t>energetické účinnosti“)</w:t>
      </w:r>
      <w:r w:rsidR="00252A7C">
        <w:rPr>
          <w:rFonts w:ascii="Calibri" w:hAnsi="Calibri" w:cs="Calibri"/>
        </w:rPr>
        <w:t>.</w:t>
      </w:r>
    </w:p>
  </w:footnote>
  <w:footnote w:id="27">
    <w:p w14:paraId="1155F107" w14:textId="4C586E94" w:rsidR="005C6FB4" w:rsidRPr="00F97F03" w:rsidRDefault="005C6FB4" w:rsidP="006C472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82ECB">
        <w:rPr>
          <w:rStyle w:val="Znakapoznpodarou"/>
          <w:rFonts w:ascii="Calibri" w:hAnsi="Calibri" w:cs="Calibri"/>
        </w:rPr>
        <w:footnoteRef/>
      </w:r>
      <w:r w:rsidRPr="00C82ECB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="004A0879" w:rsidRPr="001F4A1B">
        <w:rPr>
          <w:rFonts w:ascii="Calibri" w:eastAsia="Calibri" w:hAnsi="Calibri" w:cs="Calibri"/>
        </w:rPr>
        <w:t xml:space="preserve">Usnesení vlády ČR ze dne 22. prosince 2014 č. 1085, </w:t>
      </w:r>
      <w:r w:rsidR="004A0879" w:rsidRPr="00A15456">
        <w:rPr>
          <w:rFonts w:ascii="Calibri" w:eastAsia="Calibri" w:hAnsi="Calibri" w:cs="Calibri"/>
          <w:i/>
          <w:iCs/>
        </w:rPr>
        <w:t xml:space="preserve">o </w:t>
      </w:r>
      <w:r w:rsidR="004A0879" w:rsidRPr="00A15456">
        <w:rPr>
          <w:rFonts w:ascii="Calibri" w:eastAsia="Calibri" w:hAnsi="Calibri" w:cs="Calibri"/>
          <w:i/>
          <w:iCs/>
          <w:noProof/>
        </w:rPr>
        <w:t>Národním akčním plánu energetické účinnosti České republiky podle čl. 24 odst. 2 směrnice Evropského parlamentu a Rady 2012/27/EU ze dne 25. října 2012 o</w:t>
      </w:r>
      <w:r w:rsidR="006C472F" w:rsidRPr="00A15456">
        <w:rPr>
          <w:rFonts w:ascii="Calibri" w:eastAsia="Calibri" w:hAnsi="Calibri" w:cs="Calibri"/>
          <w:i/>
          <w:iCs/>
          <w:noProof/>
        </w:rPr>
        <w:t> </w:t>
      </w:r>
      <w:r w:rsidR="004A0879" w:rsidRPr="00A15456">
        <w:rPr>
          <w:rFonts w:ascii="Calibri" w:eastAsia="Calibri" w:hAnsi="Calibri" w:cs="Calibri"/>
          <w:i/>
          <w:iCs/>
          <w:noProof/>
        </w:rPr>
        <w:t>energetické účinnosti</w:t>
      </w:r>
      <w:r w:rsidR="004A0879">
        <w:rPr>
          <w:rFonts w:ascii="Calibri" w:eastAsia="Calibri" w:hAnsi="Calibri" w:cs="Calibri"/>
          <w:noProof/>
        </w:rPr>
        <w:t>.</w:t>
      </w:r>
    </w:p>
  </w:footnote>
  <w:footnote w:id="28">
    <w:p w14:paraId="290C4694" w14:textId="6FEA243B" w:rsidR="005C6FB4" w:rsidRPr="00F97F03" w:rsidRDefault="005C6FB4" w:rsidP="006C472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97F03">
        <w:rPr>
          <w:rStyle w:val="Znakapoznpodarou"/>
          <w:rFonts w:ascii="Calibri" w:hAnsi="Calibri" w:cs="Calibri"/>
        </w:rPr>
        <w:footnoteRef/>
      </w:r>
      <w:r w:rsidRPr="00F97F03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Pr="00F97F03">
        <w:rPr>
          <w:rFonts w:ascii="Calibri" w:hAnsi="Calibri" w:cs="Calibri"/>
        </w:rPr>
        <w:t>Usnesení vlády</w:t>
      </w:r>
      <w:r w:rsidR="00546047">
        <w:rPr>
          <w:rFonts w:ascii="Calibri" w:hAnsi="Calibri" w:cs="Calibri"/>
        </w:rPr>
        <w:t xml:space="preserve"> ČR</w:t>
      </w:r>
      <w:r w:rsidRPr="00F97F03">
        <w:rPr>
          <w:rFonts w:ascii="Calibri" w:hAnsi="Calibri" w:cs="Calibri"/>
        </w:rPr>
        <w:t xml:space="preserve"> ze dne 15. května 2017 č. 373, </w:t>
      </w:r>
      <w:r w:rsidRPr="00A15456">
        <w:rPr>
          <w:rFonts w:ascii="Calibri" w:hAnsi="Calibri" w:cs="Calibri"/>
          <w:i/>
          <w:iCs/>
        </w:rPr>
        <w:t xml:space="preserve">k </w:t>
      </w:r>
      <w:r w:rsidR="004A0879" w:rsidRPr="00A15456">
        <w:rPr>
          <w:rFonts w:ascii="Calibri" w:hAnsi="Calibri" w:cs="Calibri"/>
          <w:i/>
          <w:iCs/>
        </w:rPr>
        <w:t>a</w:t>
      </w:r>
      <w:r w:rsidRPr="00A15456">
        <w:rPr>
          <w:rFonts w:ascii="Calibri" w:hAnsi="Calibri" w:cs="Calibri"/>
          <w:i/>
          <w:iCs/>
        </w:rPr>
        <w:t>ktualizaci Národního akčního plánu energetické účinnosti ČR</w:t>
      </w:r>
      <w:r w:rsidRPr="00F97F03">
        <w:rPr>
          <w:rFonts w:ascii="Calibri" w:hAnsi="Calibri" w:cs="Calibri"/>
        </w:rPr>
        <w:t>.</w:t>
      </w:r>
    </w:p>
  </w:footnote>
  <w:footnote w:id="29">
    <w:p w14:paraId="56FC559C" w14:textId="4C94B503" w:rsidR="005C6FB4" w:rsidRPr="006936AD" w:rsidRDefault="005C6FB4" w:rsidP="006C472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936AD">
        <w:rPr>
          <w:rStyle w:val="Znakapoznpodarou"/>
          <w:rFonts w:ascii="Calibri" w:hAnsi="Calibri" w:cs="Calibri"/>
        </w:rPr>
        <w:footnoteRef/>
      </w:r>
      <w:r w:rsidRPr="006936AD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Pr="006936AD">
        <w:rPr>
          <w:rFonts w:ascii="Calibri" w:hAnsi="Calibri" w:cs="Calibri"/>
        </w:rPr>
        <w:t xml:space="preserve">Cíl </w:t>
      </w:r>
      <w:r>
        <w:rPr>
          <w:rFonts w:ascii="Calibri" w:hAnsi="Calibri" w:cs="Calibri"/>
        </w:rPr>
        <w:t>podle</w:t>
      </w:r>
      <w:r w:rsidR="00C82ECB">
        <w:rPr>
          <w:rFonts w:ascii="Calibri" w:hAnsi="Calibri" w:cs="Calibri"/>
        </w:rPr>
        <w:t xml:space="preserve"> aktualizace</w:t>
      </w:r>
      <w:r w:rsidR="00C82ECB" w:rsidRPr="00A15456">
        <w:rPr>
          <w:rFonts w:ascii="Calibri" w:hAnsi="Calibri" w:cs="Calibri"/>
          <w:i/>
          <w:iCs/>
        </w:rPr>
        <w:t xml:space="preserve"> Národního akčního plánu energetické účinnosti </w:t>
      </w:r>
      <w:r w:rsidR="005D024F">
        <w:rPr>
          <w:rFonts w:ascii="Calibri" w:hAnsi="Calibri" w:cs="Calibri"/>
          <w:i/>
          <w:iCs/>
        </w:rPr>
        <w:t>III. (2014–2020)</w:t>
      </w:r>
      <w:r w:rsidR="00C82ECB">
        <w:rPr>
          <w:rFonts w:ascii="Calibri" w:hAnsi="Calibri" w:cs="Calibri"/>
        </w:rPr>
        <w:t xml:space="preserve"> dle</w:t>
      </w:r>
      <w:r>
        <w:rPr>
          <w:rFonts w:ascii="Calibri" w:hAnsi="Calibri" w:cs="Calibri"/>
        </w:rPr>
        <w:t xml:space="preserve"> článku 7 směrnice o</w:t>
      </w:r>
      <w:r w:rsidR="00B70B1B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energetické účinnosti </w:t>
      </w:r>
      <w:r w:rsidRPr="006936AD">
        <w:rPr>
          <w:rFonts w:ascii="Calibri" w:hAnsi="Calibri" w:cs="Calibri"/>
        </w:rPr>
        <w:t>pro kumulované úspory energie byl 204,4 PJ za období 2014</w:t>
      </w:r>
      <w:r w:rsidR="00252A7C">
        <w:rPr>
          <w:rFonts w:ascii="Calibri" w:hAnsi="Calibri" w:cs="Calibri"/>
        </w:rPr>
        <w:t>–</w:t>
      </w:r>
      <w:r w:rsidRPr="006936AD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. Celkem </w:t>
      </w:r>
      <w:r w:rsidR="00252A7C">
        <w:rPr>
          <w:rFonts w:ascii="Calibri" w:hAnsi="Calibri" w:cs="Calibri"/>
        </w:rPr>
        <w:t xml:space="preserve">dosáhla </w:t>
      </w:r>
      <w:r>
        <w:rPr>
          <w:rFonts w:ascii="Calibri" w:hAnsi="Calibri" w:cs="Calibri"/>
        </w:rPr>
        <w:t>ČR kumulované úspory 144,8 PJ, tedy 71 %</w:t>
      </w:r>
      <w:r w:rsidR="00252A7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závazný cíl nesplnila. </w:t>
      </w:r>
      <w:r w:rsidR="00153853">
        <w:rPr>
          <w:rFonts w:ascii="Calibri" w:hAnsi="Calibri" w:cs="Calibri"/>
        </w:rPr>
        <w:t>OP PIK</w:t>
      </w:r>
      <w:r>
        <w:rPr>
          <w:rFonts w:ascii="Calibri" w:hAnsi="Calibri" w:cs="Calibri"/>
        </w:rPr>
        <w:t xml:space="preserve"> k tomuto cíli přispěl celkem 11,9</w:t>
      </w:r>
      <w:r w:rsidR="00B70B1B">
        <w:rPr>
          <w:rFonts w:ascii="Calibri" w:hAnsi="Calibri" w:cs="Calibri"/>
        </w:rPr>
        <w:t> </w:t>
      </w:r>
      <w:r>
        <w:rPr>
          <w:rFonts w:ascii="Calibri" w:hAnsi="Calibri" w:cs="Calibri"/>
        </w:rPr>
        <w:t>PJ kumulovaných úspor energie, tedy 8,2 %.</w:t>
      </w:r>
    </w:p>
  </w:footnote>
  <w:footnote w:id="30">
    <w:p w14:paraId="20A7A03C" w14:textId="0BCA67B8" w:rsidR="00874808" w:rsidRPr="00491282" w:rsidRDefault="00874808" w:rsidP="007A6BC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91282">
        <w:rPr>
          <w:rStyle w:val="Znakapoznpodarou"/>
          <w:rFonts w:ascii="Calibri" w:hAnsi="Calibri" w:cs="Calibri"/>
        </w:rPr>
        <w:footnoteRef/>
      </w:r>
      <w:r w:rsidRPr="00491282">
        <w:rPr>
          <w:rFonts w:ascii="Calibri" w:hAnsi="Calibri" w:cs="Calibri"/>
        </w:rPr>
        <w:t xml:space="preserve"> </w:t>
      </w:r>
      <w:r w:rsidR="007A6BCF">
        <w:rPr>
          <w:rFonts w:ascii="Calibri" w:hAnsi="Calibri" w:cs="Calibri"/>
        </w:rPr>
        <w:tab/>
      </w:r>
      <w:r w:rsidRPr="00491282">
        <w:rPr>
          <w:rFonts w:ascii="Calibri" w:hAnsi="Calibri" w:cs="Calibri"/>
        </w:rPr>
        <w:t>Výzvy</w:t>
      </w:r>
      <w:r>
        <w:rPr>
          <w:rFonts w:ascii="Calibri" w:hAnsi="Calibri" w:cs="Calibri"/>
        </w:rPr>
        <w:t xml:space="preserve"> </w:t>
      </w:r>
      <w:r w:rsidRPr="00C1140E">
        <w:rPr>
          <w:rFonts w:ascii="Calibri" w:hAnsi="Calibri" w:cs="Calibri"/>
          <w:i/>
          <w:iCs/>
        </w:rPr>
        <w:t>Úspory energie</w:t>
      </w:r>
      <w:r w:rsidRPr="00491282">
        <w:rPr>
          <w:rFonts w:ascii="Calibri" w:hAnsi="Calibri" w:cs="Calibri"/>
        </w:rPr>
        <w:t xml:space="preserve"> I., II., III., výzvy I. a II. Fotovoltaické systémy s/bez akumulace pro vlastní spotřebu.</w:t>
      </w:r>
    </w:p>
  </w:footnote>
  <w:footnote w:id="31">
    <w:p w14:paraId="59BAD1CC" w14:textId="6EF9C686" w:rsidR="00874808" w:rsidRPr="00491282" w:rsidRDefault="00874808" w:rsidP="007A6BC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491282">
        <w:rPr>
          <w:rStyle w:val="Znakapoznpodarou"/>
          <w:rFonts w:ascii="Calibri" w:hAnsi="Calibri" w:cs="Calibri"/>
        </w:rPr>
        <w:footnoteRef/>
      </w:r>
      <w:r w:rsidRPr="00491282">
        <w:rPr>
          <w:rFonts w:ascii="Calibri" w:hAnsi="Calibri" w:cs="Calibri"/>
        </w:rPr>
        <w:t xml:space="preserve"> </w:t>
      </w:r>
      <w:r w:rsidR="007A6BCF">
        <w:rPr>
          <w:rFonts w:ascii="Calibri" w:hAnsi="Calibri" w:cs="Calibri"/>
        </w:rPr>
        <w:tab/>
      </w:r>
      <w:r w:rsidRPr="00491282">
        <w:rPr>
          <w:rFonts w:ascii="Calibri" w:hAnsi="Calibri" w:cs="Calibri"/>
        </w:rPr>
        <w:t>Výzvy</w:t>
      </w:r>
      <w:r>
        <w:rPr>
          <w:rFonts w:ascii="Calibri" w:hAnsi="Calibri" w:cs="Calibri"/>
        </w:rPr>
        <w:t xml:space="preserve"> </w:t>
      </w:r>
      <w:r w:rsidRPr="00C1140E">
        <w:rPr>
          <w:rFonts w:ascii="Calibri" w:hAnsi="Calibri" w:cs="Calibri"/>
          <w:i/>
          <w:iCs/>
        </w:rPr>
        <w:t>Úspory energie</w:t>
      </w:r>
      <w:r w:rsidRPr="00491282">
        <w:rPr>
          <w:rFonts w:ascii="Calibri" w:hAnsi="Calibri" w:cs="Calibri"/>
        </w:rPr>
        <w:t xml:space="preserve"> IV., V., VI.</w:t>
      </w:r>
    </w:p>
  </w:footnote>
  <w:footnote w:id="32">
    <w:p w14:paraId="6F0F5B32" w14:textId="58E2935E" w:rsidR="00874808" w:rsidRDefault="00874808" w:rsidP="007A6BCF">
      <w:pPr>
        <w:pStyle w:val="Textpoznpodarou"/>
        <w:ind w:left="284" w:hanging="284"/>
        <w:jc w:val="both"/>
      </w:pPr>
      <w:r w:rsidRPr="00491282">
        <w:rPr>
          <w:rStyle w:val="Znakapoznpodarou"/>
          <w:rFonts w:ascii="Calibri" w:hAnsi="Calibri" w:cs="Calibri"/>
        </w:rPr>
        <w:footnoteRef/>
      </w:r>
      <w:r w:rsidRPr="00491282">
        <w:rPr>
          <w:rFonts w:ascii="Calibri" w:hAnsi="Calibri" w:cs="Calibri"/>
        </w:rPr>
        <w:t xml:space="preserve"> </w:t>
      </w:r>
      <w:r w:rsidR="007A6BCF">
        <w:rPr>
          <w:rFonts w:ascii="Calibri" w:hAnsi="Calibri" w:cs="Calibri"/>
        </w:rPr>
        <w:tab/>
      </w:r>
      <w:r w:rsidR="00252A7C">
        <w:rPr>
          <w:rFonts w:ascii="Calibri" w:hAnsi="Calibri" w:cs="Calibri"/>
          <w:i/>
          <w:iCs/>
        </w:rPr>
        <w:t>P</w:t>
      </w:r>
      <w:r w:rsidRPr="00491282">
        <w:rPr>
          <w:rFonts w:ascii="Calibri" w:hAnsi="Calibri" w:cs="Calibri"/>
          <w:i/>
          <w:iCs/>
        </w:rPr>
        <w:t>rokázání trvalé úspory spotřeby energie</w:t>
      </w:r>
      <w:r w:rsidRPr="00491282">
        <w:rPr>
          <w:rFonts w:ascii="Calibri" w:hAnsi="Calibri" w:cs="Calibri"/>
        </w:rPr>
        <w:t xml:space="preserve"> – menší úspora spotřeby než 10 % byla hodnocena 0 body, úspora energie 40 % a větší byla hodnocena 32 body, v intervalu mezi těmito hraničními hodnotami platil lineární vztah,</w:t>
      </w:r>
      <w:r>
        <w:rPr>
          <w:rFonts w:ascii="Calibri" w:hAnsi="Calibri" w:cs="Calibri"/>
        </w:rPr>
        <w:t xml:space="preserve"> </w:t>
      </w:r>
      <w:r w:rsidRPr="00C34F56">
        <w:rPr>
          <w:rFonts w:ascii="Calibri" w:hAnsi="Calibri" w:cs="Calibri"/>
          <w:i/>
          <w:iCs/>
        </w:rPr>
        <w:t>klimaticko – energetické přínosy</w:t>
      </w:r>
      <w:r w:rsidRPr="00491282">
        <w:rPr>
          <w:rFonts w:ascii="Calibri" w:hAnsi="Calibri" w:cs="Calibri"/>
        </w:rPr>
        <w:t xml:space="preserve"> – měrný náklad na snížení 1 kg emisí CO</w:t>
      </w:r>
      <w:r w:rsidR="00C34F56">
        <w:rPr>
          <w:rFonts w:ascii="Calibri" w:hAnsi="Calibri" w:cs="Calibri"/>
          <w:vertAlign w:val="subscript"/>
        </w:rPr>
        <w:t>2</w:t>
      </w:r>
      <w:r w:rsidRPr="00491282">
        <w:rPr>
          <w:rFonts w:ascii="Calibri" w:hAnsi="Calibri" w:cs="Calibri"/>
        </w:rPr>
        <w:t xml:space="preserve"> vyšší než 140 kč/kg byl hodnocen 0 body, měrný náklad 60 Kč/kg byl hodnocen 32 body, v intervalu mezi těmito hraničními hodnotami platil lineární vztah, </w:t>
      </w:r>
      <w:r w:rsidRPr="00491282">
        <w:rPr>
          <w:rFonts w:ascii="Calibri" w:hAnsi="Calibri" w:cs="Calibri"/>
          <w:i/>
          <w:iCs/>
        </w:rPr>
        <w:t>měrný způsobilý výdaj na roční úsporu 1 GJ</w:t>
      </w:r>
      <w:r w:rsidRPr="00491282">
        <w:rPr>
          <w:rFonts w:ascii="Calibri" w:hAnsi="Calibri" w:cs="Calibri"/>
        </w:rPr>
        <w:t xml:space="preserve"> – měrný náklad vyšší než 25</w:t>
      </w:r>
      <w:r w:rsidR="00252A7C">
        <w:rPr>
          <w:rFonts w:ascii="Calibri" w:hAnsi="Calibri" w:cs="Calibri"/>
        </w:rPr>
        <w:t> </w:t>
      </w:r>
      <w:r w:rsidRPr="00491282">
        <w:rPr>
          <w:rFonts w:ascii="Calibri" w:hAnsi="Calibri" w:cs="Calibri"/>
        </w:rPr>
        <w:t>tis.</w:t>
      </w:r>
      <w:r w:rsidR="00252A7C">
        <w:rPr>
          <w:rFonts w:ascii="Calibri" w:hAnsi="Calibri" w:cs="Calibri"/>
        </w:rPr>
        <w:t> </w:t>
      </w:r>
      <w:r w:rsidRPr="00491282">
        <w:rPr>
          <w:rFonts w:ascii="Calibri" w:hAnsi="Calibri" w:cs="Calibri"/>
        </w:rPr>
        <w:t>Kč/GJ byl hodnocen 0 body, měrný náklad 10 tis. Kč/GJ byl hodnocen 17 body, v intervalu mezi těmito hraničními hodnotami platil lineární vztah</w:t>
      </w:r>
      <w:r>
        <w:rPr>
          <w:rFonts w:ascii="Calibri" w:hAnsi="Calibri" w:cs="Calibri"/>
        </w:rPr>
        <w:t>.</w:t>
      </w:r>
    </w:p>
  </w:footnote>
  <w:footnote w:id="33">
    <w:p w14:paraId="07936751" w14:textId="3E249DCE" w:rsidR="005C6355" w:rsidRPr="00BE4521" w:rsidRDefault="005C6355" w:rsidP="00252A7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BE4521">
        <w:rPr>
          <w:rStyle w:val="Znakapoznpodarou"/>
          <w:rFonts w:ascii="Calibri" w:hAnsi="Calibri" w:cs="Calibri"/>
        </w:rPr>
        <w:footnoteRef/>
      </w:r>
      <w:r w:rsidRPr="00BE4521">
        <w:rPr>
          <w:rFonts w:ascii="Calibri" w:hAnsi="Calibri" w:cs="Calibri"/>
        </w:rPr>
        <w:t xml:space="preserve"> </w:t>
      </w:r>
      <w:bookmarkStart w:id="1" w:name="_Hlk193445754"/>
      <w:r w:rsidR="007A6BCF">
        <w:rPr>
          <w:rFonts w:ascii="Calibri" w:hAnsi="Calibri" w:cs="Calibri"/>
        </w:rPr>
        <w:tab/>
      </w:r>
      <w:r w:rsidRPr="00A15456">
        <w:rPr>
          <w:rFonts w:ascii="Calibri" w:hAnsi="Calibri" w:cs="Calibri"/>
          <w:i/>
          <w:iCs/>
        </w:rPr>
        <w:t>Ex-post evaluace OP PIK a replikace kontrafaktuální dopadové evaluace OP PI</w:t>
      </w:r>
      <w:r w:rsidR="00C34F56" w:rsidRPr="00A15456">
        <w:rPr>
          <w:rFonts w:ascii="Calibri" w:hAnsi="Calibri" w:cs="Calibri"/>
          <w:i/>
          <w:iCs/>
        </w:rPr>
        <w:t>.</w:t>
      </w:r>
      <w:r w:rsidRPr="00A15456">
        <w:rPr>
          <w:rFonts w:ascii="Calibri" w:hAnsi="Calibri" w:cs="Calibri"/>
          <w:i/>
          <w:iCs/>
        </w:rPr>
        <w:t xml:space="preserve"> </w:t>
      </w:r>
      <w:r w:rsidR="00F36FC6" w:rsidRPr="00A15456">
        <w:rPr>
          <w:rFonts w:ascii="Calibri" w:hAnsi="Calibri" w:cs="Calibri"/>
          <w:i/>
          <w:iCs/>
        </w:rPr>
        <w:t>Z</w:t>
      </w:r>
      <w:r w:rsidRPr="00A15456">
        <w:rPr>
          <w:rFonts w:ascii="Calibri" w:hAnsi="Calibri" w:cs="Calibri"/>
          <w:i/>
          <w:iCs/>
        </w:rPr>
        <w:t>ávěrečná zpráva</w:t>
      </w:r>
      <w:r w:rsidR="00F36FC6">
        <w:rPr>
          <w:rFonts w:ascii="Calibri" w:hAnsi="Calibri" w:cs="Calibri"/>
        </w:rPr>
        <w:t>,</w:t>
      </w:r>
      <w:r w:rsidRPr="00BE4521">
        <w:rPr>
          <w:rFonts w:ascii="Calibri" w:hAnsi="Calibri" w:cs="Calibri"/>
        </w:rPr>
        <w:t xml:space="preserve"> </w:t>
      </w:r>
      <w:r w:rsidR="003718D8" w:rsidRPr="003718D8">
        <w:rPr>
          <w:rFonts w:ascii="Calibri" w:hAnsi="Calibri" w:cs="Calibri"/>
        </w:rPr>
        <w:t xml:space="preserve">Naviga Advisory and Evaluation </w:t>
      </w:r>
      <w:r w:rsidR="00C1140E">
        <w:rPr>
          <w:rFonts w:ascii="Calibri" w:hAnsi="Calibri" w:cs="Calibri"/>
        </w:rPr>
        <w:t>a</w:t>
      </w:r>
      <w:r w:rsidR="003718D8" w:rsidRPr="00491282">
        <w:rPr>
          <w:rFonts w:ascii="Calibri" w:hAnsi="Calibri" w:cs="Calibri"/>
        </w:rPr>
        <w:t xml:space="preserve"> </w:t>
      </w:r>
      <w:r w:rsidR="003718D8" w:rsidRPr="003718D8">
        <w:rPr>
          <w:rFonts w:ascii="Calibri" w:hAnsi="Calibri" w:cs="Calibri"/>
        </w:rPr>
        <w:t>Vysoká škola ekonomická v Praze</w:t>
      </w:r>
      <w:r w:rsidR="00F36FC6">
        <w:rPr>
          <w:rFonts w:ascii="Calibri" w:hAnsi="Calibri" w:cs="Calibri"/>
        </w:rPr>
        <w:t xml:space="preserve">, </w:t>
      </w:r>
      <w:r w:rsidRPr="00BE4521">
        <w:rPr>
          <w:rFonts w:ascii="Calibri" w:hAnsi="Calibri" w:cs="Calibri"/>
        </w:rPr>
        <w:t>5.</w:t>
      </w:r>
      <w:r w:rsidR="007A6BCF">
        <w:rPr>
          <w:rFonts w:ascii="Calibri" w:hAnsi="Calibri" w:cs="Calibri"/>
        </w:rPr>
        <w:t> </w:t>
      </w:r>
      <w:r w:rsidRPr="00BE4521">
        <w:rPr>
          <w:rFonts w:ascii="Calibri" w:hAnsi="Calibri" w:cs="Calibri"/>
        </w:rPr>
        <w:t>prosince 2023</w:t>
      </w:r>
      <w:bookmarkEnd w:id="1"/>
      <w:r>
        <w:rPr>
          <w:rFonts w:ascii="Calibri" w:hAnsi="Calibri" w:cs="Calibri"/>
        </w:rPr>
        <w:t>.</w:t>
      </w:r>
    </w:p>
  </w:footnote>
  <w:footnote w:id="34">
    <w:p w14:paraId="25748A27" w14:textId="1DC6CA4B" w:rsidR="00874808" w:rsidRPr="003A6029" w:rsidRDefault="00874808" w:rsidP="007A6BC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A6029">
        <w:rPr>
          <w:rStyle w:val="Znakapoznpodarou"/>
          <w:rFonts w:ascii="Calibri" w:hAnsi="Calibri" w:cs="Calibri"/>
        </w:rPr>
        <w:footnoteRef/>
      </w:r>
      <w:r w:rsidRPr="003A6029">
        <w:rPr>
          <w:rFonts w:ascii="Calibri" w:hAnsi="Calibri" w:cs="Calibri"/>
        </w:rPr>
        <w:t xml:space="preserve"> </w:t>
      </w:r>
      <w:r w:rsidR="007A6BCF">
        <w:rPr>
          <w:rFonts w:ascii="Calibri" w:hAnsi="Calibri" w:cs="Calibri"/>
        </w:rPr>
        <w:tab/>
      </w:r>
      <w:r w:rsidR="00C34F56">
        <w:rPr>
          <w:rFonts w:ascii="Calibri" w:hAnsi="Calibri" w:cs="Calibri"/>
          <w:i/>
          <w:iCs/>
        </w:rPr>
        <w:t>R</w:t>
      </w:r>
      <w:r w:rsidRPr="00A15456">
        <w:rPr>
          <w:rFonts w:ascii="Calibri" w:hAnsi="Calibri" w:cs="Calibri"/>
          <w:i/>
          <w:iCs/>
        </w:rPr>
        <w:t>oční zpráva o provozu elektrizační soustavy České republiky 2023</w:t>
      </w:r>
      <w:r w:rsidRPr="003A6029">
        <w:rPr>
          <w:rFonts w:ascii="Calibri" w:hAnsi="Calibri" w:cs="Calibri"/>
        </w:rPr>
        <w:t xml:space="preserve">, </w:t>
      </w:r>
      <w:r w:rsidR="00C34F56" w:rsidRPr="003A6029">
        <w:rPr>
          <w:rFonts w:ascii="Calibri" w:hAnsi="Calibri" w:cs="Calibri"/>
        </w:rPr>
        <w:t>Energetický regulační úřad</w:t>
      </w:r>
      <w:r w:rsidR="00C34F56">
        <w:rPr>
          <w:rFonts w:ascii="Calibri" w:hAnsi="Calibri" w:cs="Calibri"/>
        </w:rPr>
        <w:t>,</w:t>
      </w:r>
      <w:r w:rsidRPr="003A6029">
        <w:rPr>
          <w:rFonts w:ascii="Calibri" w:hAnsi="Calibri" w:cs="Calibri"/>
        </w:rPr>
        <w:t xml:space="preserve"> srp</w:t>
      </w:r>
      <w:r w:rsidR="00C34F56">
        <w:rPr>
          <w:rFonts w:ascii="Calibri" w:hAnsi="Calibri" w:cs="Calibri"/>
        </w:rPr>
        <w:t>e</w:t>
      </w:r>
      <w:r w:rsidRPr="003A6029">
        <w:rPr>
          <w:rFonts w:ascii="Calibri" w:hAnsi="Calibri" w:cs="Calibri"/>
        </w:rPr>
        <w:t>n 2024.</w:t>
      </w:r>
    </w:p>
  </w:footnote>
  <w:footnote w:id="35">
    <w:p w14:paraId="4031E09A" w14:textId="59E47FB4" w:rsidR="00874808" w:rsidRDefault="00874808" w:rsidP="006C472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C472F">
        <w:tab/>
      </w:r>
      <w:r>
        <w:t>I</w:t>
      </w:r>
      <w:r w:rsidRPr="00365527">
        <w:rPr>
          <w:rFonts w:ascii="Calibri" w:hAnsi="Calibri" w:cs="Calibri"/>
        </w:rPr>
        <w:t>nstalovaný výkon z obnovitelných zdrojů energie v megawattech, který zahrnuje instalovaný elektrický výkon MVE do 10 MW, instalovaný tepelný výkon v bioplynových stanicích a instalovaný elektrický výkon KVET Biomasa do 10 MW el. výkonu včetně.</w:t>
      </w:r>
    </w:p>
  </w:footnote>
  <w:footnote w:id="36">
    <w:p w14:paraId="64955D74" w14:textId="2E04109B" w:rsidR="00874808" w:rsidRPr="001C4F0D" w:rsidRDefault="00874808" w:rsidP="006C472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C4F0D">
        <w:rPr>
          <w:rStyle w:val="Znakapoznpodarou"/>
          <w:rFonts w:ascii="Calibri" w:hAnsi="Calibri" w:cs="Calibri"/>
        </w:rPr>
        <w:footnoteRef/>
      </w:r>
      <w:r w:rsidRPr="001C4F0D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Pr="001C4F0D">
        <w:rPr>
          <w:rFonts w:ascii="Calibri" w:hAnsi="Calibri" w:cs="Calibri"/>
        </w:rPr>
        <w:t>Nařízení Evropského parlamentu a Rady (EU) 2024/795 ze dne 29. února 2024, kterým se zřizuje Platforma strategických technologií pro Evropu (STEP) a mění směrnice 2003/87/ES a nařízení (EU) 2021/1058, (EU) 2021/1056, (EU) 2021/1057, (EU) č. 1303/2013, (EU) č. 223/2014, (EU) 2021/1060, (EU) 2021/523, (EU) 2021/695, (EU) 2021/697 a (EU) 2021/241</w:t>
      </w:r>
      <w:r>
        <w:rPr>
          <w:rFonts w:ascii="Calibri" w:hAnsi="Calibri" w:cs="Calibri"/>
        </w:rPr>
        <w:t>.</w:t>
      </w:r>
    </w:p>
  </w:footnote>
  <w:footnote w:id="37">
    <w:p w14:paraId="67C1F561" w14:textId="6A77ADE2" w:rsidR="00A93C32" w:rsidRPr="00082099" w:rsidRDefault="00A93C32" w:rsidP="006C472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82099">
        <w:rPr>
          <w:rStyle w:val="Znakapoznpodarou"/>
          <w:rFonts w:ascii="Calibri" w:hAnsi="Calibri" w:cs="Calibri"/>
        </w:rPr>
        <w:footnoteRef/>
      </w:r>
      <w:r w:rsidRPr="00082099">
        <w:rPr>
          <w:rFonts w:ascii="Calibri" w:hAnsi="Calibri" w:cs="Calibri"/>
        </w:rPr>
        <w:t xml:space="preserve"> </w:t>
      </w:r>
      <w:r w:rsidR="006C472F">
        <w:rPr>
          <w:rFonts w:ascii="Calibri" w:hAnsi="Calibri" w:cs="Calibri"/>
        </w:rPr>
        <w:tab/>
      </w:r>
      <w:r w:rsidR="006F7143">
        <w:rPr>
          <w:rFonts w:ascii="Calibri" w:hAnsi="Calibri" w:cs="Calibri"/>
        </w:rPr>
        <w:t>Č</w:t>
      </w:r>
      <w:r w:rsidRPr="00082099">
        <w:rPr>
          <w:rFonts w:ascii="Calibri" w:hAnsi="Calibri" w:cs="Calibri"/>
        </w:rPr>
        <w:t xml:space="preserve">lánek 30 odst. 3 </w:t>
      </w:r>
      <w:r w:rsidR="006F7143">
        <w:rPr>
          <w:rFonts w:ascii="Calibri" w:hAnsi="Calibri" w:cs="Calibri"/>
        </w:rPr>
        <w:t>n</w:t>
      </w:r>
      <w:r w:rsidRPr="00082099">
        <w:rPr>
          <w:rFonts w:ascii="Calibri" w:hAnsi="Calibri" w:cs="Calibri"/>
        </w:rPr>
        <w:t>ařízení (EU, Euratom) č. 966/2012 Evropského parlamentu a Rady ze dne 25. října 2012, kterým se stanoví finanční pravidla o souhrnném rozpočtu Unie a o zrušení nařízení Rady (ES, Euratom) č.</w:t>
      </w:r>
      <w:r w:rsidR="006C472F">
        <w:rPr>
          <w:rFonts w:ascii="Calibri" w:hAnsi="Calibri" w:cs="Calibri"/>
        </w:rPr>
        <w:t> </w:t>
      </w:r>
      <w:r w:rsidRPr="00082099">
        <w:rPr>
          <w:rFonts w:ascii="Calibri" w:hAnsi="Calibri" w:cs="Calibri"/>
        </w:rPr>
        <w:t xml:space="preserve">1605/2002. Od 18. července 2018 bylo nařízení č. 966/2012 nahrazeno </w:t>
      </w:r>
      <w:r w:rsidR="006F7143">
        <w:rPr>
          <w:rFonts w:ascii="Calibri" w:hAnsi="Calibri" w:cs="Calibri"/>
        </w:rPr>
        <w:t>n</w:t>
      </w:r>
      <w:r w:rsidRPr="00082099">
        <w:rPr>
          <w:rFonts w:ascii="Calibri" w:hAnsi="Calibri" w:cs="Calibri"/>
        </w:rPr>
        <w:t>ařízením evropského parlamentu a rady (EU, Euratom) 2018/1046, ze dne 18. července 2018, kterým se stanoví finanční pravidla pro souhrnný rozpočet Unie, mění nařízení (EU) č. 1296/2013, (EU) č. 1301/2013, (EU) č. 1303/2013, (EU) č. 1304/2013, (EU) č. 1309/2013, (EU) č. 1316/2013, (EU) č. 223/2014 a (EU) č. 283/2014 a rozhodnutí č. 541/2014/EU a</w:t>
      </w:r>
      <w:r w:rsidR="006C472F">
        <w:rPr>
          <w:rFonts w:ascii="Calibri" w:hAnsi="Calibri" w:cs="Calibri"/>
        </w:rPr>
        <w:t> </w:t>
      </w:r>
      <w:r w:rsidRPr="00082099">
        <w:rPr>
          <w:rFonts w:ascii="Calibri" w:hAnsi="Calibri" w:cs="Calibri"/>
        </w:rPr>
        <w:t>zrušuje nařízení (EU, Euratom) č. 966/2012, kde je stejná povinnost zakotvena v čl. 33.</w:t>
      </w:r>
    </w:p>
  </w:footnote>
  <w:footnote w:id="38">
    <w:p w14:paraId="4053242A" w14:textId="2570B00E" w:rsidR="00623424" w:rsidRDefault="00623424" w:rsidP="00CF0BB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6C472F">
        <w:tab/>
      </w:r>
      <w:r w:rsidRPr="00F97F03">
        <w:rPr>
          <w:rFonts w:ascii="Calibri" w:eastAsia="Calibri" w:hAnsi="Calibri" w:cs="Calibri"/>
          <w:szCs w:val="22"/>
        </w:rPr>
        <w:t xml:space="preserve">Směrnice Evropského parlamentu a Rady </w:t>
      </w:r>
      <w:r w:rsidR="00D51019">
        <w:rPr>
          <w:rFonts w:ascii="Calibri" w:eastAsia="Calibri" w:hAnsi="Calibri" w:cs="Calibri"/>
          <w:szCs w:val="22"/>
        </w:rPr>
        <w:t xml:space="preserve">(EU) </w:t>
      </w:r>
      <w:r w:rsidRPr="00F97F03">
        <w:rPr>
          <w:rFonts w:ascii="Calibri" w:eastAsia="Calibri" w:hAnsi="Calibri" w:cs="Calibri"/>
          <w:szCs w:val="22"/>
        </w:rPr>
        <w:t>2023/1791 o energetické účinnosti ze dne 13. září 2023</w:t>
      </w:r>
      <w:r w:rsidR="00D51019">
        <w:rPr>
          <w:rFonts w:ascii="Calibri" w:eastAsia="Calibri" w:hAnsi="Calibri" w:cs="Calibri"/>
          <w:szCs w:val="22"/>
        </w:rPr>
        <w:t xml:space="preserve"> o</w:t>
      </w:r>
      <w:r w:rsidR="006C472F">
        <w:rPr>
          <w:rFonts w:ascii="Calibri" w:eastAsia="Calibri" w:hAnsi="Calibri" w:cs="Calibri"/>
          <w:szCs w:val="22"/>
        </w:rPr>
        <w:t> </w:t>
      </w:r>
      <w:r w:rsidR="00D51019">
        <w:rPr>
          <w:rFonts w:ascii="Calibri" w:eastAsia="Calibri" w:hAnsi="Calibri" w:cs="Calibri"/>
          <w:szCs w:val="22"/>
        </w:rPr>
        <w:t>energetické účinnosti a o změně nařízení (EU) 2023/955</w:t>
      </w:r>
      <w:r w:rsidRPr="00F97F03">
        <w:rPr>
          <w:rFonts w:ascii="Calibri" w:eastAsia="Calibri" w:hAnsi="Calibri" w:cs="Calibri"/>
          <w:szCs w:val="22"/>
        </w:rPr>
        <w:t>.</w:t>
      </w:r>
    </w:p>
  </w:footnote>
  <w:footnote w:id="39">
    <w:p w14:paraId="6D7952FB" w14:textId="55618AEC" w:rsidR="00C911BF" w:rsidRPr="006C472F" w:rsidRDefault="00C911BF" w:rsidP="006C472F">
      <w:pPr>
        <w:pStyle w:val="Textpoznpodarou"/>
        <w:ind w:left="284" w:hanging="284"/>
        <w:jc w:val="both"/>
      </w:pPr>
      <w:r w:rsidRPr="001F4A1B">
        <w:rPr>
          <w:rStyle w:val="Znakapoznpodarou"/>
          <w:i/>
          <w:iCs/>
        </w:rPr>
        <w:footnoteRef/>
      </w:r>
      <w:r w:rsidRPr="001F4A1B">
        <w:rPr>
          <w:i/>
          <w:iCs/>
        </w:rPr>
        <w:t xml:space="preserve"> </w:t>
      </w:r>
      <w:r w:rsidR="006C472F">
        <w:rPr>
          <w:i/>
          <w:iCs/>
        </w:rPr>
        <w:tab/>
      </w:r>
      <w:r w:rsidRPr="006C472F">
        <w:rPr>
          <w:rFonts w:ascii="Calibri" w:eastAsia="Calibri" w:hAnsi="Calibri" w:cs="Calibri"/>
        </w:rPr>
        <w:t>Nařízení Komise (EU) 2023/1315 ze dne 23. června 2023, o změně nařízení (EU) č. 651/2014, kterým se v souladu s články 107 a 108 Smlouvy prohlašují určité kategorie podpory za slučitelné s vnitřním trhem, a nařízení (EU) 2022/2473, kterým se určité kategorie podpory pro podniky působící v oblasti produkce, zpracování a uvádění produktů rybolovu a akvakultury na trh prohlašují za slučitelné s vnitřním trhem podle článků 107 a 108 Smlouvy</w:t>
      </w:r>
      <w:r w:rsidR="00386BF5">
        <w:rPr>
          <w:rFonts w:ascii="Calibri" w:eastAsia="Calibri" w:hAnsi="Calibri" w:cs="Calibri"/>
        </w:rPr>
        <w:t>.</w:t>
      </w:r>
    </w:p>
  </w:footnote>
  <w:footnote w:id="40">
    <w:p w14:paraId="57CAAADE" w14:textId="1A278B76" w:rsidR="007837A7" w:rsidRPr="002E62A3" w:rsidRDefault="007837A7" w:rsidP="00967F4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E62A3">
        <w:rPr>
          <w:rStyle w:val="Znakapoznpodarou"/>
          <w:rFonts w:ascii="Calibri" w:hAnsi="Calibri" w:cs="Calibri"/>
        </w:rPr>
        <w:footnoteRef/>
      </w:r>
      <w:r w:rsidRPr="002E62A3">
        <w:rPr>
          <w:rFonts w:ascii="Calibri" w:hAnsi="Calibri" w:cs="Calibri"/>
        </w:rPr>
        <w:t xml:space="preserve"> </w:t>
      </w:r>
      <w:r w:rsidR="00967F4F">
        <w:rPr>
          <w:rFonts w:ascii="Calibri" w:hAnsi="Calibri" w:cs="Calibri"/>
        </w:rPr>
        <w:tab/>
      </w:r>
      <w:r w:rsidRPr="002E62A3">
        <w:rPr>
          <w:rFonts w:ascii="Calibri" w:hAnsi="Calibri" w:cs="Calibri"/>
        </w:rPr>
        <w:t>Příjemci podpory jsou města a obce</w:t>
      </w:r>
      <w:r w:rsidR="00712161">
        <w:rPr>
          <w:rFonts w:ascii="Calibri" w:hAnsi="Calibri" w:cs="Calibri"/>
        </w:rPr>
        <w:t>, které leží</w:t>
      </w:r>
      <w:r w:rsidRPr="002E62A3">
        <w:rPr>
          <w:rFonts w:ascii="Calibri" w:hAnsi="Calibri" w:cs="Calibri"/>
        </w:rPr>
        <w:t xml:space="preserve"> mimo území národních parků</w:t>
      </w:r>
      <w:r w:rsidR="00712161">
        <w:rPr>
          <w:rFonts w:ascii="Calibri" w:hAnsi="Calibri" w:cs="Calibri"/>
        </w:rPr>
        <w:t>,</w:t>
      </w:r>
      <w:r w:rsidRPr="002E62A3">
        <w:rPr>
          <w:rFonts w:ascii="Calibri" w:hAnsi="Calibri" w:cs="Calibri"/>
        </w:rPr>
        <w:t xml:space="preserve"> a jimi vlastněné </w:t>
      </w:r>
      <w:r w:rsidR="00712161">
        <w:rPr>
          <w:rFonts w:ascii="Calibri" w:hAnsi="Calibri" w:cs="Calibri"/>
        </w:rPr>
        <w:t>právnické osoby.</w:t>
      </w:r>
    </w:p>
  </w:footnote>
  <w:footnote w:id="41">
    <w:p w14:paraId="34D79809" w14:textId="33CD175F" w:rsidR="00AD363F" w:rsidRDefault="00AD363F" w:rsidP="00967F4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967F4F">
        <w:tab/>
      </w:r>
      <w:r w:rsidR="009928FA">
        <w:t xml:space="preserve">Ustanovení </w:t>
      </w:r>
      <w:r w:rsidRPr="001875C2">
        <w:rPr>
          <w:rFonts w:ascii="Calibri" w:hAnsi="Calibri" w:cs="Calibri"/>
        </w:rPr>
        <w:t xml:space="preserve">§ 44 odst. 1 písm. </w:t>
      </w:r>
      <w:r w:rsidR="00434BD7">
        <w:rPr>
          <w:rFonts w:ascii="Calibri" w:hAnsi="Calibri" w:cs="Calibri"/>
        </w:rPr>
        <w:t>j</w:t>
      </w:r>
      <w:r w:rsidRPr="001875C2">
        <w:rPr>
          <w:rFonts w:ascii="Calibri" w:hAnsi="Calibri" w:cs="Calibri"/>
        </w:rPr>
        <w:t>) zákona č. 218/2000 Sb.</w:t>
      </w:r>
      <w:r w:rsidR="00434BD7">
        <w:rPr>
          <w:rFonts w:ascii="Calibri" w:hAnsi="Calibri" w:cs="Calibri"/>
        </w:rPr>
        <w:t>, o</w:t>
      </w:r>
      <w:r w:rsidRPr="001875C2">
        <w:rPr>
          <w:rFonts w:ascii="Calibri" w:hAnsi="Calibri" w:cs="Calibri"/>
        </w:rPr>
        <w:t xml:space="preserve"> rozpočtových pravidlech a o změně některých souvisejících zákonů (rozpočtová pravidla)</w:t>
      </w:r>
      <w:r w:rsidR="009928FA">
        <w:rPr>
          <w:rFonts w:ascii="Calibri" w:hAnsi="Calibri" w:cs="Calibri"/>
        </w:rPr>
        <w:t>.</w:t>
      </w:r>
    </w:p>
  </w:footnote>
  <w:footnote w:id="42">
    <w:p w14:paraId="4DF05DD9" w14:textId="549C54F2" w:rsidR="00AD363F" w:rsidRDefault="00AD363F" w:rsidP="00967F4F">
      <w:pPr>
        <w:pStyle w:val="Textpoznpodarou"/>
        <w:ind w:left="284" w:hanging="284"/>
        <w:jc w:val="both"/>
      </w:pPr>
      <w:r w:rsidRPr="001875C2">
        <w:rPr>
          <w:rStyle w:val="Znakapoznpodarou"/>
          <w:rFonts w:ascii="Calibri" w:hAnsi="Calibri" w:cs="Calibri"/>
        </w:rPr>
        <w:footnoteRef/>
      </w:r>
      <w:r w:rsidRPr="001875C2">
        <w:rPr>
          <w:rFonts w:ascii="Calibri" w:hAnsi="Calibri" w:cs="Calibri"/>
        </w:rPr>
        <w:t xml:space="preserve"> </w:t>
      </w:r>
      <w:r w:rsidR="00967F4F">
        <w:rPr>
          <w:rFonts w:ascii="Calibri" w:hAnsi="Calibri" w:cs="Calibri"/>
        </w:rPr>
        <w:tab/>
      </w:r>
      <w:r w:rsidRPr="001875C2">
        <w:rPr>
          <w:rFonts w:ascii="Calibri" w:hAnsi="Calibri" w:cs="Calibri"/>
        </w:rPr>
        <w:t>Článek 2 odst. 36 nařízení Evropského parlamentu a Rady (EU) č. 1303/2013 ze</w:t>
      </w:r>
      <w:r>
        <w:rPr>
          <w:rFonts w:ascii="Calibri" w:hAnsi="Calibri" w:cs="Calibri"/>
        </w:rPr>
        <w:t xml:space="preserve"> </w:t>
      </w:r>
      <w:r w:rsidRPr="001875C2">
        <w:rPr>
          <w:rFonts w:ascii="Calibri" w:hAnsi="Calibri" w:cs="Calibri"/>
        </w:rPr>
        <w:t>dne 17. prosince 2013 o</w:t>
      </w:r>
      <w:r w:rsidR="00967F4F">
        <w:rPr>
          <w:rFonts w:ascii="Calibri" w:hAnsi="Calibri" w:cs="Calibri"/>
        </w:rPr>
        <w:t> </w:t>
      </w:r>
      <w:r w:rsidRPr="001875C2">
        <w:rPr>
          <w:rFonts w:ascii="Calibri" w:hAnsi="Calibri" w:cs="Calibri"/>
        </w:rPr>
        <w:t>společných ustanoveních o Evropském fondu pro regionální rozvoj,</w:t>
      </w:r>
      <w:r>
        <w:rPr>
          <w:rFonts w:ascii="Calibri" w:hAnsi="Calibri" w:cs="Calibri"/>
        </w:rPr>
        <w:t xml:space="preserve"> </w:t>
      </w:r>
      <w:r w:rsidRPr="001875C2">
        <w:rPr>
          <w:rFonts w:ascii="Calibri" w:hAnsi="Calibri" w:cs="Calibri"/>
        </w:rPr>
        <w:t>Evropském sociálním fondu, Fondu soudržnosti, Evropském zemědělském fondu pro rozvoj</w:t>
      </w:r>
      <w:r>
        <w:rPr>
          <w:rFonts w:ascii="Calibri" w:hAnsi="Calibri" w:cs="Calibri"/>
        </w:rPr>
        <w:t xml:space="preserve"> </w:t>
      </w:r>
      <w:r w:rsidRPr="001875C2">
        <w:rPr>
          <w:rFonts w:ascii="Calibri" w:hAnsi="Calibri" w:cs="Calibri"/>
        </w:rPr>
        <w:t>venkova a Evropském námořním a rybářském fondu, o</w:t>
      </w:r>
      <w:r w:rsidR="00967F4F">
        <w:rPr>
          <w:rFonts w:ascii="Calibri" w:hAnsi="Calibri" w:cs="Calibri"/>
        </w:rPr>
        <w:t> </w:t>
      </w:r>
      <w:r w:rsidRPr="001875C2">
        <w:rPr>
          <w:rFonts w:ascii="Calibri" w:hAnsi="Calibri" w:cs="Calibri"/>
        </w:rPr>
        <w:t>obecných ustanoveních o Evropském</w:t>
      </w:r>
      <w:r>
        <w:rPr>
          <w:rFonts w:ascii="Calibri" w:hAnsi="Calibri" w:cs="Calibri"/>
        </w:rPr>
        <w:t xml:space="preserve"> </w:t>
      </w:r>
      <w:r w:rsidRPr="001875C2">
        <w:rPr>
          <w:rFonts w:ascii="Calibri" w:hAnsi="Calibri" w:cs="Calibri"/>
        </w:rPr>
        <w:t>fondu pro regionální rozvoj, Evropském sociálním fondu, Fondu soudržnosti a Evropském</w:t>
      </w:r>
      <w:r>
        <w:rPr>
          <w:rFonts w:ascii="Calibri" w:hAnsi="Calibri" w:cs="Calibri"/>
        </w:rPr>
        <w:t xml:space="preserve"> </w:t>
      </w:r>
      <w:r w:rsidRPr="001875C2">
        <w:rPr>
          <w:rFonts w:ascii="Calibri" w:hAnsi="Calibri" w:cs="Calibri"/>
        </w:rPr>
        <w:t>námořním a rybářském fondu a o zrušení nařízení Rady (ES) č. 1083/2006</w:t>
      </w:r>
      <w:r>
        <w:rPr>
          <w:rFonts w:ascii="Calibri" w:hAnsi="Calibri" w:cs="Calibri"/>
        </w:rPr>
        <w:t>.</w:t>
      </w:r>
    </w:p>
  </w:footnote>
  <w:footnote w:id="43">
    <w:p w14:paraId="59107502" w14:textId="60076883" w:rsidR="00F9666E" w:rsidRDefault="00F9666E" w:rsidP="009928FA">
      <w:pPr>
        <w:pStyle w:val="Textpoznpodarou"/>
        <w:ind w:left="284" w:hanging="284"/>
        <w:jc w:val="both"/>
      </w:pPr>
      <w:r w:rsidRPr="00AD74B5">
        <w:rPr>
          <w:rStyle w:val="Znakapoznpodarou"/>
          <w:rFonts w:ascii="Calibri" w:hAnsi="Calibri" w:cs="Calibri"/>
        </w:rPr>
        <w:footnoteRef/>
      </w:r>
      <w:r w:rsidRPr="00AD74B5">
        <w:rPr>
          <w:rFonts w:ascii="Calibri" w:hAnsi="Calibri" w:cs="Calibri"/>
        </w:rPr>
        <w:t xml:space="preserve"> </w:t>
      </w:r>
      <w:r w:rsidR="009928FA">
        <w:rPr>
          <w:rFonts w:ascii="Calibri" w:hAnsi="Calibri" w:cs="Calibri"/>
        </w:rPr>
        <w:tab/>
      </w:r>
      <w:r w:rsidRPr="00AD74B5">
        <w:rPr>
          <w:rFonts w:ascii="Calibri" w:hAnsi="Calibri" w:cs="Calibri"/>
        </w:rPr>
        <w:t>Zákon č. 563/1991 Sb.</w:t>
      </w:r>
      <w:r w:rsidR="00474102">
        <w:rPr>
          <w:rFonts w:ascii="Calibri" w:hAnsi="Calibri" w:cs="Calibri"/>
        </w:rPr>
        <w:t>,</w:t>
      </w:r>
      <w:r w:rsidRPr="00AD74B5">
        <w:rPr>
          <w:rFonts w:ascii="Calibri" w:hAnsi="Calibri" w:cs="Calibri"/>
        </w:rPr>
        <w:t xml:space="preserve"> o účetnictví</w:t>
      </w:r>
      <w:r w:rsidR="00AA4FAA">
        <w:rPr>
          <w:rFonts w:ascii="Calibri" w:hAnsi="Calibri" w:cs="Calibri"/>
        </w:rPr>
        <w:t>,</w:t>
      </w:r>
      <w:r w:rsidRPr="00AD74B5">
        <w:rPr>
          <w:rFonts w:ascii="Calibri" w:hAnsi="Calibri" w:cs="Calibri"/>
        </w:rPr>
        <w:t xml:space="preserve"> v § 8 odst. 1 a odst. 4 stanoví:</w:t>
      </w:r>
      <w:r>
        <w:rPr>
          <w:rFonts w:ascii="Calibri" w:hAnsi="Calibri" w:cs="Calibri"/>
        </w:rPr>
        <w:t xml:space="preserve"> </w:t>
      </w:r>
      <w:r w:rsidRPr="00AD74B5">
        <w:rPr>
          <w:rFonts w:ascii="Calibri" w:hAnsi="Calibri" w:cs="Calibri"/>
        </w:rPr>
        <w:t>„(1) Účetní jednotky jsou povinny vést účetnictví správné, úplné, průkazné, srozumitelné, přehledné a způsobem zaručujícím trvalost účetních záznamů</w:t>
      </w:r>
      <w:r w:rsidR="009928FA" w:rsidRPr="00AD74B5">
        <w:rPr>
          <w:rFonts w:ascii="Calibri" w:hAnsi="Calibri" w:cs="Calibri"/>
        </w:rPr>
        <w:t xml:space="preserve"> </w:t>
      </w:r>
      <w:r w:rsidR="003E0AC9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</w:t>
      </w:r>
      <w:r w:rsidRPr="00AD74B5">
        <w:rPr>
          <w:rFonts w:ascii="Calibri" w:hAnsi="Calibri" w:cs="Calibri"/>
        </w:rPr>
        <w:t>(4) Účetnictví účetní jednotky je průkazné, jestliže všechny účetní záznamy tohoto účetnictví jsou průkazné (§ 33a).“</w:t>
      </w:r>
      <w:r>
        <w:rPr>
          <w:rFonts w:ascii="Calibri" w:hAnsi="Calibri" w:cs="Calibri"/>
        </w:rPr>
        <w:t xml:space="preserve"> </w:t>
      </w:r>
      <w:r w:rsidRPr="00AD74B5">
        <w:rPr>
          <w:rFonts w:ascii="Calibri" w:hAnsi="Calibri" w:cs="Calibri"/>
        </w:rPr>
        <w:t>Zákon č. 563/1991 Sb.</w:t>
      </w:r>
      <w:r w:rsidR="00474102">
        <w:rPr>
          <w:rFonts w:ascii="Calibri" w:hAnsi="Calibri" w:cs="Calibri"/>
        </w:rPr>
        <w:t>,</w:t>
      </w:r>
      <w:r w:rsidRPr="00AD74B5">
        <w:rPr>
          <w:rFonts w:ascii="Calibri" w:hAnsi="Calibri" w:cs="Calibri"/>
        </w:rPr>
        <w:t xml:space="preserve"> o účetnictví</w:t>
      </w:r>
      <w:r w:rsidR="00AA4FAA">
        <w:rPr>
          <w:rFonts w:ascii="Calibri" w:hAnsi="Calibri" w:cs="Calibri"/>
        </w:rPr>
        <w:t>,</w:t>
      </w:r>
      <w:r w:rsidRPr="00AD74B5">
        <w:rPr>
          <w:rFonts w:ascii="Calibri" w:hAnsi="Calibri" w:cs="Calibri"/>
        </w:rPr>
        <w:t xml:space="preserve"> dále v § 33a odst. 1 písmeno a) stanoví:</w:t>
      </w:r>
      <w:r>
        <w:rPr>
          <w:rFonts w:ascii="Calibri" w:hAnsi="Calibri" w:cs="Calibri"/>
        </w:rPr>
        <w:t xml:space="preserve"> </w:t>
      </w:r>
      <w:r w:rsidRPr="00AD74B5">
        <w:rPr>
          <w:rFonts w:ascii="Calibri" w:hAnsi="Calibri" w:cs="Calibri"/>
        </w:rPr>
        <w:t>„(1) Podle tohoto zákona se za průkazný účetní záznam považuje pouze</w:t>
      </w:r>
      <w:r>
        <w:rPr>
          <w:rFonts w:ascii="Calibri" w:hAnsi="Calibri" w:cs="Calibri"/>
        </w:rPr>
        <w:t xml:space="preserve"> </w:t>
      </w:r>
      <w:r w:rsidRPr="00AD74B5">
        <w:rPr>
          <w:rFonts w:ascii="Calibri" w:hAnsi="Calibri" w:cs="Calibri"/>
        </w:rPr>
        <w:t>a) účetní záznam, jehož obsah je prokázán přímo porovnáním se skutečností, kterou tento záznam prokazuje</w:t>
      </w:r>
      <w:r w:rsidR="009928FA">
        <w:rPr>
          <w:rFonts w:ascii="Calibri" w:hAnsi="Calibri" w:cs="Calibri"/>
        </w:rPr>
        <w:t>.</w:t>
      </w:r>
      <w:r w:rsidRPr="00AD74B5">
        <w:rPr>
          <w:rFonts w:ascii="Calibri" w:hAnsi="Calibri" w:cs="Calibri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C61"/>
    <w:multiLevelType w:val="multilevel"/>
    <w:tmpl w:val="5F3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30739"/>
    <w:multiLevelType w:val="multilevel"/>
    <w:tmpl w:val="90E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31719"/>
    <w:multiLevelType w:val="multilevel"/>
    <w:tmpl w:val="A0B8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476E8"/>
    <w:multiLevelType w:val="multilevel"/>
    <w:tmpl w:val="87541C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901FBA"/>
    <w:multiLevelType w:val="multilevel"/>
    <w:tmpl w:val="9C6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670B09"/>
    <w:multiLevelType w:val="multilevel"/>
    <w:tmpl w:val="80C6B99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24" w:hanging="340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6" w15:restartNumberingAfterBreak="0">
    <w:nsid w:val="35B5221B"/>
    <w:multiLevelType w:val="multilevel"/>
    <w:tmpl w:val="344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EB3156"/>
    <w:multiLevelType w:val="hybridMultilevel"/>
    <w:tmpl w:val="75EC51D8"/>
    <w:lvl w:ilvl="0" w:tplc="0405000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56B32"/>
    <w:multiLevelType w:val="hybridMultilevel"/>
    <w:tmpl w:val="70C83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95744"/>
    <w:multiLevelType w:val="multilevel"/>
    <w:tmpl w:val="F044FB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611CE2"/>
    <w:multiLevelType w:val="hybridMultilevel"/>
    <w:tmpl w:val="5FC69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D1C03"/>
    <w:multiLevelType w:val="hybridMultilevel"/>
    <w:tmpl w:val="ADC61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F09C9"/>
    <w:multiLevelType w:val="multilevel"/>
    <w:tmpl w:val="287E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D073B"/>
    <w:multiLevelType w:val="hybridMultilevel"/>
    <w:tmpl w:val="F89652A2"/>
    <w:lvl w:ilvl="0" w:tplc="A7D4E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E6C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6C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4F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25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A1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21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AB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A1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E1316"/>
    <w:multiLevelType w:val="hybridMultilevel"/>
    <w:tmpl w:val="8082844C"/>
    <w:lvl w:ilvl="0" w:tplc="3C7E111C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9387F"/>
    <w:multiLevelType w:val="multilevel"/>
    <w:tmpl w:val="4E4E869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nadpismj"/>
      <w:isLgl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558A4D01"/>
    <w:multiLevelType w:val="multilevel"/>
    <w:tmpl w:val="0405001D"/>
    <w:styleLink w:val="S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936391"/>
    <w:multiLevelType w:val="hybridMultilevel"/>
    <w:tmpl w:val="583415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D7C8A"/>
    <w:multiLevelType w:val="multilevel"/>
    <w:tmpl w:val="F044FB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C34A1D"/>
    <w:multiLevelType w:val="multilevel"/>
    <w:tmpl w:val="9F16998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24" w:hanging="34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abstractNum w:abstractNumId="20" w15:restartNumberingAfterBreak="0">
    <w:nsid w:val="63FF7F17"/>
    <w:multiLevelType w:val="hybridMultilevel"/>
    <w:tmpl w:val="E6A6F45E"/>
    <w:lvl w:ilvl="0" w:tplc="982663C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D0F7C"/>
    <w:multiLevelType w:val="hybridMultilevel"/>
    <w:tmpl w:val="50F06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51714"/>
    <w:multiLevelType w:val="multilevel"/>
    <w:tmpl w:val="3604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963341"/>
    <w:multiLevelType w:val="multilevel"/>
    <w:tmpl w:val="F352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B21ADE"/>
    <w:multiLevelType w:val="multilevel"/>
    <w:tmpl w:val="111E098A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5" w15:restartNumberingAfterBreak="0">
    <w:nsid w:val="758C9808"/>
    <w:multiLevelType w:val="hybridMultilevel"/>
    <w:tmpl w:val="583415B0"/>
    <w:lvl w:ilvl="0" w:tplc="DBBEB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1CFF8C">
      <w:start w:val="1"/>
      <w:numFmt w:val="lowerLetter"/>
      <w:lvlText w:val="%2."/>
      <w:lvlJc w:val="left"/>
      <w:pPr>
        <w:ind w:left="1080" w:hanging="360"/>
      </w:pPr>
    </w:lvl>
    <w:lvl w:ilvl="2" w:tplc="49FEFDD0">
      <w:start w:val="1"/>
      <w:numFmt w:val="lowerRoman"/>
      <w:lvlText w:val="%3."/>
      <w:lvlJc w:val="right"/>
      <w:pPr>
        <w:ind w:left="1800" w:hanging="180"/>
      </w:pPr>
    </w:lvl>
    <w:lvl w:ilvl="3" w:tplc="DBBEB6D4">
      <w:start w:val="1"/>
      <w:numFmt w:val="decimal"/>
      <w:lvlText w:val="%4."/>
      <w:lvlJc w:val="left"/>
      <w:pPr>
        <w:ind w:left="2520" w:hanging="360"/>
      </w:pPr>
    </w:lvl>
    <w:lvl w:ilvl="4" w:tplc="68DC5170">
      <w:start w:val="1"/>
      <w:numFmt w:val="lowerLetter"/>
      <w:lvlText w:val="%5."/>
      <w:lvlJc w:val="left"/>
      <w:pPr>
        <w:ind w:left="3240" w:hanging="360"/>
      </w:pPr>
    </w:lvl>
    <w:lvl w:ilvl="5" w:tplc="AADC5F18">
      <w:start w:val="1"/>
      <w:numFmt w:val="lowerRoman"/>
      <w:lvlText w:val="%6."/>
      <w:lvlJc w:val="right"/>
      <w:pPr>
        <w:ind w:left="3960" w:hanging="180"/>
      </w:pPr>
    </w:lvl>
    <w:lvl w:ilvl="6" w:tplc="70D0768E">
      <w:start w:val="1"/>
      <w:numFmt w:val="decimal"/>
      <w:lvlText w:val="%7."/>
      <w:lvlJc w:val="left"/>
      <w:pPr>
        <w:ind w:left="4680" w:hanging="360"/>
      </w:pPr>
    </w:lvl>
    <w:lvl w:ilvl="7" w:tplc="C0EE1052">
      <w:start w:val="1"/>
      <w:numFmt w:val="lowerLetter"/>
      <w:lvlText w:val="%8."/>
      <w:lvlJc w:val="left"/>
      <w:pPr>
        <w:ind w:left="5400" w:hanging="360"/>
      </w:pPr>
    </w:lvl>
    <w:lvl w:ilvl="8" w:tplc="83B43670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8D4AD9"/>
    <w:multiLevelType w:val="hybridMultilevel"/>
    <w:tmpl w:val="C2BC1770"/>
    <w:lvl w:ilvl="0" w:tplc="EA1003D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5A7A6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8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4F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0D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29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C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0A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45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813D0"/>
    <w:multiLevelType w:val="multilevel"/>
    <w:tmpl w:val="9DEA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3739A9"/>
    <w:multiLevelType w:val="multilevel"/>
    <w:tmpl w:val="791A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0268105">
    <w:abstractNumId w:val="25"/>
  </w:num>
  <w:num w:numId="2" w16cid:durableId="575435344">
    <w:abstractNumId w:val="24"/>
  </w:num>
  <w:num w:numId="3" w16cid:durableId="1046373715">
    <w:abstractNumId w:val="1"/>
  </w:num>
  <w:num w:numId="4" w16cid:durableId="1682514305">
    <w:abstractNumId w:val="6"/>
  </w:num>
  <w:num w:numId="5" w16cid:durableId="1265306242">
    <w:abstractNumId w:val="27"/>
  </w:num>
  <w:num w:numId="6" w16cid:durableId="415634297">
    <w:abstractNumId w:val="0"/>
  </w:num>
  <w:num w:numId="7" w16cid:durableId="946036539">
    <w:abstractNumId w:val="23"/>
  </w:num>
  <w:num w:numId="8" w16cid:durableId="2031569334">
    <w:abstractNumId w:val="12"/>
  </w:num>
  <w:num w:numId="9" w16cid:durableId="1752309880">
    <w:abstractNumId w:val="4"/>
  </w:num>
  <w:num w:numId="10" w16cid:durableId="1543396982">
    <w:abstractNumId w:val="2"/>
  </w:num>
  <w:num w:numId="11" w16cid:durableId="629480683">
    <w:abstractNumId w:val="28"/>
  </w:num>
  <w:num w:numId="12" w16cid:durableId="1395279398">
    <w:abstractNumId w:val="22"/>
  </w:num>
  <w:num w:numId="13" w16cid:durableId="223417989">
    <w:abstractNumId w:val="13"/>
  </w:num>
  <w:num w:numId="14" w16cid:durableId="1355375584">
    <w:abstractNumId w:val="14"/>
  </w:num>
  <w:num w:numId="15" w16cid:durableId="2069919797">
    <w:abstractNumId w:val="7"/>
  </w:num>
  <w:num w:numId="16" w16cid:durableId="1488016401">
    <w:abstractNumId w:val="26"/>
  </w:num>
  <w:num w:numId="17" w16cid:durableId="223610165">
    <w:abstractNumId w:val="18"/>
  </w:num>
  <w:num w:numId="18" w16cid:durableId="141897963">
    <w:abstractNumId w:val="9"/>
  </w:num>
  <w:num w:numId="19" w16cid:durableId="173421969">
    <w:abstractNumId w:val="17"/>
  </w:num>
  <w:num w:numId="20" w16cid:durableId="2008751399">
    <w:abstractNumId w:val="21"/>
  </w:num>
  <w:num w:numId="21" w16cid:durableId="545070116">
    <w:abstractNumId w:val="8"/>
  </w:num>
  <w:num w:numId="22" w16cid:durableId="2040466364">
    <w:abstractNumId w:val="11"/>
  </w:num>
  <w:num w:numId="23" w16cid:durableId="1349675403">
    <w:abstractNumId w:val="10"/>
  </w:num>
  <w:num w:numId="24" w16cid:durableId="1384602729">
    <w:abstractNumId w:val="20"/>
  </w:num>
  <w:num w:numId="25" w16cid:durableId="2042825024">
    <w:abstractNumId w:val="16"/>
  </w:num>
  <w:num w:numId="26" w16cid:durableId="944266266">
    <w:abstractNumId w:val="3"/>
  </w:num>
  <w:num w:numId="27" w16cid:durableId="1706517831">
    <w:abstractNumId w:val="5"/>
  </w:num>
  <w:num w:numId="28" w16cid:durableId="1265531143">
    <w:abstractNumId w:val="5"/>
  </w:num>
  <w:num w:numId="29" w16cid:durableId="692534891">
    <w:abstractNumId w:val="15"/>
  </w:num>
  <w:num w:numId="30" w16cid:durableId="1917469785">
    <w:abstractNumId w:val="19"/>
  </w:num>
  <w:num w:numId="31" w16cid:durableId="1638219514">
    <w:abstractNumId w:val="24"/>
    <w:lvlOverride w:ilvl="0"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567" w:hanging="567"/>
        </w:pPr>
        <w:rPr>
          <w:rFonts w:cs="Times New Roman" w:hint="default"/>
          <w:b w:val="0"/>
          <w:b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cs="Times New Roman" w:hint="default"/>
        </w:rPr>
      </w:lvl>
    </w:lvlOverride>
  </w:num>
  <w:num w:numId="32" w16cid:durableId="1894463122">
    <w:abstractNumId w:val="24"/>
    <w:lvlOverride w:ilvl="0">
      <w:lvl w:ilvl="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97"/>
          </w:tabs>
          <w:ind w:left="397" w:hanging="397"/>
        </w:pPr>
        <w:rPr>
          <w:rFonts w:cs="Times New Roman" w:hint="default"/>
          <w:b w:val="0"/>
          <w:bCs w:val="0"/>
          <w:sz w:val="24"/>
          <w:szCs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0" w:firstLine="0"/>
        </w:pPr>
        <w:rPr>
          <w:rFonts w:hint="default"/>
          <w:b w:val="0"/>
          <w:bCs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0" w:firstLine="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A492C"/>
    <w:rsid w:val="0000314C"/>
    <w:rsid w:val="00010758"/>
    <w:rsid w:val="000112E2"/>
    <w:rsid w:val="00014651"/>
    <w:rsid w:val="0001509B"/>
    <w:rsid w:val="000177F6"/>
    <w:rsid w:val="00022C8A"/>
    <w:rsid w:val="00022FB5"/>
    <w:rsid w:val="000313F0"/>
    <w:rsid w:val="00031C63"/>
    <w:rsid w:val="0003622C"/>
    <w:rsid w:val="00041572"/>
    <w:rsid w:val="000549DB"/>
    <w:rsid w:val="000553E7"/>
    <w:rsid w:val="000562C0"/>
    <w:rsid w:val="00064024"/>
    <w:rsid w:val="0006539A"/>
    <w:rsid w:val="0006544F"/>
    <w:rsid w:val="00066F94"/>
    <w:rsid w:val="00072D23"/>
    <w:rsid w:val="00081CAE"/>
    <w:rsid w:val="00082099"/>
    <w:rsid w:val="00082D9B"/>
    <w:rsid w:val="000948C7"/>
    <w:rsid w:val="00095E0C"/>
    <w:rsid w:val="000A0DA4"/>
    <w:rsid w:val="000A4143"/>
    <w:rsid w:val="000B4C44"/>
    <w:rsid w:val="000D1537"/>
    <w:rsid w:val="000D24C8"/>
    <w:rsid w:val="000D2950"/>
    <w:rsid w:val="000E2603"/>
    <w:rsid w:val="000E267F"/>
    <w:rsid w:val="000E430A"/>
    <w:rsid w:val="000E5F57"/>
    <w:rsid w:val="000F1357"/>
    <w:rsid w:val="000F2C35"/>
    <w:rsid w:val="000F3F52"/>
    <w:rsid w:val="000F54B9"/>
    <w:rsid w:val="000F63BD"/>
    <w:rsid w:val="000F7048"/>
    <w:rsid w:val="001048E4"/>
    <w:rsid w:val="00105093"/>
    <w:rsid w:val="00106E57"/>
    <w:rsid w:val="00113168"/>
    <w:rsid w:val="00113C86"/>
    <w:rsid w:val="00114F51"/>
    <w:rsid w:val="00115AC4"/>
    <w:rsid w:val="00117DFE"/>
    <w:rsid w:val="001218AD"/>
    <w:rsid w:val="001228C8"/>
    <w:rsid w:val="001304C8"/>
    <w:rsid w:val="00133380"/>
    <w:rsid w:val="00135F1B"/>
    <w:rsid w:val="00137068"/>
    <w:rsid w:val="00140DDD"/>
    <w:rsid w:val="00151415"/>
    <w:rsid w:val="00153453"/>
    <w:rsid w:val="00153853"/>
    <w:rsid w:val="001572CD"/>
    <w:rsid w:val="0016508F"/>
    <w:rsid w:val="0017515A"/>
    <w:rsid w:val="00175CF8"/>
    <w:rsid w:val="00177D7D"/>
    <w:rsid w:val="00182BCB"/>
    <w:rsid w:val="00184274"/>
    <w:rsid w:val="00186872"/>
    <w:rsid w:val="00186F82"/>
    <w:rsid w:val="001875C2"/>
    <w:rsid w:val="00187CEA"/>
    <w:rsid w:val="00190466"/>
    <w:rsid w:val="001905FB"/>
    <w:rsid w:val="00192635"/>
    <w:rsid w:val="001A2F62"/>
    <w:rsid w:val="001B5355"/>
    <w:rsid w:val="001B542A"/>
    <w:rsid w:val="001C4F0D"/>
    <w:rsid w:val="001D00B1"/>
    <w:rsid w:val="001E4537"/>
    <w:rsid w:val="001E5D9D"/>
    <w:rsid w:val="001F4A1B"/>
    <w:rsid w:val="001F4E62"/>
    <w:rsid w:val="001F7BB8"/>
    <w:rsid w:val="00200ACD"/>
    <w:rsid w:val="0020171B"/>
    <w:rsid w:val="00202324"/>
    <w:rsid w:val="00207CB8"/>
    <w:rsid w:val="00216693"/>
    <w:rsid w:val="0022369A"/>
    <w:rsid w:val="00224660"/>
    <w:rsid w:val="00226C6C"/>
    <w:rsid w:val="002305C1"/>
    <w:rsid w:val="0023235D"/>
    <w:rsid w:val="00233021"/>
    <w:rsid w:val="00235C8F"/>
    <w:rsid w:val="00243D51"/>
    <w:rsid w:val="00246CC5"/>
    <w:rsid w:val="00252A7C"/>
    <w:rsid w:val="00253954"/>
    <w:rsid w:val="00262168"/>
    <w:rsid w:val="0026746C"/>
    <w:rsid w:val="00270988"/>
    <w:rsid w:val="00274B35"/>
    <w:rsid w:val="0027648C"/>
    <w:rsid w:val="00280DC6"/>
    <w:rsid w:val="00281CD6"/>
    <w:rsid w:val="00284EA0"/>
    <w:rsid w:val="00285473"/>
    <w:rsid w:val="00292173"/>
    <w:rsid w:val="002A6197"/>
    <w:rsid w:val="002A6593"/>
    <w:rsid w:val="002A7C69"/>
    <w:rsid w:val="002B54B0"/>
    <w:rsid w:val="002C5E57"/>
    <w:rsid w:val="002D24D9"/>
    <w:rsid w:val="002D40AB"/>
    <w:rsid w:val="002D590E"/>
    <w:rsid w:val="002E1EA8"/>
    <w:rsid w:val="002E4B8E"/>
    <w:rsid w:val="002E577D"/>
    <w:rsid w:val="002E62A3"/>
    <w:rsid w:val="002F145C"/>
    <w:rsid w:val="002F3615"/>
    <w:rsid w:val="002F42B8"/>
    <w:rsid w:val="002F4753"/>
    <w:rsid w:val="002F502D"/>
    <w:rsid w:val="0030174F"/>
    <w:rsid w:val="00302C10"/>
    <w:rsid w:val="00304F12"/>
    <w:rsid w:val="00313271"/>
    <w:rsid w:val="00313EFC"/>
    <w:rsid w:val="003144A9"/>
    <w:rsid w:val="0031510A"/>
    <w:rsid w:val="00316025"/>
    <w:rsid w:val="003211B5"/>
    <w:rsid w:val="00321D83"/>
    <w:rsid w:val="00321F53"/>
    <w:rsid w:val="00324FBE"/>
    <w:rsid w:val="00330187"/>
    <w:rsid w:val="00335929"/>
    <w:rsid w:val="00343FF6"/>
    <w:rsid w:val="00353A8C"/>
    <w:rsid w:val="00357E74"/>
    <w:rsid w:val="003602FA"/>
    <w:rsid w:val="00361AF2"/>
    <w:rsid w:val="0036359F"/>
    <w:rsid w:val="00363608"/>
    <w:rsid w:val="00363E85"/>
    <w:rsid w:val="00365527"/>
    <w:rsid w:val="00365574"/>
    <w:rsid w:val="00366877"/>
    <w:rsid w:val="003718D8"/>
    <w:rsid w:val="003746EE"/>
    <w:rsid w:val="00374B8B"/>
    <w:rsid w:val="003779C6"/>
    <w:rsid w:val="00383F8D"/>
    <w:rsid w:val="00386BF5"/>
    <w:rsid w:val="00387A04"/>
    <w:rsid w:val="00390D78"/>
    <w:rsid w:val="00393B13"/>
    <w:rsid w:val="00397707"/>
    <w:rsid w:val="003A078C"/>
    <w:rsid w:val="003A6029"/>
    <w:rsid w:val="003B2141"/>
    <w:rsid w:val="003B6D63"/>
    <w:rsid w:val="003C577B"/>
    <w:rsid w:val="003D5A86"/>
    <w:rsid w:val="003E0AC9"/>
    <w:rsid w:val="003E42F5"/>
    <w:rsid w:val="003E7176"/>
    <w:rsid w:val="00401340"/>
    <w:rsid w:val="00407309"/>
    <w:rsid w:val="004134A1"/>
    <w:rsid w:val="004159B1"/>
    <w:rsid w:val="0042262D"/>
    <w:rsid w:val="004256C6"/>
    <w:rsid w:val="004260EA"/>
    <w:rsid w:val="00432CAF"/>
    <w:rsid w:val="00433BBE"/>
    <w:rsid w:val="004347B7"/>
    <w:rsid w:val="0043488B"/>
    <w:rsid w:val="00434BD7"/>
    <w:rsid w:val="00443702"/>
    <w:rsid w:val="00445143"/>
    <w:rsid w:val="00445F35"/>
    <w:rsid w:val="004469E8"/>
    <w:rsid w:val="00457362"/>
    <w:rsid w:val="00462FE7"/>
    <w:rsid w:val="00473CBC"/>
    <w:rsid w:val="00474102"/>
    <w:rsid w:val="0047484F"/>
    <w:rsid w:val="0047558F"/>
    <w:rsid w:val="00482767"/>
    <w:rsid w:val="00485E81"/>
    <w:rsid w:val="00485EF6"/>
    <w:rsid w:val="004901F6"/>
    <w:rsid w:val="00491282"/>
    <w:rsid w:val="00492B28"/>
    <w:rsid w:val="00492EE6"/>
    <w:rsid w:val="004A0879"/>
    <w:rsid w:val="004B2690"/>
    <w:rsid w:val="004B30A3"/>
    <w:rsid w:val="004B4CA3"/>
    <w:rsid w:val="004B538F"/>
    <w:rsid w:val="004C1D11"/>
    <w:rsid w:val="004D49E4"/>
    <w:rsid w:val="004D6830"/>
    <w:rsid w:val="004D6B99"/>
    <w:rsid w:val="004D7420"/>
    <w:rsid w:val="004D7967"/>
    <w:rsid w:val="004E0025"/>
    <w:rsid w:val="004E0573"/>
    <w:rsid w:val="004E3968"/>
    <w:rsid w:val="004E3F51"/>
    <w:rsid w:val="004E50DB"/>
    <w:rsid w:val="004E653F"/>
    <w:rsid w:val="004F4980"/>
    <w:rsid w:val="004F68EC"/>
    <w:rsid w:val="004F743F"/>
    <w:rsid w:val="005048AA"/>
    <w:rsid w:val="00504EBF"/>
    <w:rsid w:val="005106CC"/>
    <w:rsid w:val="00511E71"/>
    <w:rsid w:val="005136EB"/>
    <w:rsid w:val="005157ED"/>
    <w:rsid w:val="00515C75"/>
    <w:rsid w:val="00516FD5"/>
    <w:rsid w:val="005223D8"/>
    <w:rsid w:val="00534B64"/>
    <w:rsid w:val="0054155E"/>
    <w:rsid w:val="00546047"/>
    <w:rsid w:val="0054753F"/>
    <w:rsid w:val="00551F1A"/>
    <w:rsid w:val="00557718"/>
    <w:rsid w:val="00565C91"/>
    <w:rsid w:val="00575B91"/>
    <w:rsid w:val="00581D26"/>
    <w:rsid w:val="00592BDC"/>
    <w:rsid w:val="005931FD"/>
    <w:rsid w:val="005A0146"/>
    <w:rsid w:val="005A19C7"/>
    <w:rsid w:val="005A1CCF"/>
    <w:rsid w:val="005A5EC5"/>
    <w:rsid w:val="005B1F5D"/>
    <w:rsid w:val="005B26A9"/>
    <w:rsid w:val="005C4EB3"/>
    <w:rsid w:val="005C6355"/>
    <w:rsid w:val="005C6B2E"/>
    <w:rsid w:val="005C6EBA"/>
    <w:rsid w:val="005C6FB4"/>
    <w:rsid w:val="005C7E45"/>
    <w:rsid w:val="005D024F"/>
    <w:rsid w:val="005D0EB1"/>
    <w:rsid w:val="005D2FC6"/>
    <w:rsid w:val="005D3938"/>
    <w:rsid w:val="005D3EA5"/>
    <w:rsid w:val="005D612A"/>
    <w:rsid w:val="005E0DDB"/>
    <w:rsid w:val="005E3DEF"/>
    <w:rsid w:val="006013DD"/>
    <w:rsid w:val="006058EA"/>
    <w:rsid w:val="00606D4C"/>
    <w:rsid w:val="00615D28"/>
    <w:rsid w:val="00617688"/>
    <w:rsid w:val="006204BC"/>
    <w:rsid w:val="00620795"/>
    <w:rsid w:val="00621C06"/>
    <w:rsid w:val="00623424"/>
    <w:rsid w:val="00624535"/>
    <w:rsid w:val="00625D5F"/>
    <w:rsid w:val="00626013"/>
    <w:rsid w:val="00632C33"/>
    <w:rsid w:val="006332C4"/>
    <w:rsid w:val="00646ACA"/>
    <w:rsid w:val="0065656E"/>
    <w:rsid w:val="00661619"/>
    <w:rsid w:val="006635F0"/>
    <w:rsid w:val="00666D37"/>
    <w:rsid w:val="006703F0"/>
    <w:rsid w:val="00675AA8"/>
    <w:rsid w:val="00676354"/>
    <w:rsid w:val="00676378"/>
    <w:rsid w:val="00676AA4"/>
    <w:rsid w:val="00681408"/>
    <w:rsid w:val="006820E7"/>
    <w:rsid w:val="00685CB8"/>
    <w:rsid w:val="0068627E"/>
    <w:rsid w:val="00692D80"/>
    <w:rsid w:val="006936AD"/>
    <w:rsid w:val="00693CD7"/>
    <w:rsid w:val="006957F4"/>
    <w:rsid w:val="00697208"/>
    <w:rsid w:val="006A0D21"/>
    <w:rsid w:val="006A2AA0"/>
    <w:rsid w:val="006A5611"/>
    <w:rsid w:val="006B08B5"/>
    <w:rsid w:val="006B0BD3"/>
    <w:rsid w:val="006B0E43"/>
    <w:rsid w:val="006B27B9"/>
    <w:rsid w:val="006B4310"/>
    <w:rsid w:val="006C20A7"/>
    <w:rsid w:val="006C472F"/>
    <w:rsid w:val="006C4D1C"/>
    <w:rsid w:val="006C4FDB"/>
    <w:rsid w:val="006D0CAF"/>
    <w:rsid w:val="006D5B3D"/>
    <w:rsid w:val="006D5BC4"/>
    <w:rsid w:val="006D5E21"/>
    <w:rsid w:val="006D6221"/>
    <w:rsid w:val="006E497D"/>
    <w:rsid w:val="006F7143"/>
    <w:rsid w:val="0070797F"/>
    <w:rsid w:val="007108D9"/>
    <w:rsid w:val="00712161"/>
    <w:rsid w:val="00712314"/>
    <w:rsid w:val="007141DA"/>
    <w:rsid w:val="00717846"/>
    <w:rsid w:val="007274DD"/>
    <w:rsid w:val="00731893"/>
    <w:rsid w:val="00734A83"/>
    <w:rsid w:val="00735EC6"/>
    <w:rsid w:val="00740E83"/>
    <w:rsid w:val="00742AD2"/>
    <w:rsid w:val="00742FE5"/>
    <w:rsid w:val="007462D4"/>
    <w:rsid w:val="007507E0"/>
    <w:rsid w:val="00752857"/>
    <w:rsid w:val="00757228"/>
    <w:rsid w:val="007676F5"/>
    <w:rsid w:val="00777ED8"/>
    <w:rsid w:val="007837A7"/>
    <w:rsid w:val="00784765"/>
    <w:rsid w:val="00786A6E"/>
    <w:rsid w:val="00787672"/>
    <w:rsid w:val="007954DE"/>
    <w:rsid w:val="007A6AC8"/>
    <w:rsid w:val="007A6BCF"/>
    <w:rsid w:val="007A6F11"/>
    <w:rsid w:val="007B01C6"/>
    <w:rsid w:val="007B3B11"/>
    <w:rsid w:val="007D4975"/>
    <w:rsid w:val="007D49B2"/>
    <w:rsid w:val="007E01D9"/>
    <w:rsid w:val="007E0FC8"/>
    <w:rsid w:val="007E1FFF"/>
    <w:rsid w:val="007E2C0B"/>
    <w:rsid w:val="007E6DAF"/>
    <w:rsid w:val="007E7818"/>
    <w:rsid w:val="007F1EC5"/>
    <w:rsid w:val="007F741C"/>
    <w:rsid w:val="00804DA1"/>
    <w:rsid w:val="0081175A"/>
    <w:rsid w:val="00813A3E"/>
    <w:rsid w:val="00815E8B"/>
    <w:rsid w:val="00817322"/>
    <w:rsid w:val="00817452"/>
    <w:rsid w:val="008228BE"/>
    <w:rsid w:val="00823193"/>
    <w:rsid w:val="0083177F"/>
    <w:rsid w:val="008332E2"/>
    <w:rsid w:val="00833423"/>
    <w:rsid w:val="00833DCE"/>
    <w:rsid w:val="008502C6"/>
    <w:rsid w:val="00851986"/>
    <w:rsid w:val="00851E6C"/>
    <w:rsid w:val="00852E83"/>
    <w:rsid w:val="00855663"/>
    <w:rsid w:val="00855E23"/>
    <w:rsid w:val="008568EF"/>
    <w:rsid w:val="00861ADA"/>
    <w:rsid w:val="008743E0"/>
    <w:rsid w:val="00874808"/>
    <w:rsid w:val="00876310"/>
    <w:rsid w:val="008769C1"/>
    <w:rsid w:val="008818E5"/>
    <w:rsid w:val="00882C1D"/>
    <w:rsid w:val="00883169"/>
    <w:rsid w:val="00886EFB"/>
    <w:rsid w:val="008901BD"/>
    <w:rsid w:val="00890B5E"/>
    <w:rsid w:val="00896747"/>
    <w:rsid w:val="008A0A96"/>
    <w:rsid w:val="008A1839"/>
    <w:rsid w:val="008A21E9"/>
    <w:rsid w:val="008B301F"/>
    <w:rsid w:val="008B328F"/>
    <w:rsid w:val="008B43C6"/>
    <w:rsid w:val="008C4827"/>
    <w:rsid w:val="008C509B"/>
    <w:rsid w:val="008C5993"/>
    <w:rsid w:val="008C6709"/>
    <w:rsid w:val="008C6C10"/>
    <w:rsid w:val="008D1427"/>
    <w:rsid w:val="008D4EE7"/>
    <w:rsid w:val="008E1113"/>
    <w:rsid w:val="008E4A7D"/>
    <w:rsid w:val="008E7800"/>
    <w:rsid w:val="008F0555"/>
    <w:rsid w:val="008F48FF"/>
    <w:rsid w:val="00904906"/>
    <w:rsid w:val="00904982"/>
    <w:rsid w:val="00922179"/>
    <w:rsid w:val="00930231"/>
    <w:rsid w:val="00931BAA"/>
    <w:rsid w:val="009335DE"/>
    <w:rsid w:val="00934789"/>
    <w:rsid w:val="009440FE"/>
    <w:rsid w:val="00946604"/>
    <w:rsid w:val="00950F71"/>
    <w:rsid w:val="00955B08"/>
    <w:rsid w:val="00955B43"/>
    <w:rsid w:val="009571F8"/>
    <w:rsid w:val="00961390"/>
    <w:rsid w:val="0096246B"/>
    <w:rsid w:val="0096338F"/>
    <w:rsid w:val="00966672"/>
    <w:rsid w:val="00967802"/>
    <w:rsid w:val="00967F4F"/>
    <w:rsid w:val="00977349"/>
    <w:rsid w:val="00980D51"/>
    <w:rsid w:val="00984197"/>
    <w:rsid w:val="009910E1"/>
    <w:rsid w:val="009928FA"/>
    <w:rsid w:val="00994878"/>
    <w:rsid w:val="009A083E"/>
    <w:rsid w:val="009A09BE"/>
    <w:rsid w:val="009A6B40"/>
    <w:rsid w:val="009B11DE"/>
    <w:rsid w:val="009B2F50"/>
    <w:rsid w:val="009C351E"/>
    <w:rsid w:val="009C65F1"/>
    <w:rsid w:val="009D3355"/>
    <w:rsid w:val="009D5309"/>
    <w:rsid w:val="009D53D1"/>
    <w:rsid w:val="009E06AA"/>
    <w:rsid w:val="009F2129"/>
    <w:rsid w:val="009F2162"/>
    <w:rsid w:val="009F2490"/>
    <w:rsid w:val="009F4A0E"/>
    <w:rsid w:val="009F6CF4"/>
    <w:rsid w:val="009F708F"/>
    <w:rsid w:val="009F770C"/>
    <w:rsid w:val="00A0323B"/>
    <w:rsid w:val="00A038FC"/>
    <w:rsid w:val="00A05CF8"/>
    <w:rsid w:val="00A07F21"/>
    <w:rsid w:val="00A14D71"/>
    <w:rsid w:val="00A15456"/>
    <w:rsid w:val="00A17CB7"/>
    <w:rsid w:val="00A22965"/>
    <w:rsid w:val="00A22AF3"/>
    <w:rsid w:val="00A30221"/>
    <w:rsid w:val="00A31568"/>
    <w:rsid w:val="00A32D13"/>
    <w:rsid w:val="00A417CB"/>
    <w:rsid w:val="00A4397B"/>
    <w:rsid w:val="00A43A71"/>
    <w:rsid w:val="00A455D2"/>
    <w:rsid w:val="00A529D3"/>
    <w:rsid w:val="00A5766B"/>
    <w:rsid w:val="00A61C90"/>
    <w:rsid w:val="00A6350C"/>
    <w:rsid w:val="00A7730C"/>
    <w:rsid w:val="00A77B54"/>
    <w:rsid w:val="00A8074B"/>
    <w:rsid w:val="00A83915"/>
    <w:rsid w:val="00A85331"/>
    <w:rsid w:val="00A8611E"/>
    <w:rsid w:val="00A90BC8"/>
    <w:rsid w:val="00A90BF2"/>
    <w:rsid w:val="00A9245E"/>
    <w:rsid w:val="00A93225"/>
    <w:rsid w:val="00A93C32"/>
    <w:rsid w:val="00A96DF1"/>
    <w:rsid w:val="00AA4FAA"/>
    <w:rsid w:val="00AB6BA3"/>
    <w:rsid w:val="00AB7FCF"/>
    <w:rsid w:val="00AC2515"/>
    <w:rsid w:val="00AD1786"/>
    <w:rsid w:val="00AD363F"/>
    <w:rsid w:val="00AD74B5"/>
    <w:rsid w:val="00AD7693"/>
    <w:rsid w:val="00AE0230"/>
    <w:rsid w:val="00AE0FE4"/>
    <w:rsid w:val="00AE5E21"/>
    <w:rsid w:val="00AE6E57"/>
    <w:rsid w:val="00AF1899"/>
    <w:rsid w:val="00AF37B1"/>
    <w:rsid w:val="00AF46D5"/>
    <w:rsid w:val="00AF53FB"/>
    <w:rsid w:val="00AF61FE"/>
    <w:rsid w:val="00B02F30"/>
    <w:rsid w:val="00B054F9"/>
    <w:rsid w:val="00B07F77"/>
    <w:rsid w:val="00B12564"/>
    <w:rsid w:val="00B16B8C"/>
    <w:rsid w:val="00B2037E"/>
    <w:rsid w:val="00B20960"/>
    <w:rsid w:val="00B23FF6"/>
    <w:rsid w:val="00B265BF"/>
    <w:rsid w:val="00B30E23"/>
    <w:rsid w:val="00B41DF2"/>
    <w:rsid w:val="00B454A2"/>
    <w:rsid w:val="00B50B49"/>
    <w:rsid w:val="00B56372"/>
    <w:rsid w:val="00B56EE3"/>
    <w:rsid w:val="00B6385A"/>
    <w:rsid w:val="00B661BD"/>
    <w:rsid w:val="00B70B1B"/>
    <w:rsid w:val="00B7512B"/>
    <w:rsid w:val="00B75FB5"/>
    <w:rsid w:val="00B81AE9"/>
    <w:rsid w:val="00B82069"/>
    <w:rsid w:val="00B834FD"/>
    <w:rsid w:val="00B907B7"/>
    <w:rsid w:val="00B91B29"/>
    <w:rsid w:val="00B973ED"/>
    <w:rsid w:val="00B97A8E"/>
    <w:rsid w:val="00BB1645"/>
    <w:rsid w:val="00BB2469"/>
    <w:rsid w:val="00BC2A47"/>
    <w:rsid w:val="00BC2C50"/>
    <w:rsid w:val="00BC30FC"/>
    <w:rsid w:val="00BE36FF"/>
    <w:rsid w:val="00BE4521"/>
    <w:rsid w:val="00BE66B6"/>
    <w:rsid w:val="00BE67F3"/>
    <w:rsid w:val="00BE6DBF"/>
    <w:rsid w:val="00BF5435"/>
    <w:rsid w:val="00C10EFE"/>
    <w:rsid w:val="00C1140E"/>
    <w:rsid w:val="00C2668D"/>
    <w:rsid w:val="00C26957"/>
    <w:rsid w:val="00C32CB2"/>
    <w:rsid w:val="00C34F56"/>
    <w:rsid w:val="00C47799"/>
    <w:rsid w:val="00C50DDD"/>
    <w:rsid w:val="00C532FF"/>
    <w:rsid w:val="00C622A4"/>
    <w:rsid w:val="00C70954"/>
    <w:rsid w:val="00C71A00"/>
    <w:rsid w:val="00C7218A"/>
    <w:rsid w:val="00C73D10"/>
    <w:rsid w:val="00C82ECB"/>
    <w:rsid w:val="00C83C38"/>
    <w:rsid w:val="00C84167"/>
    <w:rsid w:val="00C84303"/>
    <w:rsid w:val="00C844AF"/>
    <w:rsid w:val="00C851A0"/>
    <w:rsid w:val="00C87B4D"/>
    <w:rsid w:val="00C911BF"/>
    <w:rsid w:val="00C933B5"/>
    <w:rsid w:val="00C96CF2"/>
    <w:rsid w:val="00C97264"/>
    <w:rsid w:val="00CA404C"/>
    <w:rsid w:val="00CA75C3"/>
    <w:rsid w:val="00CA7699"/>
    <w:rsid w:val="00CB222A"/>
    <w:rsid w:val="00CB4E8A"/>
    <w:rsid w:val="00CB7AC4"/>
    <w:rsid w:val="00CC172A"/>
    <w:rsid w:val="00CC377C"/>
    <w:rsid w:val="00CD1949"/>
    <w:rsid w:val="00CD44A5"/>
    <w:rsid w:val="00CD6BF7"/>
    <w:rsid w:val="00CD7C4A"/>
    <w:rsid w:val="00CE0D8F"/>
    <w:rsid w:val="00CE320F"/>
    <w:rsid w:val="00CE329F"/>
    <w:rsid w:val="00CE382E"/>
    <w:rsid w:val="00CE6E79"/>
    <w:rsid w:val="00CF0BB5"/>
    <w:rsid w:val="00CF30AC"/>
    <w:rsid w:val="00CF7C5D"/>
    <w:rsid w:val="00D00C18"/>
    <w:rsid w:val="00D0226F"/>
    <w:rsid w:val="00D053C8"/>
    <w:rsid w:val="00D07809"/>
    <w:rsid w:val="00D15E85"/>
    <w:rsid w:val="00D23182"/>
    <w:rsid w:val="00D25105"/>
    <w:rsid w:val="00D30852"/>
    <w:rsid w:val="00D333A3"/>
    <w:rsid w:val="00D35F14"/>
    <w:rsid w:val="00D43AF3"/>
    <w:rsid w:val="00D4426C"/>
    <w:rsid w:val="00D4459F"/>
    <w:rsid w:val="00D44E8C"/>
    <w:rsid w:val="00D51019"/>
    <w:rsid w:val="00D542B0"/>
    <w:rsid w:val="00D64AB2"/>
    <w:rsid w:val="00D651EA"/>
    <w:rsid w:val="00D65C70"/>
    <w:rsid w:val="00D74365"/>
    <w:rsid w:val="00D7706F"/>
    <w:rsid w:val="00D80F0B"/>
    <w:rsid w:val="00D834EF"/>
    <w:rsid w:val="00D8731A"/>
    <w:rsid w:val="00D9503A"/>
    <w:rsid w:val="00DA2C9E"/>
    <w:rsid w:val="00DA49FB"/>
    <w:rsid w:val="00DA783A"/>
    <w:rsid w:val="00DB18EA"/>
    <w:rsid w:val="00DB5ED5"/>
    <w:rsid w:val="00DB5F6D"/>
    <w:rsid w:val="00DB607E"/>
    <w:rsid w:val="00DC29C6"/>
    <w:rsid w:val="00DC7E63"/>
    <w:rsid w:val="00DD2F6E"/>
    <w:rsid w:val="00DD6BD7"/>
    <w:rsid w:val="00DD6EB7"/>
    <w:rsid w:val="00DE0B0D"/>
    <w:rsid w:val="00DE0D13"/>
    <w:rsid w:val="00DE5C09"/>
    <w:rsid w:val="00DF1F78"/>
    <w:rsid w:val="00DF5556"/>
    <w:rsid w:val="00DF55CC"/>
    <w:rsid w:val="00DF5D01"/>
    <w:rsid w:val="00DF78E8"/>
    <w:rsid w:val="00E044A1"/>
    <w:rsid w:val="00E23AB2"/>
    <w:rsid w:val="00E2490E"/>
    <w:rsid w:val="00E254F2"/>
    <w:rsid w:val="00E41A56"/>
    <w:rsid w:val="00E4334A"/>
    <w:rsid w:val="00E445CF"/>
    <w:rsid w:val="00E53B0B"/>
    <w:rsid w:val="00E55CB1"/>
    <w:rsid w:val="00E57AD5"/>
    <w:rsid w:val="00E61716"/>
    <w:rsid w:val="00E63AE1"/>
    <w:rsid w:val="00E63C05"/>
    <w:rsid w:val="00E65B0D"/>
    <w:rsid w:val="00E6644F"/>
    <w:rsid w:val="00E67B48"/>
    <w:rsid w:val="00E803CE"/>
    <w:rsid w:val="00E80BCE"/>
    <w:rsid w:val="00E878FA"/>
    <w:rsid w:val="00E928FB"/>
    <w:rsid w:val="00E94B85"/>
    <w:rsid w:val="00E966C0"/>
    <w:rsid w:val="00EA6108"/>
    <w:rsid w:val="00EB05F8"/>
    <w:rsid w:val="00EB14DB"/>
    <w:rsid w:val="00EB6888"/>
    <w:rsid w:val="00EC18AC"/>
    <w:rsid w:val="00EC1948"/>
    <w:rsid w:val="00EC282C"/>
    <w:rsid w:val="00EC4EAC"/>
    <w:rsid w:val="00EC65A8"/>
    <w:rsid w:val="00ED07BD"/>
    <w:rsid w:val="00ED2B31"/>
    <w:rsid w:val="00EE3382"/>
    <w:rsid w:val="00EF4972"/>
    <w:rsid w:val="00F00237"/>
    <w:rsid w:val="00F01C0E"/>
    <w:rsid w:val="00F12D43"/>
    <w:rsid w:val="00F13135"/>
    <w:rsid w:val="00F13B06"/>
    <w:rsid w:val="00F21DC3"/>
    <w:rsid w:val="00F24535"/>
    <w:rsid w:val="00F33AF5"/>
    <w:rsid w:val="00F33C41"/>
    <w:rsid w:val="00F35EAB"/>
    <w:rsid w:val="00F36FC6"/>
    <w:rsid w:val="00F40416"/>
    <w:rsid w:val="00F418BE"/>
    <w:rsid w:val="00F4515E"/>
    <w:rsid w:val="00F45C91"/>
    <w:rsid w:val="00F47044"/>
    <w:rsid w:val="00F51E8B"/>
    <w:rsid w:val="00F5504D"/>
    <w:rsid w:val="00F558E2"/>
    <w:rsid w:val="00F57AC9"/>
    <w:rsid w:val="00F60466"/>
    <w:rsid w:val="00F63E10"/>
    <w:rsid w:val="00F72FAC"/>
    <w:rsid w:val="00F74966"/>
    <w:rsid w:val="00F75613"/>
    <w:rsid w:val="00F7672F"/>
    <w:rsid w:val="00F80330"/>
    <w:rsid w:val="00F80A0A"/>
    <w:rsid w:val="00F81538"/>
    <w:rsid w:val="00F81FE0"/>
    <w:rsid w:val="00F838B2"/>
    <w:rsid w:val="00F86C5B"/>
    <w:rsid w:val="00F95BDF"/>
    <w:rsid w:val="00F9666E"/>
    <w:rsid w:val="00F97F03"/>
    <w:rsid w:val="00FA21BF"/>
    <w:rsid w:val="00FA3DD4"/>
    <w:rsid w:val="00FA71D1"/>
    <w:rsid w:val="00FB24D1"/>
    <w:rsid w:val="00FB3446"/>
    <w:rsid w:val="00FB48E8"/>
    <w:rsid w:val="00FB75A5"/>
    <w:rsid w:val="00FB7D1A"/>
    <w:rsid w:val="00FD0094"/>
    <w:rsid w:val="00FD08FC"/>
    <w:rsid w:val="00FD95C4"/>
    <w:rsid w:val="00FE2395"/>
    <w:rsid w:val="00FE2808"/>
    <w:rsid w:val="00FE5171"/>
    <w:rsid w:val="00FE624D"/>
    <w:rsid w:val="00FF2AD7"/>
    <w:rsid w:val="00FF6AA0"/>
    <w:rsid w:val="00FF7B2D"/>
    <w:rsid w:val="01EE267D"/>
    <w:rsid w:val="02CD0F69"/>
    <w:rsid w:val="02CEF9AF"/>
    <w:rsid w:val="0313B7F1"/>
    <w:rsid w:val="03774FEF"/>
    <w:rsid w:val="037A5CA0"/>
    <w:rsid w:val="037AE07B"/>
    <w:rsid w:val="037D6FE6"/>
    <w:rsid w:val="0471ABDE"/>
    <w:rsid w:val="048149BD"/>
    <w:rsid w:val="04CDB7D5"/>
    <w:rsid w:val="04F61B2C"/>
    <w:rsid w:val="056D9D29"/>
    <w:rsid w:val="06682C1C"/>
    <w:rsid w:val="067B00F5"/>
    <w:rsid w:val="06D2036A"/>
    <w:rsid w:val="07016ADF"/>
    <w:rsid w:val="075A5B9A"/>
    <w:rsid w:val="07B18E17"/>
    <w:rsid w:val="08286487"/>
    <w:rsid w:val="08772506"/>
    <w:rsid w:val="088816DC"/>
    <w:rsid w:val="08DBF480"/>
    <w:rsid w:val="08F8DDB1"/>
    <w:rsid w:val="09419735"/>
    <w:rsid w:val="099157B1"/>
    <w:rsid w:val="09F1DB27"/>
    <w:rsid w:val="0A286E90"/>
    <w:rsid w:val="0A71500A"/>
    <w:rsid w:val="0A80B520"/>
    <w:rsid w:val="0A8D8B33"/>
    <w:rsid w:val="0AC3ED2C"/>
    <w:rsid w:val="0AD4FA72"/>
    <w:rsid w:val="0B058BFF"/>
    <w:rsid w:val="0B0D80B4"/>
    <w:rsid w:val="0B366069"/>
    <w:rsid w:val="0B77E239"/>
    <w:rsid w:val="0B7F39A3"/>
    <w:rsid w:val="0C25209B"/>
    <w:rsid w:val="0C25BE2C"/>
    <w:rsid w:val="0C5C653E"/>
    <w:rsid w:val="0C7287AE"/>
    <w:rsid w:val="0C9A2B98"/>
    <w:rsid w:val="0C9F5878"/>
    <w:rsid w:val="0CAD1010"/>
    <w:rsid w:val="0CFC9C6C"/>
    <w:rsid w:val="0DB150F0"/>
    <w:rsid w:val="0DF255F8"/>
    <w:rsid w:val="0EC9CF72"/>
    <w:rsid w:val="0F35C946"/>
    <w:rsid w:val="0F6C47FA"/>
    <w:rsid w:val="0FDE5662"/>
    <w:rsid w:val="100D9B4C"/>
    <w:rsid w:val="102E3530"/>
    <w:rsid w:val="109F6896"/>
    <w:rsid w:val="1140649F"/>
    <w:rsid w:val="11AC7378"/>
    <w:rsid w:val="11B524A4"/>
    <w:rsid w:val="121BE904"/>
    <w:rsid w:val="1222FE9F"/>
    <w:rsid w:val="12447565"/>
    <w:rsid w:val="12C2A8DF"/>
    <w:rsid w:val="132A492C"/>
    <w:rsid w:val="14060503"/>
    <w:rsid w:val="144CAD4F"/>
    <w:rsid w:val="14540BF0"/>
    <w:rsid w:val="14D4441E"/>
    <w:rsid w:val="14F5594C"/>
    <w:rsid w:val="155D2C59"/>
    <w:rsid w:val="15B452FC"/>
    <w:rsid w:val="164DEFB4"/>
    <w:rsid w:val="1654C5C2"/>
    <w:rsid w:val="16D5E88D"/>
    <w:rsid w:val="16E9104B"/>
    <w:rsid w:val="170D65D7"/>
    <w:rsid w:val="1726CC06"/>
    <w:rsid w:val="174DF5B0"/>
    <w:rsid w:val="17952A94"/>
    <w:rsid w:val="17ADC535"/>
    <w:rsid w:val="17B0BF8C"/>
    <w:rsid w:val="1831DB22"/>
    <w:rsid w:val="18C8D7C5"/>
    <w:rsid w:val="18E17376"/>
    <w:rsid w:val="18F0052E"/>
    <w:rsid w:val="18F78493"/>
    <w:rsid w:val="18F9C0E0"/>
    <w:rsid w:val="191DBD50"/>
    <w:rsid w:val="192B1997"/>
    <w:rsid w:val="19690535"/>
    <w:rsid w:val="1AC0418B"/>
    <w:rsid w:val="1B4877A8"/>
    <w:rsid w:val="1B7D0DE7"/>
    <w:rsid w:val="1B977908"/>
    <w:rsid w:val="1BD2F92C"/>
    <w:rsid w:val="1BF0B9AB"/>
    <w:rsid w:val="1C222DAE"/>
    <w:rsid w:val="1CBA99F1"/>
    <w:rsid w:val="1D06E7BF"/>
    <w:rsid w:val="1D42E750"/>
    <w:rsid w:val="1D5691E0"/>
    <w:rsid w:val="1D686E15"/>
    <w:rsid w:val="1D807589"/>
    <w:rsid w:val="1D9EBA7C"/>
    <w:rsid w:val="1DC6ECDD"/>
    <w:rsid w:val="1E21C2FC"/>
    <w:rsid w:val="1E69474B"/>
    <w:rsid w:val="1F44DAD9"/>
    <w:rsid w:val="1F5BA256"/>
    <w:rsid w:val="200AD1C0"/>
    <w:rsid w:val="200D764B"/>
    <w:rsid w:val="2053DAAD"/>
    <w:rsid w:val="207E2B54"/>
    <w:rsid w:val="20C2C86E"/>
    <w:rsid w:val="21081FAD"/>
    <w:rsid w:val="21EF87CF"/>
    <w:rsid w:val="21F31265"/>
    <w:rsid w:val="222D79BF"/>
    <w:rsid w:val="226C2F73"/>
    <w:rsid w:val="22A12739"/>
    <w:rsid w:val="22B458D0"/>
    <w:rsid w:val="233CC872"/>
    <w:rsid w:val="23ACF70B"/>
    <w:rsid w:val="245FE388"/>
    <w:rsid w:val="248607AB"/>
    <w:rsid w:val="2523FF48"/>
    <w:rsid w:val="253E1DE7"/>
    <w:rsid w:val="257AAE13"/>
    <w:rsid w:val="258E220B"/>
    <w:rsid w:val="2595AC36"/>
    <w:rsid w:val="25BD0CBB"/>
    <w:rsid w:val="25D64538"/>
    <w:rsid w:val="25F605B4"/>
    <w:rsid w:val="2616C329"/>
    <w:rsid w:val="2620C37C"/>
    <w:rsid w:val="2622447F"/>
    <w:rsid w:val="26726EFD"/>
    <w:rsid w:val="268F48F8"/>
    <w:rsid w:val="26B7FC2F"/>
    <w:rsid w:val="26CDA399"/>
    <w:rsid w:val="27A966D8"/>
    <w:rsid w:val="27EC651A"/>
    <w:rsid w:val="283E8955"/>
    <w:rsid w:val="286F8A66"/>
    <w:rsid w:val="289A4F92"/>
    <w:rsid w:val="28B640F3"/>
    <w:rsid w:val="28C9A63E"/>
    <w:rsid w:val="28F17E3B"/>
    <w:rsid w:val="28F8D026"/>
    <w:rsid w:val="297CB540"/>
    <w:rsid w:val="2A718DF0"/>
    <w:rsid w:val="2AB53277"/>
    <w:rsid w:val="2AF32CD2"/>
    <w:rsid w:val="2B1E3A11"/>
    <w:rsid w:val="2B1FC72F"/>
    <w:rsid w:val="2BD23638"/>
    <w:rsid w:val="2D0DAD7F"/>
    <w:rsid w:val="2D24E57C"/>
    <w:rsid w:val="2D482AA9"/>
    <w:rsid w:val="2D65D703"/>
    <w:rsid w:val="2D878CC2"/>
    <w:rsid w:val="2DFF1CAD"/>
    <w:rsid w:val="2E50FA2D"/>
    <w:rsid w:val="2EDA3D0A"/>
    <w:rsid w:val="2EEF3065"/>
    <w:rsid w:val="3035ED53"/>
    <w:rsid w:val="304F8E54"/>
    <w:rsid w:val="305A6794"/>
    <w:rsid w:val="30779CC1"/>
    <w:rsid w:val="307BA4F0"/>
    <w:rsid w:val="3108D85C"/>
    <w:rsid w:val="310FDB15"/>
    <w:rsid w:val="317A4870"/>
    <w:rsid w:val="325066BA"/>
    <w:rsid w:val="3275F0F4"/>
    <w:rsid w:val="32A9B68B"/>
    <w:rsid w:val="32C3BC7B"/>
    <w:rsid w:val="32E604DD"/>
    <w:rsid w:val="336A5428"/>
    <w:rsid w:val="33B4D598"/>
    <w:rsid w:val="33D83D01"/>
    <w:rsid w:val="34167929"/>
    <w:rsid w:val="343D76AC"/>
    <w:rsid w:val="36070E70"/>
    <w:rsid w:val="363C1B5D"/>
    <w:rsid w:val="36F7D80C"/>
    <w:rsid w:val="3835D149"/>
    <w:rsid w:val="385F0BBE"/>
    <w:rsid w:val="39067FBD"/>
    <w:rsid w:val="39A4CAA3"/>
    <w:rsid w:val="3A08E2C0"/>
    <w:rsid w:val="3A098B3B"/>
    <w:rsid w:val="3A191C31"/>
    <w:rsid w:val="3A820E8B"/>
    <w:rsid w:val="3A96A0D1"/>
    <w:rsid w:val="3AAAD4ED"/>
    <w:rsid w:val="3B244F59"/>
    <w:rsid w:val="3BA322D6"/>
    <w:rsid w:val="3BADD677"/>
    <w:rsid w:val="3C24473D"/>
    <w:rsid w:val="3C3D5614"/>
    <w:rsid w:val="3C4D707A"/>
    <w:rsid w:val="3D07C29C"/>
    <w:rsid w:val="3D086A31"/>
    <w:rsid w:val="3D0EE9F4"/>
    <w:rsid w:val="3D25AF19"/>
    <w:rsid w:val="3D7F5882"/>
    <w:rsid w:val="3D8089D9"/>
    <w:rsid w:val="3D9C9122"/>
    <w:rsid w:val="3DBA3ED9"/>
    <w:rsid w:val="3DC5080D"/>
    <w:rsid w:val="3E2C6222"/>
    <w:rsid w:val="3E6908C5"/>
    <w:rsid w:val="3EE35584"/>
    <w:rsid w:val="3F8E865A"/>
    <w:rsid w:val="41659663"/>
    <w:rsid w:val="418C278F"/>
    <w:rsid w:val="422211EE"/>
    <w:rsid w:val="42636A78"/>
    <w:rsid w:val="434A1B36"/>
    <w:rsid w:val="43978DE6"/>
    <w:rsid w:val="43CDF850"/>
    <w:rsid w:val="43D90BD3"/>
    <w:rsid w:val="445A1364"/>
    <w:rsid w:val="4490E70E"/>
    <w:rsid w:val="44A088EC"/>
    <w:rsid w:val="44B19119"/>
    <w:rsid w:val="44CDDAC2"/>
    <w:rsid w:val="45AD9C6E"/>
    <w:rsid w:val="4603348A"/>
    <w:rsid w:val="4709983E"/>
    <w:rsid w:val="472061C9"/>
    <w:rsid w:val="47E04AA7"/>
    <w:rsid w:val="47E72F52"/>
    <w:rsid w:val="4807B0F0"/>
    <w:rsid w:val="4816FC55"/>
    <w:rsid w:val="483DA01C"/>
    <w:rsid w:val="48741DB3"/>
    <w:rsid w:val="4878CC52"/>
    <w:rsid w:val="490A2A94"/>
    <w:rsid w:val="492672A4"/>
    <w:rsid w:val="49E9800B"/>
    <w:rsid w:val="4A60A647"/>
    <w:rsid w:val="4A881A1A"/>
    <w:rsid w:val="4AC5B136"/>
    <w:rsid w:val="4B46A375"/>
    <w:rsid w:val="4BF1AD2E"/>
    <w:rsid w:val="4C0DD925"/>
    <w:rsid w:val="4CA70B1A"/>
    <w:rsid w:val="4CB2DCC8"/>
    <w:rsid w:val="4CB8720A"/>
    <w:rsid w:val="4CBA9957"/>
    <w:rsid w:val="4D0687F5"/>
    <w:rsid w:val="4D451342"/>
    <w:rsid w:val="4D87E988"/>
    <w:rsid w:val="4D9E272A"/>
    <w:rsid w:val="4DDA3A72"/>
    <w:rsid w:val="4E1E2078"/>
    <w:rsid w:val="4E3555B0"/>
    <w:rsid w:val="4EDBE1BA"/>
    <w:rsid w:val="4F207DCB"/>
    <w:rsid w:val="4F857A0B"/>
    <w:rsid w:val="50322DB8"/>
    <w:rsid w:val="5051E85A"/>
    <w:rsid w:val="506D1E33"/>
    <w:rsid w:val="50BBBEE9"/>
    <w:rsid w:val="50E02B72"/>
    <w:rsid w:val="513829BE"/>
    <w:rsid w:val="5139DE36"/>
    <w:rsid w:val="51B8CA08"/>
    <w:rsid w:val="52538180"/>
    <w:rsid w:val="52611269"/>
    <w:rsid w:val="52671300"/>
    <w:rsid w:val="53136E94"/>
    <w:rsid w:val="536C35DE"/>
    <w:rsid w:val="53717070"/>
    <w:rsid w:val="53AE6CF2"/>
    <w:rsid w:val="53C06BF7"/>
    <w:rsid w:val="541FD5A3"/>
    <w:rsid w:val="54B37874"/>
    <w:rsid w:val="5522E487"/>
    <w:rsid w:val="5566E038"/>
    <w:rsid w:val="55A39C1D"/>
    <w:rsid w:val="55DD2104"/>
    <w:rsid w:val="5661E372"/>
    <w:rsid w:val="56708B22"/>
    <w:rsid w:val="56A2E412"/>
    <w:rsid w:val="56B46DCC"/>
    <w:rsid w:val="56F43EBB"/>
    <w:rsid w:val="57032565"/>
    <w:rsid w:val="57179698"/>
    <w:rsid w:val="573BACD7"/>
    <w:rsid w:val="57575390"/>
    <w:rsid w:val="57593BEE"/>
    <w:rsid w:val="5836E314"/>
    <w:rsid w:val="58407F9A"/>
    <w:rsid w:val="584D2943"/>
    <w:rsid w:val="58702617"/>
    <w:rsid w:val="58872DE3"/>
    <w:rsid w:val="58BC64D8"/>
    <w:rsid w:val="59699FD0"/>
    <w:rsid w:val="5A3EE01E"/>
    <w:rsid w:val="5AC95920"/>
    <w:rsid w:val="5ACC632B"/>
    <w:rsid w:val="5B547C75"/>
    <w:rsid w:val="5B57CEFF"/>
    <w:rsid w:val="5BE22BBE"/>
    <w:rsid w:val="5C20CAF3"/>
    <w:rsid w:val="5C6C69B4"/>
    <w:rsid w:val="5C873C14"/>
    <w:rsid w:val="5C8D7DB3"/>
    <w:rsid w:val="5D7EA41B"/>
    <w:rsid w:val="5E5FB42C"/>
    <w:rsid w:val="5E8C90CF"/>
    <w:rsid w:val="5EB4F945"/>
    <w:rsid w:val="5ED1AF6E"/>
    <w:rsid w:val="5F502C47"/>
    <w:rsid w:val="5F64FFA8"/>
    <w:rsid w:val="5F923921"/>
    <w:rsid w:val="5FF93592"/>
    <w:rsid w:val="60103466"/>
    <w:rsid w:val="606C02DD"/>
    <w:rsid w:val="61016C68"/>
    <w:rsid w:val="614F9776"/>
    <w:rsid w:val="615CD92B"/>
    <w:rsid w:val="6169F6CD"/>
    <w:rsid w:val="61B83CA5"/>
    <w:rsid w:val="62160792"/>
    <w:rsid w:val="6277EB64"/>
    <w:rsid w:val="62FF4B82"/>
    <w:rsid w:val="635C548F"/>
    <w:rsid w:val="638128F4"/>
    <w:rsid w:val="63A5CBFE"/>
    <w:rsid w:val="63FDEE29"/>
    <w:rsid w:val="645DA34B"/>
    <w:rsid w:val="6502BEA7"/>
    <w:rsid w:val="650D128C"/>
    <w:rsid w:val="65348EDA"/>
    <w:rsid w:val="65439FAE"/>
    <w:rsid w:val="656A6AB9"/>
    <w:rsid w:val="657E87E9"/>
    <w:rsid w:val="657EBDD0"/>
    <w:rsid w:val="65A45ABD"/>
    <w:rsid w:val="65BFC1C4"/>
    <w:rsid w:val="65DF6B4F"/>
    <w:rsid w:val="663B33DA"/>
    <w:rsid w:val="6646ABA4"/>
    <w:rsid w:val="666A874F"/>
    <w:rsid w:val="666D63BD"/>
    <w:rsid w:val="66C2B263"/>
    <w:rsid w:val="6745D598"/>
    <w:rsid w:val="67B46237"/>
    <w:rsid w:val="67B648A2"/>
    <w:rsid w:val="67E70398"/>
    <w:rsid w:val="68A9F6CB"/>
    <w:rsid w:val="68E2EB8A"/>
    <w:rsid w:val="69375734"/>
    <w:rsid w:val="69988E2F"/>
    <w:rsid w:val="69B10382"/>
    <w:rsid w:val="69E85E2D"/>
    <w:rsid w:val="6A3F2FDF"/>
    <w:rsid w:val="6B6F5B7A"/>
    <w:rsid w:val="6B9D2D5D"/>
    <w:rsid w:val="6C2A4320"/>
    <w:rsid w:val="6C63085D"/>
    <w:rsid w:val="6DB7F207"/>
    <w:rsid w:val="6EDFCC76"/>
    <w:rsid w:val="6EECF60F"/>
    <w:rsid w:val="6F1588B5"/>
    <w:rsid w:val="6FB99518"/>
    <w:rsid w:val="6FD870DC"/>
    <w:rsid w:val="6FE3C754"/>
    <w:rsid w:val="70AA46B5"/>
    <w:rsid w:val="71A33318"/>
    <w:rsid w:val="71DAE046"/>
    <w:rsid w:val="727D575F"/>
    <w:rsid w:val="72D92B53"/>
    <w:rsid w:val="72EE2F69"/>
    <w:rsid w:val="73703804"/>
    <w:rsid w:val="73805F5C"/>
    <w:rsid w:val="73CE3215"/>
    <w:rsid w:val="73D7D4BA"/>
    <w:rsid w:val="73F32887"/>
    <w:rsid w:val="7404F3E7"/>
    <w:rsid w:val="741996A5"/>
    <w:rsid w:val="74FF21D3"/>
    <w:rsid w:val="7535079D"/>
    <w:rsid w:val="75449560"/>
    <w:rsid w:val="7555256F"/>
    <w:rsid w:val="75FE08E0"/>
    <w:rsid w:val="76805154"/>
    <w:rsid w:val="7689D8AD"/>
    <w:rsid w:val="76C5D265"/>
    <w:rsid w:val="76DE4678"/>
    <w:rsid w:val="76E0D6AC"/>
    <w:rsid w:val="78341808"/>
    <w:rsid w:val="786A11EA"/>
    <w:rsid w:val="7872B7F9"/>
    <w:rsid w:val="7886B915"/>
    <w:rsid w:val="792FF889"/>
    <w:rsid w:val="795D495F"/>
    <w:rsid w:val="797511A8"/>
    <w:rsid w:val="79B668B1"/>
    <w:rsid w:val="79F6308F"/>
    <w:rsid w:val="7AD3670E"/>
    <w:rsid w:val="7B1A899D"/>
    <w:rsid w:val="7BA02EA6"/>
    <w:rsid w:val="7C0F9044"/>
    <w:rsid w:val="7CC9FEF2"/>
    <w:rsid w:val="7D2E8793"/>
    <w:rsid w:val="7E76BBF4"/>
    <w:rsid w:val="7E8C62EF"/>
    <w:rsid w:val="7ED22C1A"/>
    <w:rsid w:val="7F040B09"/>
    <w:rsid w:val="7F1FE511"/>
    <w:rsid w:val="7FC3AAE3"/>
    <w:rsid w:val="7FE4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A492C"/>
  <w15:chartTrackingRefBased/>
  <w15:docId w15:val="{698ED400-55FB-4D3D-ABC1-C30A2F35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66E"/>
  </w:style>
  <w:style w:type="paragraph" w:styleId="Nadpis1">
    <w:name w:val="heading 1"/>
    <w:basedOn w:val="Normln"/>
    <w:next w:val="Normln"/>
    <w:link w:val="Nadpis1Char"/>
    <w:uiPriority w:val="9"/>
    <w:qFormat/>
    <w:rsid w:val="00C10EFE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dpis2">
    <w:name w:val="heading 2"/>
    <w:aliases w:val="Normální x.x"/>
    <w:basedOn w:val="Normln"/>
    <w:next w:val="Normln"/>
    <w:link w:val="Nadpis2Char"/>
    <w:uiPriority w:val="9"/>
    <w:unhideWhenUsed/>
    <w:qFormat/>
    <w:rsid w:val="006D5B3D"/>
    <w:pPr>
      <w:keepNext/>
      <w:keepLines/>
      <w:spacing w:before="40" w:after="0"/>
      <w:outlineLvl w:val="1"/>
    </w:pPr>
    <w:rPr>
      <w:rFonts w:ascii="Calibri" w:eastAsiaTheme="majorEastAsia" w:hAnsi="Calibr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rsid w:val="75449560"/>
    <w:pPr>
      <w:spacing w:after="80" w:line="240" w:lineRule="auto"/>
      <w:contextualSpacing/>
    </w:pPr>
    <w:rPr>
      <w:rFonts w:asciiTheme="majorHAnsi" w:eastAsiaTheme="majorEastAsia" w:hAnsiTheme="majorHAnsi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75449560"/>
    <w:rPr>
      <w:color w:val="467886"/>
      <w:u w:val="single"/>
    </w:rPr>
  </w:style>
  <w:style w:type="paragraph" w:styleId="Textpoznpodarou">
    <w:name w:val="footnote text"/>
    <w:aliases w:val="Char Char,Boston 10,Char,Char Char Char1,Char1,Font: Geneva 9,Fußnotentextf,Geneva 9,Podrozdzia3,Podrozdział,Schriftart: 10 pt,Schriftart: 8 pt,Schriftart: 9 pt,Text pozn. pod čarou1,Text poznámky pod čiarou 007,f,fn,ft,o,Char3"/>
    <w:basedOn w:val="Normln"/>
    <w:link w:val="TextpoznpodarouChar"/>
    <w:uiPriority w:val="99"/>
    <w:unhideWhenUsed/>
    <w:qFormat/>
    <w:rsid w:val="75449560"/>
    <w:pPr>
      <w:spacing w:after="0" w:line="240" w:lineRule="auto"/>
    </w:pPr>
    <w:rPr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ootnote,Footnote Reference Superscript,Footnote call,Footnote symbol,Légende,PGI Fußnote Ziffer,PGI Fußnote Ziffer + Times New Roman,Zúžené o ..."/>
    <w:basedOn w:val="Standardnpsmoodstavce"/>
    <w:link w:val="FootnotesymbolCarZchn"/>
    <w:uiPriority w:val="99"/>
    <w:unhideWhenUsed/>
    <w:qFormat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4DDA3A7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0FE4"/>
  </w:style>
  <w:style w:type="paragraph" w:styleId="Zpat">
    <w:name w:val="footer"/>
    <w:basedOn w:val="Normln"/>
    <w:link w:val="ZpatChar"/>
    <w:uiPriority w:val="99"/>
    <w:unhideWhenUsed/>
    <w:rsid w:val="00AE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0FE4"/>
  </w:style>
  <w:style w:type="character" w:customStyle="1" w:styleId="TextpoznpodarouChar">
    <w:name w:val="Text pozn. pod čarou Char"/>
    <w:aliases w:val="Char Char Char,Boston 10 Char,Char Char1,Char Char Char1 Char,Char1 Char,Font: Geneva 9 Char,Fußnotentextf Char,Geneva 9 Char,Podrozdzia3 Char,Podrozdział Char,Schriftart: 10 pt Char,Schriftart: 8 pt Char,Schriftart: 9 pt Char"/>
    <w:basedOn w:val="Standardnpsmoodstavce"/>
    <w:link w:val="Textpoznpodarou"/>
    <w:uiPriority w:val="99"/>
    <w:qFormat/>
    <w:rsid w:val="007F1EC5"/>
    <w:rPr>
      <w:sz w:val="20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F1EC5"/>
    <w:pPr>
      <w:spacing w:line="240" w:lineRule="exact"/>
      <w:jc w:val="both"/>
    </w:pPr>
    <w:rPr>
      <w:vertAlign w:val="superscript"/>
    </w:rPr>
  </w:style>
  <w:style w:type="table" w:styleId="Mkatabulky">
    <w:name w:val="Table Grid"/>
    <w:aliases w:val="SGS Table Basic 1,CV table"/>
    <w:basedOn w:val="Normlntabulka"/>
    <w:uiPriority w:val="39"/>
    <w:rsid w:val="007F1E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Vtable1">
    <w:name w:val="CV table1"/>
    <w:basedOn w:val="Normlntabulka"/>
    <w:next w:val="Mkatabulky"/>
    <w:uiPriority w:val="39"/>
    <w:rsid w:val="005B2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11">
    <w:name w:val="CV table11"/>
    <w:basedOn w:val="Normlntabulka"/>
    <w:next w:val="Mkatabulky"/>
    <w:uiPriority w:val="39"/>
    <w:rsid w:val="005C6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10EFE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numbering" w:customStyle="1" w:styleId="S">
    <w:name w:val="S"/>
    <w:uiPriority w:val="99"/>
    <w:rsid w:val="009A09BE"/>
    <w:pPr>
      <w:numPr>
        <w:numId w:val="25"/>
      </w:numPr>
    </w:pPr>
  </w:style>
  <w:style w:type="character" w:customStyle="1" w:styleId="Nadpis2Char">
    <w:name w:val="Nadpis 2 Char"/>
    <w:aliases w:val="Normální x.x Char"/>
    <w:basedOn w:val="Standardnpsmoodstavce"/>
    <w:link w:val="Nadpis2"/>
    <w:uiPriority w:val="9"/>
    <w:rsid w:val="006D5B3D"/>
    <w:rPr>
      <w:rFonts w:ascii="Calibri" w:eastAsiaTheme="majorEastAsia" w:hAnsi="Calibri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A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A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A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A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A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mj">
    <w:name w:val="nadpis můj"/>
    <w:basedOn w:val="Normln"/>
    <w:rsid w:val="006D5B3D"/>
    <w:pPr>
      <w:numPr>
        <w:ilvl w:val="1"/>
        <w:numId w:val="29"/>
      </w:numPr>
    </w:pPr>
  </w:style>
  <w:style w:type="paragraph" w:styleId="Revize">
    <w:name w:val="Revision"/>
    <w:hidden/>
    <w:uiPriority w:val="99"/>
    <w:semiHidden/>
    <w:rsid w:val="003746EE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18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1899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B63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5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2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6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3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303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7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2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4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38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7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6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8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7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4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41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2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8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3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7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4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1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8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9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3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8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95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0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3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eurostat/databrowser/explore/all/all_theme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BOLERAZK\DATA\Agendy\00aODBOR%20560\6kontroly%20probihajici\24-24%20energ.%20ucinnost%20Valtr,%20Neuvirt\KZ\grafy\muj%20graf%20en%20narocnost%20ex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ln w="3175"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Energetická náročnost hospodářství ČR</a:t>
            </a:r>
          </a:p>
          <a:p>
            <a:pPr>
              <a:defRPr/>
            </a:pPr>
            <a:r>
              <a:rPr lang="cs-CZ"/>
              <a:t> v porovnání s průměrem zemí EU v GJ/mil. EUR HDP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ln w="3175"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List1!$A$3</c:f>
              <c:strCache>
                <c:ptCount val="1"/>
                <c:pt idx="0">
                  <c:v>ČR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List1!$B$2:$J$2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List1!$B$3:$J$3</c:f>
              <c:numCache>
                <c:formatCode>General</c:formatCode>
                <c:ptCount val="9"/>
                <c:pt idx="0">
                  <c:v>10325</c:v>
                </c:pt>
                <c:pt idx="1">
                  <c:v>9971</c:v>
                </c:pt>
                <c:pt idx="2">
                  <c:v>9891</c:v>
                </c:pt>
                <c:pt idx="3">
                  <c:v>9657</c:v>
                </c:pt>
                <c:pt idx="4">
                  <c:v>9175</c:v>
                </c:pt>
                <c:pt idx="5">
                  <c:v>9098</c:v>
                </c:pt>
                <c:pt idx="6">
                  <c:v>9268</c:v>
                </c:pt>
                <c:pt idx="7">
                  <c:v>8826</c:v>
                </c:pt>
                <c:pt idx="8">
                  <c:v>8114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1C-4E7C-AB65-2ACEEE6D6D7C}"/>
            </c:ext>
          </c:extLst>
        </c:ser>
        <c:ser>
          <c:idx val="1"/>
          <c:order val="1"/>
          <c:tx>
            <c:strRef>
              <c:f>List1!$A$4</c:f>
              <c:strCache>
                <c:ptCount val="1"/>
                <c:pt idx="0">
                  <c:v>průměr EU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List1!$B$2:$J$2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List1!$B$4:$J$4</c:f>
              <c:numCache>
                <c:formatCode>General</c:formatCode>
                <c:ptCount val="9"/>
                <c:pt idx="0">
                  <c:v>5064</c:v>
                </c:pt>
                <c:pt idx="1">
                  <c:v>5015</c:v>
                </c:pt>
                <c:pt idx="2">
                  <c:v>4981</c:v>
                </c:pt>
                <c:pt idx="3">
                  <c:v>4854</c:v>
                </c:pt>
                <c:pt idx="4">
                  <c:v>4689</c:v>
                </c:pt>
                <c:pt idx="5">
                  <c:v>4560</c:v>
                </c:pt>
                <c:pt idx="6">
                  <c:v>4548</c:v>
                </c:pt>
                <c:pt idx="7">
                  <c:v>4198</c:v>
                </c:pt>
                <c:pt idx="8">
                  <c:v>4013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1C-4E7C-AB65-2ACEEE6D6D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5597407"/>
        <c:axId val="895613247"/>
      </c:barChart>
      <c:catAx>
        <c:axId val="8955974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95613247"/>
        <c:crosses val="autoZero"/>
        <c:auto val="1"/>
        <c:lblAlgn val="ctr"/>
        <c:lblOffset val="100"/>
        <c:noMultiLvlLbl val="0"/>
      </c:catAx>
      <c:valAx>
        <c:axId val="895613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 w="3175"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955974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 w="3175"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 w="3175">
            <a:noFill/>
          </a:ln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6FC5-4AE9-4A8A-8703-4B93EE84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6037</Words>
  <Characters>35621</Characters>
  <Application>Microsoft Office Word</Application>
  <DocSecurity>0</DocSecurity>
  <Lines>296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24/24 - Peněžní prostředky vynakládané Ministerstvem průmyslu a obchodu na podporu zvyšování energetické účinnosti a obnovitelných zdrojů energie</vt:lpstr>
    </vt:vector>
  </TitlesOfParts>
  <Company/>
  <LinksUpToDate>false</LinksUpToDate>
  <CharactersWithSpaces>41575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24/24 - Peněžní prostředky vynakládané Ministerstvem průmyslu a obchodu na podporu zvyšování energetické účinnosti a obnovitelných zdrojů energie</dc:title>
  <dc:subject>Kontrolní závěr z kontrolní akce NKÚ č. 24/24 - Peněžní prostředky vynakládané Ministerstvem průmyslu a obchodu na podporu zvyšování energetické účinnosti a obnovitelných zdrojů energie</dc:subject>
  <dc:creator>nku@NKU.cz</dc:creator>
  <cp:keywords>kontrolní závěr; OZE; MPO; Ministerstvo průmyslu a obchodu; obnovitelné zdroje energie; energetická účinnost</cp:keywords>
  <dc:description/>
  <cp:lastModifiedBy>KOKRDA Daniel</cp:lastModifiedBy>
  <cp:revision>8</cp:revision>
  <cp:lastPrinted>2025-11-03T12:08:00Z</cp:lastPrinted>
  <dcterms:created xsi:type="dcterms:W3CDTF">2025-11-03T12:06:00Z</dcterms:created>
  <dcterms:modified xsi:type="dcterms:W3CDTF">2025-11-20T06:05:00Z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535b69ff,76242f0,730e7c80,23968880</vt:lpwstr>
  </property>
  <property fmtid="{D5CDD505-2E9C-101B-9397-08002B2CF9AE}" pid="3" name="ClassificationContentMarkingFooterFontProps">
    <vt:lpwstr>#828282,12,Calibri</vt:lpwstr>
  </property>
  <property fmtid="{D5CDD505-2E9C-101B-9397-08002B2CF9AE}" pid="4" name="ClassificationContentMarkingFooterText">
    <vt:lpwstr>TLP:CLEAR</vt:lpwstr>
  </property>
  <property fmtid="{D5CDD505-2E9C-101B-9397-08002B2CF9AE}" pid="5" name="MSIP_Label_2a5ca00b-f9dd-452b-9d75-e1b2c69cf7c5_Enabled">
    <vt:lpwstr>true</vt:lpwstr>
  </property>
  <property fmtid="{D5CDD505-2E9C-101B-9397-08002B2CF9AE}" pid="6" name="MSIP_Label_2a5ca00b-f9dd-452b-9d75-e1b2c69cf7c5_SetDate">
    <vt:lpwstr>2025-09-29T09:05:58Z</vt:lpwstr>
  </property>
  <property fmtid="{D5CDD505-2E9C-101B-9397-08002B2CF9AE}" pid="7" name="MSIP_Label_2a5ca00b-f9dd-452b-9d75-e1b2c69cf7c5_Method">
    <vt:lpwstr>Privileged</vt:lpwstr>
  </property>
  <property fmtid="{D5CDD505-2E9C-101B-9397-08002B2CF9AE}" pid="8" name="MSIP_Label_2a5ca00b-f9dd-452b-9d75-e1b2c69cf7c5_Name">
    <vt:lpwstr>Nízká</vt:lpwstr>
  </property>
  <property fmtid="{D5CDD505-2E9C-101B-9397-08002B2CF9AE}" pid="9" name="MSIP_Label_2a5ca00b-f9dd-452b-9d75-e1b2c69cf7c5_SiteId">
    <vt:lpwstr>e6d36204-fa0a-4bdb-9b60-80f84bb090cf</vt:lpwstr>
  </property>
  <property fmtid="{D5CDD505-2E9C-101B-9397-08002B2CF9AE}" pid="10" name="MSIP_Label_2a5ca00b-f9dd-452b-9d75-e1b2c69cf7c5_ActionId">
    <vt:lpwstr>d9161f9e-2bae-42c6-97e7-377a65006e53</vt:lpwstr>
  </property>
  <property fmtid="{D5CDD505-2E9C-101B-9397-08002B2CF9AE}" pid="11" name="MSIP_Label_2a5ca00b-f9dd-452b-9d75-e1b2c69cf7c5_ContentBits">
    <vt:lpwstr>2</vt:lpwstr>
  </property>
  <property fmtid="{D5CDD505-2E9C-101B-9397-08002B2CF9AE}" pid="12" name="MSIP_Label_2a5ca00b-f9dd-452b-9d75-e1b2c69cf7c5_Tag">
    <vt:lpwstr>10, 0, 1, 1</vt:lpwstr>
  </property>
</Properties>
</file>